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24D4" w14:textId="77777777" w:rsidR="008F0DCC" w:rsidRDefault="008F0DCC">
      <w:pPr>
        <w:spacing w:before="1800"/>
      </w:pPr>
    </w:p>
    <w:p w14:paraId="3340BD92" w14:textId="77777777" w:rsidR="008F0DCC" w:rsidRDefault="00000000">
      <w:pPr>
        <w:jc w:val="center"/>
      </w:pPr>
      <w:proofErr w:type="spellStart"/>
      <w:r>
        <w:rPr>
          <w:b/>
          <w:bCs/>
          <w:color w:val="595959"/>
          <w:sz w:val="24"/>
          <w:szCs w:val="24"/>
        </w:rPr>
        <w:t>SafeGuard</w:t>
      </w:r>
      <w:proofErr w:type="spellEnd"/>
      <w:r>
        <w:rPr>
          <w:b/>
          <w:bCs/>
          <w:color w:val="595959"/>
          <w:sz w:val="24"/>
          <w:szCs w:val="24"/>
        </w:rPr>
        <w:t xml:space="preserve"> Project Series</w:t>
      </w:r>
    </w:p>
    <w:p w14:paraId="55B55AE3" w14:textId="77777777" w:rsidR="008F0DCC" w:rsidRDefault="00000000">
      <w:pPr>
        <w:spacing w:before="200" w:after="100"/>
        <w:jc w:val="center"/>
      </w:pPr>
      <w:r>
        <w:rPr>
          <w:b/>
          <w:bCs/>
          <w:color w:val="1F4E79"/>
          <w:sz w:val="30"/>
          <w:szCs w:val="30"/>
        </w:rPr>
        <w:t>Project 1</w:t>
      </w:r>
    </w:p>
    <w:p w14:paraId="296C8FEE" w14:textId="77777777" w:rsidR="008F0DCC" w:rsidRDefault="00000000">
      <w:pPr>
        <w:spacing w:after="100"/>
        <w:jc w:val="center"/>
      </w:pPr>
      <w:proofErr w:type="spellStart"/>
      <w:r>
        <w:rPr>
          <w:b/>
          <w:bCs/>
          <w:color w:val="1F4E79"/>
          <w:sz w:val="64"/>
          <w:szCs w:val="64"/>
        </w:rPr>
        <w:t>ScopeGuard</w:t>
      </w:r>
      <w:proofErr w:type="spellEnd"/>
    </w:p>
    <w:p w14:paraId="44DA72A8" w14:textId="77777777" w:rsidR="008F0DCC" w:rsidRDefault="00000000">
      <w:pPr>
        <w:spacing w:after="600"/>
        <w:jc w:val="center"/>
      </w:pPr>
      <w:r>
        <w:rPr>
          <w:i/>
          <w:iCs/>
          <w:color w:val="595959"/>
          <w:sz w:val="26"/>
          <w:szCs w:val="26"/>
        </w:rPr>
        <w:t>A Beginner-Friendly Guide to the Scope &amp; Target Authorization Engine</w:t>
      </w:r>
    </w:p>
    <w:p w14:paraId="0B6D5EAB" w14:textId="77777777" w:rsidR="008F0DCC" w:rsidRDefault="00000000">
      <w:pPr>
        <w:spacing w:before="1400"/>
        <w:jc w:val="center"/>
      </w:pPr>
      <w:r>
        <w:rPr>
          <w:sz w:val="24"/>
          <w:szCs w:val="24"/>
        </w:rPr>
        <w:t>Prepared by: Atharva</w:t>
      </w:r>
    </w:p>
    <w:p w14:paraId="7DD56C1B" w14:textId="77777777" w:rsidR="008F0DCC" w:rsidRDefault="00000000">
      <w:pPr>
        <w:spacing w:after="200"/>
        <w:jc w:val="center"/>
      </w:pPr>
      <w:r>
        <w:rPr>
          <w:color w:val="595959"/>
        </w:rPr>
        <w:t>Domain: Cybersecurity / Ethical Hacking — Red Teaming &amp; Bug Bounty Tooling</w:t>
      </w:r>
    </w:p>
    <w:p w14:paraId="7FA14B87" w14:textId="77777777" w:rsidR="008F0DCC" w:rsidRDefault="00000000">
      <w:pPr>
        <w:jc w:val="center"/>
      </w:pPr>
      <w:r>
        <w:rPr>
          <w:b/>
          <w:bCs/>
          <w:color w:val="2E7D32"/>
        </w:rPr>
        <w:t>Status: Project 1 Complete</w:t>
      </w:r>
    </w:p>
    <w:p w14:paraId="69DB86D5" w14:textId="77777777" w:rsidR="008F0DCC" w:rsidRDefault="008F0DCC">
      <w:pPr>
        <w:sectPr w:rsidR="008F0DCC">
          <w:pgSz w:w="12240" w:h="15840"/>
          <w:pgMar w:top="1440" w:right="1440" w:bottom="1440" w:left="1440" w:header="708" w:footer="708" w:gutter="0"/>
          <w:cols w:space="720"/>
          <w:docGrid w:linePitch="360"/>
        </w:sectPr>
      </w:pPr>
    </w:p>
    <w:p w14:paraId="25D07EE9" w14:textId="77777777" w:rsidR="008F0DCC" w:rsidRDefault="00000000">
      <w:pPr>
        <w:pStyle w:val="Heading1"/>
      </w:pPr>
      <w:r>
        <w:lastRenderedPageBreak/>
        <w:t xml:space="preserve">1. What Is </w:t>
      </w:r>
      <w:proofErr w:type="spellStart"/>
      <w:r>
        <w:t>ScopeGuard</w:t>
      </w:r>
      <w:proofErr w:type="spellEnd"/>
      <w:r>
        <w:t>? (In Plain Words)</w:t>
      </w:r>
    </w:p>
    <w:p w14:paraId="4AA168D7" w14:textId="77777777" w:rsidR="008F0DCC" w:rsidRDefault="00000000">
      <w:pPr>
        <w:spacing w:after="160" w:line="300" w:lineRule="auto"/>
      </w:pPr>
      <w:r>
        <w:t xml:space="preserve">Think of </w:t>
      </w:r>
      <w:proofErr w:type="spellStart"/>
      <w:r>
        <w:t>ScopeGuard</w:t>
      </w:r>
      <w:proofErr w:type="spellEnd"/>
      <w:r>
        <w:t xml:space="preserve"> like a security guard standing at the door of a building before any testing begins. Before you knock on any door (test any target), the guard checks one list: “Am I allowed to be here?” </w:t>
      </w:r>
      <w:proofErr w:type="spellStart"/>
      <w:r>
        <w:t>ScopeGuard</w:t>
      </w:r>
      <w:proofErr w:type="spellEnd"/>
      <w:r>
        <w:t xml:space="preserve"> does exactly this for bug bounty hunting and penetration testing — except the “building” is a website, server, or app, and the “list” is the official rules of a bug bounty program.</w:t>
      </w:r>
    </w:p>
    <w:p w14:paraId="2D3FE2CA" w14:textId="77777777" w:rsidR="008F0DCC" w:rsidRDefault="00000000">
      <w:pPr>
        <w:spacing w:after="160" w:line="300" w:lineRule="auto"/>
      </w:pPr>
      <w:r>
        <w:t xml:space="preserve">In every bug bounty program, the company clearly says which systems you are allowed to test (called the scope) and which systems are off-limits. Testing something that is off-limits — even by accident — can get a researcher banned from a program, or in serious cases, cause legal trouble. </w:t>
      </w:r>
      <w:proofErr w:type="spellStart"/>
      <w:r>
        <w:t>ScopeGuard</w:t>
      </w:r>
      <w:proofErr w:type="spellEnd"/>
      <w:r>
        <w:t xml:space="preserve"> exists purely to prevent that mistake.</w:t>
      </w:r>
    </w:p>
    <w:tbl>
      <w:tblPr>
        <w:tblW w:w="5000" w:type="pct"/>
        <w:tblBorders>
          <w:top w:val="single" w:sz="6" w:space="0" w:color="1F4E79"/>
          <w:left w:val="single" w:sz="6" w:space="0" w:color="1F4E79"/>
          <w:bottom w:val="single" w:sz="6" w:space="0" w:color="1F4E79"/>
          <w:right w:val="single" w:sz="6"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8F0DCC" w14:paraId="1A548541"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06EC1B54" w14:textId="77777777" w:rsidR="008F0DCC" w:rsidRDefault="00000000">
            <w:pPr>
              <w:spacing w:after="60"/>
            </w:pPr>
            <w:r>
              <w:rPr>
                <w:b/>
                <w:bCs/>
                <w:color w:val="1F4E79"/>
              </w:rPr>
              <w:t>In one sentence:</w:t>
            </w:r>
          </w:p>
          <w:p w14:paraId="2AE124FB" w14:textId="77777777" w:rsidR="008F0DCC" w:rsidRDefault="00000000">
            <w:proofErr w:type="spellStart"/>
            <w:r>
              <w:t>ScopeGuard</w:t>
            </w:r>
            <w:proofErr w:type="spellEnd"/>
            <w:r>
              <w:t xml:space="preserve"> reads a simple rules file and tells you, with a clear reason, whether a specific target is safe to test or not — before you ever touch it.</w:t>
            </w:r>
          </w:p>
        </w:tc>
      </w:tr>
    </w:tbl>
    <w:p w14:paraId="3788E0CF" w14:textId="77777777" w:rsidR="008F0DCC" w:rsidRDefault="00000000">
      <w:pPr>
        <w:pStyle w:val="Heading1"/>
      </w:pPr>
      <w:r>
        <w:t>2. The Problem It Solves</w:t>
      </w:r>
    </w:p>
    <w:p w14:paraId="19254902" w14:textId="77777777" w:rsidR="008F0DCC" w:rsidRDefault="00000000">
      <w:pPr>
        <w:spacing w:after="160" w:line="300" w:lineRule="auto"/>
      </w:pPr>
      <w:r>
        <w:t>Bug bounty programs list their rules in plain text on their program page. A program might allow “*.example.com” (any subdomain of example.com) but specifically forbid “admin.example.com”. Reading these rules sounds simple, but in practice people make mistakes constantly, especially when a program has dozens of rules mixed with exceptions.</w:t>
      </w:r>
    </w:p>
    <w:p w14:paraId="466E831B" w14:textId="77777777" w:rsidR="008F0DCC" w:rsidRDefault="00000000">
      <w:pPr>
        <w:spacing w:after="160" w:line="300" w:lineRule="auto"/>
      </w:pPr>
      <w:r>
        <w:t>Common mistakes a human can make when checking this manually:</w:t>
      </w:r>
    </w:p>
    <w:p w14:paraId="18A87130" w14:textId="77777777" w:rsidR="008F0DCC" w:rsidRDefault="00000000">
      <w:pPr>
        <w:pStyle w:val="ListParagraph"/>
        <w:numPr>
          <w:ilvl w:val="0"/>
          <w:numId w:val="1"/>
        </w:numPr>
        <w:spacing w:after="80" w:line="280" w:lineRule="auto"/>
      </w:pPr>
      <w:r>
        <w:t>Missing an exclusion buried somewhere in the program page</w:t>
      </w:r>
    </w:p>
    <w:p w14:paraId="110AF1C4" w14:textId="77777777" w:rsidR="008F0DCC" w:rsidRDefault="00000000">
      <w:pPr>
        <w:pStyle w:val="ListParagraph"/>
        <w:numPr>
          <w:ilvl w:val="0"/>
          <w:numId w:val="1"/>
        </w:numPr>
        <w:spacing w:after="80" w:line="280" w:lineRule="auto"/>
      </w:pPr>
      <w:r>
        <w:t>Confusing a plain hostname with a full URL</w:t>
      </w:r>
    </w:p>
    <w:p w14:paraId="6BE9AFF0" w14:textId="77777777" w:rsidR="008F0DCC" w:rsidRDefault="00000000">
      <w:pPr>
        <w:pStyle w:val="ListParagraph"/>
        <w:numPr>
          <w:ilvl w:val="0"/>
          <w:numId w:val="1"/>
        </w:numPr>
        <w:spacing w:after="80" w:line="280" w:lineRule="auto"/>
      </w:pPr>
      <w:r>
        <w:t>Misreading a wildcard rule (thinking it covers more, or less, than it actually does)</w:t>
      </w:r>
    </w:p>
    <w:p w14:paraId="7F0F6BD1" w14:textId="77777777" w:rsidR="008F0DCC" w:rsidRDefault="00000000">
      <w:pPr>
        <w:pStyle w:val="ListParagraph"/>
        <w:numPr>
          <w:ilvl w:val="0"/>
          <w:numId w:val="1"/>
        </w:numPr>
        <w:spacing w:after="80" w:line="280" w:lineRule="auto"/>
      </w:pPr>
      <w:r>
        <w:t>Forgetting that a very specific rule should override a broader, general rule</w:t>
      </w:r>
    </w:p>
    <w:p w14:paraId="0DA824D8" w14:textId="77777777" w:rsidR="008F0DCC" w:rsidRDefault="00000000">
      <w:pPr>
        <w:pStyle w:val="ListParagraph"/>
        <w:numPr>
          <w:ilvl w:val="0"/>
          <w:numId w:val="1"/>
        </w:numPr>
        <w:spacing w:after="80" w:line="280" w:lineRule="auto"/>
      </w:pPr>
      <w:r>
        <w:t>Assuming a target is allowed just because it was mentioned somewhere on the page</w:t>
      </w:r>
    </w:p>
    <w:p w14:paraId="069A25F3" w14:textId="77777777" w:rsidR="008F0DCC" w:rsidRDefault="00000000">
      <w:pPr>
        <w:pStyle w:val="ListParagraph"/>
        <w:numPr>
          <w:ilvl w:val="0"/>
          <w:numId w:val="1"/>
        </w:numPr>
        <w:spacing w:after="80" w:line="280" w:lineRule="auto"/>
      </w:pPr>
      <w:r>
        <w:t>Starting to test before being fully sure the target is authorized</w:t>
      </w:r>
    </w:p>
    <w:p w14:paraId="62AE8696" w14:textId="77777777" w:rsidR="008F0DCC" w:rsidRDefault="00000000">
      <w:pPr>
        <w:spacing w:after="160" w:line="300" w:lineRule="auto"/>
      </w:pPr>
      <w:r>
        <w:t xml:space="preserve">Any one of these mistakes can turn an ethical, well-intentioned test into an unauthorized access incident. </w:t>
      </w:r>
      <w:proofErr w:type="spellStart"/>
      <w:r>
        <w:t>ScopeGuard</w:t>
      </w:r>
      <w:proofErr w:type="spellEnd"/>
      <w:r>
        <w:t xml:space="preserve"> removes the guesswork by turning this judgment call into a consistent, repeatable, and explainable decision.</w:t>
      </w:r>
    </w:p>
    <w:p w14:paraId="5C6E01E1" w14:textId="77777777" w:rsidR="008F0DCC" w:rsidRDefault="00000000">
      <w:pPr>
        <w:pStyle w:val="Heading1"/>
      </w:pPr>
      <w:r>
        <w:t>3. How It Works — The Big Picture</w:t>
      </w:r>
    </w:p>
    <w:p w14:paraId="034B0955" w14:textId="77777777" w:rsidR="008F0DCC" w:rsidRDefault="00000000">
      <w:pPr>
        <w:spacing w:after="160" w:line="300" w:lineRule="auto"/>
      </w:pPr>
      <w:proofErr w:type="spellStart"/>
      <w:r>
        <w:t>ScopeGuard</w:t>
      </w:r>
      <w:proofErr w:type="spellEnd"/>
      <w:r>
        <w:t xml:space="preserve"> does not try to read a bug bounty program page automatically — program pages are written in free-form English and can be interpreted in many ways, so a machine reading them directly </w:t>
      </w:r>
      <w:r>
        <w:lastRenderedPageBreak/>
        <w:t xml:space="preserve">would be unreliable and risky. Instead, </w:t>
      </w:r>
      <w:proofErr w:type="spellStart"/>
      <w:r>
        <w:t>ScopeGuard</w:t>
      </w:r>
      <w:proofErr w:type="spellEnd"/>
      <w:r>
        <w:t xml:space="preserve"> splits the work sensibly between a human and a program:</w:t>
      </w:r>
    </w:p>
    <w:p w14:paraId="70B1A744" w14:textId="77777777" w:rsidR="008F0DCC" w:rsidRDefault="00000000">
      <w:pPr>
        <w:pStyle w:val="ListParagraph"/>
        <w:numPr>
          <w:ilvl w:val="0"/>
          <w:numId w:val="1"/>
        </w:numPr>
        <w:spacing w:after="80" w:line="280" w:lineRule="auto"/>
      </w:pPr>
      <w:r>
        <w:t>The human (researcher) reads the entire program carefully and understands the intent behind the rules.</w:t>
      </w:r>
    </w:p>
    <w:p w14:paraId="6A6ACE0B" w14:textId="77777777" w:rsidR="008F0DCC" w:rsidRDefault="00000000">
      <w:pPr>
        <w:pStyle w:val="ListParagraph"/>
        <w:numPr>
          <w:ilvl w:val="0"/>
          <w:numId w:val="1"/>
        </w:numPr>
        <w:spacing w:after="80" w:line="280" w:lineRule="auto"/>
      </w:pPr>
      <w:r>
        <w:t>The human writes down the important rules in a simple, structured file (YAML format).</w:t>
      </w:r>
    </w:p>
    <w:p w14:paraId="1E6F73F5" w14:textId="77777777" w:rsidR="008F0DCC" w:rsidRDefault="00000000">
      <w:pPr>
        <w:pStyle w:val="ListParagraph"/>
        <w:numPr>
          <w:ilvl w:val="0"/>
          <w:numId w:val="1"/>
        </w:numPr>
        <w:spacing w:after="80" w:line="280" w:lineRule="auto"/>
      </w:pPr>
      <w:proofErr w:type="spellStart"/>
      <w:r>
        <w:t>ScopeGuard</w:t>
      </w:r>
      <w:proofErr w:type="spellEnd"/>
      <w:r>
        <w:t xml:space="preserve"> takes that structured file and makes fast, consistent, and explainable decisions from it.</w:t>
      </w:r>
    </w:p>
    <w:p w14:paraId="34C0506D" w14:textId="77777777" w:rsidR="008F0DCC" w:rsidRDefault="00000000">
      <w:pPr>
        <w:spacing w:before="120" w:after="120"/>
        <w:jc w:val="center"/>
      </w:pPr>
      <w:r>
        <w:rPr>
          <w:noProof/>
        </w:rPr>
        <w:drawing>
          <wp:inline distT="0" distB="0" distL="0" distR="0" wp14:anchorId="214E8555" wp14:editId="375E9B7E">
            <wp:extent cx="3619500" cy="448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486275"/>
                    </a:xfrm>
                    <a:prstGeom prst="rect">
                      <a:avLst/>
                    </a:prstGeom>
                  </pic:spPr>
                </pic:pic>
              </a:graphicData>
            </a:graphic>
          </wp:inline>
        </w:drawing>
      </w:r>
    </w:p>
    <w:p w14:paraId="50DA37F1" w14:textId="77777777" w:rsidR="008F0DCC" w:rsidRDefault="00000000">
      <w:pPr>
        <w:spacing w:after="240"/>
        <w:jc w:val="center"/>
      </w:pPr>
      <w:r>
        <w:rPr>
          <w:i/>
          <w:iCs/>
          <w:color w:val="595959"/>
          <w:sz w:val="20"/>
          <w:szCs w:val="20"/>
        </w:rPr>
        <w:t>Figure 1: The overall flow, from reading a bug bounty program to getting a testing decision.</w:t>
      </w:r>
    </w:p>
    <w:p w14:paraId="5EA10A4A" w14:textId="77777777" w:rsidR="008F0DCC" w:rsidRDefault="00000000">
      <w:pPr>
        <w:spacing w:after="160" w:line="300" w:lineRule="auto"/>
      </w:pPr>
      <w:r>
        <w:t xml:space="preserve">This split is intentional and important: humans are good at understanding written intent, while software is good at applying rules consistently without getting tired or careless. </w:t>
      </w:r>
      <w:proofErr w:type="spellStart"/>
      <w:r>
        <w:t>ScopeGuard</w:t>
      </w:r>
      <w:proofErr w:type="spellEnd"/>
      <w:r>
        <w:t xml:space="preserve"> focuses only on the part it can do reliably.</w:t>
      </w:r>
    </w:p>
    <w:p w14:paraId="6314AEBE" w14:textId="77777777" w:rsidR="008F0DCC" w:rsidRDefault="00000000">
      <w:pPr>
        <w:pStyle w:val="Heading1"/>
      </w:pPr>
      <w:r>
        <w:t>4. The Core Idea: Scope Rules</w:t>
      </w:r>
    </w:p>
    <w:p w14:paraId="2B80A483" w14:textId="77777777" w:rsidR="008F0DCC" w:rsidRDefault="00000000">
      <w:pPr>
        <w:spacing w:after="160" w:line="300" w:lineRule="auto"/>
      </w:pPr>
      <w:r>
        <w:lastRenderedPageBreak/>
        <w:t xml:space="preserve">Every rule </w:t>
      </w:r>
      <w:proofErr w:type="spellStart"/>
      <w:r>
        <w:t>ScopeGuard</w:t>
      </w:r>
      <w:proofErr w:type="spellEnd"/>
      <w:r>
        <w:t xml:space="preserve"> understands is written as a small, structured entry with four main parts: an ID (so it can be referred to), an effect (include or exclude), an asset (the actual target it refers to), and optionally a category or description for clarity.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F0DCC" w14:paraId="131D10BC" w14:textId="77777777">
        <w:tblPrEx>
          <w:tblCellMar>
            <w:top w:w="0" w:type="dxa"/>
            <w:bottom w:w="0" w:type="dxa"/>
          </w:tblCellMar>
        </w:tblPrEx>
        <w:tc>
          <w:tcPr>
            <w:tcW w:w="0" w:type="auto"/>
            <w:shd w:val="clear" w:color="auto" w:fill="F0F0F0"/>
            <w:tcMar>
              <w:top w:w="140" w:type="dxa"/>
              <w:left w:w="200" w:type="dxa"/>
              <w:bottom w:w="140" w:type="dxa"/>
              <w:right w:w="200" w:type="dxa"/>
            </w:tcMar>
          </w:tcPr>
          <w:p w14:paraId="0134083D" w14:textId="77777777" w:rsidR="008F0DCC" w:rsidRDefault="00000000">
            <w:pPr>
              <w:spacing w:line="260" w:lineRule="auto"/>
            </w:pPr>
            <w:r>
              <w:rPr>
                <w:rFonts w:ascii="Consolas" w:eastAsia="Consolas" w:hAnsi="Consolas" w:cs="Consolas"/>
                <w:color w:val="222222"/>
                <w:sz w:val="20"/>
                <w:szCs w:val="20"/>
              </w:rPr>
              <w:t>- id: "S001"</w:t>
            </w:r>
          </w:p>
          <w:p w14:paraId="442CCD0C" w14:textId="77777777" w:rsidR="008F0DCC" w:rsidRDefault="00000000">
            <w:pPr>
              <w:spacing w:line="260" w:lineRule="auto"/>
            </w:pPr>
            <w:r>
              <w:rPr>
                <w:rFonts w:ascii="Consolas" w:eastAsia="Consolas" w:hAnsi="Consolas" w:cs="Consolas"/>
                <w:color w:val="222222"/>
                <w:sz w:val="20"/>
                <w:szCs w:val="20"/>
              </w:rPr>
              <w:t xml:space="preserve">  effect: "include"</w:t>
            </w:r>
          </w:p>
          <w:p w14:paraId="05C32ABE" w14:textId="77777777" w:rsidR="008F0DCC" w:rsidRDefault="00000000">
            <w:pPr>
              <w:spacing w:line="260" w:lineRule="auto"/>
            </w:pPr>
            <w:r>
              <w:rPr>
                <w:rFonts w:ascii="Consolas" w:eastAsia="Consolas" w:hAnsi="Consolas" w:cs="Consolas"/>
                <w:color w:val="222222"/>
                <w:sz w:val="20"/>
                <w:szCs w:val="20"/>
              </w:rPr>
              <w:t xml:space="preserve">  asset:</w:t>
            </w:r>
          </w:p>
          <w:p w14:paraId="2B4B70C0" w14:textId="77777777" w:rsidR="008F0DCC" w:rsidRDefault="00000000">
            <w:pPr>
              <w:spacing w:line="260" w:lineRule="auto"/>
            </w:pPr>
            <w:r>
              <w:rPr>
                <w:rFonts w:ascii="Consolas" w:eastAsia="Consolas" w:hAnsi="Consolas" w:cs="Consolas"/>
                <w:color w:val="222222"/>
                <w:sz w:val="20"/>
                <w:szCs w:val="20"/>
              </w:rPr>
              <w:t xml:space="preserve">    type: "hostname"</w:t>
            </w:r>
          </w:p>
          <w:p w14:paraId="0831324C" w14:textId="77777777" w:rsidR="008F0DCC" w:rsidRDefault="00000000">
            <w:pPr>
              <w:spacing w:line="260" w:lineRule="auto"/>
            </w:pPr>
            <w:r>
              <w:rPr>
                <w:rFonts w:ascii="Consolas" w:eastAsia="Consolas" w:hAnsi="Consolas" w:cs="Consolas"/>
                <w:color w:val="222222"/>
                <w:sz w:val="20"/>
                <w:szCs w:val="20"/>
              </w:rPr>
              <w:t xml:space="preserve">    value: "example.com"</w:t>
            </w:r>
          </w:p>
          <w:p w14:paraId="62633818" w14:textId="77777777" w:rsidR="008F0DCC" w:rsidRDefault="00000000">
            <w:pPr>
              <w:spacing w:line="260" w:lineRule="auto"/>
            </w:pPr>
            <w:r>
              <w:rPr>
                <w:rFonts w:ascii="Consolas" w:eastAsia="Consolas" w:hAnsi="Consolas" w:cs="Consolas"/>
                <w:color w:val="222222"/>
                <w:sz w:val="20"/>
                <w:szCs w:val="20"/>
              </w:rPr>
              <w:t xml:space="preserve"> </w:t>
            </w:r>
          </w:p>
          <w:p w14:paraId="136BCA30" w14:textId="77777777" w:rsidR="008F0DCC" w:rsidRDefault="00000000">
            <w:pPr>
              <w:spacing w:line="260" w:lineRule="auto"/>
            </w:pPr>
            <w:r>
              <w:rPr>
                <w:rFonts w:ascii="Consolas" w:eastAsia="Consolas" w:hAnsi="Consolas" w:cs="Consolas"/>
                <w:color w:val="222222"/>
                <w:sz w:val="20"/>
                <w:szCs w:val="20"/>
              </w:rPr>
              <w:t>- id: "S002"</w:t>
            </w:r>
          </w:p>
          <w:p w14:paraId="29384245" w14:textId="77777777" w:rsidR="008F0DCC" w:rsidRDefault="00000000">
            <w:pPr>
              <w:spacing w:line="260" w:lineRule="auto"/>
            </w:pPr>
            <w:r>
              <w:rPr>
                <w:rFonts w:ascii="Consolas" w:eastAsia="Consolas" w:hAnsi="Consolas" w:cs="Consolas"/>
                <w:color w:val="222222"/>
                <w:sz w:val="20"/>
                <w:szCs w:val="20"/>
              </w:rPr>
              <w:t xml:space="preserve">  effect: "exclude"</w:t>
            </w:r>
          </w:p>
          <w:p w14:paraId="6E5318B2" w14:textId="77777777" w:rsidR="008F0DCC" w:rsidRDefault="00000000">
            <w:pPr>
              <w:spacing w:line="260" w:lineRule="auto"/>
            </w:pPr>
            <w:r>
              <w:rPr>
                <w:rFonts w:ascii="Consolas" w:eastAsia="Consolas" w:hAnsi="Consolas" w:cs="Consolas"/>
                <w:color w:val="222222"/>
                <w:sz w:val="20"/>
                <w:szCs w:val="20"/>
              </w:rPr>
              <w:t xml:space="preserve">  asset:</w:t>
            </w:r>
          </w:p>
          <w:p w14:paraId="04E75762" w14:textId="77777777" w:rsidR="008F0DCC" w:rsidRDefault="00000000">
            <w:pPr>
              <w:spacing w:line="260" w:lineRule="auto"/>
            </w:pPr>
            <w:r>
              <w:rPr>
                <w:rFonts w:ascii="Consolas" w:eastAsia="Consolas" w:hAnsi="Consolas" w:cs="Consolas"/>
                <w:color w:val="222222"/>
                <w:sz w:val="20"/>
                <w:szCs w:val="20"/>
              </w:rPr>
              <w:t xml:space="preserve">    type: "hostname"</w:t>
            </w:r>
          </w:p>
          <w:p w14:paraId="3A1001AD" w14:textId="77777777" w:rsidR="008F0DCC" w:rsidRDefault="00000000">
            <w:pPr>
              <w:spacing w:line="260" w:lineRule="auto"/>
            </w:pPr>
            <w:r>
              <w:rPr>
                <w:rFonts w:ascii="Consolas" w:eastAsia="Consolas" w:hAnsi="Consolas" w:cs="Consolas"/>
                <w:color w:val="222222"/>
                <w:sz w:val="20"/>
                <w:szCs w:val="20"/>
              </w:rPr>
              <w:t xml:space="preserve">    value: "admin.example.com"</w:t>
            </w:r>
          </w:p>
        </w:tc>
      </w:tr>
    </w:tbl>
    <w:p w14:paraId="5D17A954" w14:textId="77777777" w:rsidR="008F0DCC" w:rsidRDefault="00000000">
      <w:pPr>
        <w:spacing w:after="160" w:line="300" w:lineRule="auto"/>
      </w:pPr>
      <w:r>
        <w:t>In plain English, this file says two things:</w:t>
      </w:r>
    </w:p>
    <w:p w14:paraId="6FC7DBB9" w14:textId="77777777" w:rsidR="008F0DCC" w:rsidRDefault="00000000">
      <w:pPr>
        <w:pStyle w:val="ListParagraph"/>
        <w:numPr>
          <w:ilvl w:val="0"/>
          <w:numId w:val="1"/>
        </w:numPr>
        <w:spacing w:after="80" w:line="280" w:lineRule="auto"/>
      </w:pPr>
      <w:r>
        <w:t>“example.com is allowed to be tested” (include)</w:t>
      </w:r>
    </w:p>
    <w:p w14:paraId="61452ABC" w14:textId="77777777" w:rsidR="008F0DCC" w:rsidRDefault="00000000">
      <w:pPr>
        <w:pStyle w:val="ListParagraph"/>
        <w:numPr>
          <w:ilvl w:val="0"/>
          <w:numId w:val="1"/>
        </w:numPr>
        <w:spacing w:after="80" w:line="280" w:lineRule="auto"/>
      </w:pPr>
      <w:r>
        <w:t>“admin.example.com is NOT allowed to be tested, even though it looks related” (exclude)</w:t>
      </w:r>
    </w:p>
    <w:p w14:paraId="3585691B" w14:textId="77777777" w:rsidR="008F0DCC" w:rsidRDefault="00000000">
      <w:pPr>
        <w:spacing w:after="160" w:line="300" w:lineRule="auto"/>
      </w:pPr>
      <w:r>
        <w:t xml:space="preserve">YAML was chosen for this file because it reads almost like plain English, is easy to edit without knowing how to code, and is a format Python (the language </w:t>
      </w:r>
      <w:proofErr w:type="spellStart"/>
      <w:r>
        <w:t>ScopeGuard</w:t>
      </w:r>
      <w:proofErr w:type="spellEnd"/>
      <w:r>
        <w:t xml:space="preserve"> is built in) can process very reliably.</w:t>
      </w:r>
    </w:p>
    <w:p w14:paraId="5A1DFF7B" w14:textId="77777777" w:rsidR="008F0DCC" w:rsidRDefault="00000000">
      <w:pPr>
        <w:pStyle w:val="Heading1"/>
      </w:pPr>
      <w:r>
        <w:t>5. What Kinds of Targets Can It Understand?</w:t>
      </w:r>
    </w:p>
    <w:p w14:paraId="4BDF073F" w14:textId="77777777" w:rsidR="008F0DCC" w:rsidRDefault="00000000">
      <w:pPr>
        <w:spacing w:after="160" w:line="300" w:lineRule="auto"/>
      </w:pPr>
      <w:proofErr w:type="spellStart"/>
      <w:r>
        <w:t>ScopeGuard</w:t>
      </w:r>
      <w:proofErr w:type="spellEnd"/>
      <w:r>
        <w:t xml:space="preserve"> V1 understands six common types of targets that show up in almost every bug bounty program: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265"/>
        <w:gridCol w:w="3043"/>
      </w:tblGrid>
      <w:tr w:rsidR="008F0DCC" w14:paraId="1A4CC7A1" w14:textId="77777777">
        <w:tblPrEx>
          <w:tblCellMar>
            <w:top w:w="0" w:type="dxa"/>
            <w:bottom w:w="0" w:type="dxa"/>
          </w:tblCellMar>
        </w:tblPrEx>
        <w:trPr>
          <w:tblHeader/>
        </w:trPr>
        <w:tc>
          <w:tcPr>
            <w:tcW w:w="2400" w:type="dxa"/>
            <w:shd w:val="clear" w:color="auto" w:fill="1F4E79"/>
            <w:tcMar>
              <w:top w:w="100" w:type="dxa"/>
              <w:left w:w="120" w:type="dxa"/>
              <w:bottom w:w="100" w:type="dxa"/>
              <w:right w:w="120" w:type="dxa"/>
            </w:tcMar>
            <w:vAlign w:val="center"/>
          </w:tcPr>
          <w:p w14:paraId="4625D580" w14:textId="77777777" w:rsidR="008F0DCC" w:rsidRDefault="00000000">
            <w:r>
              <w:rPr>
                <w:b/>
                <w:bCs/>
                <w:color w:val="FFFFFF"/>
                <w:sz w:val="21"/>
                <w:szCs w:val="21"/>
              </w:rPr>
              <w:t>Asset Type</w:t>
            </w:r>
          </w:p>
        </w:tc>
        <w:tc>
          <w:tcPr>
            <w:tcW w:w="2400" w:type="dxa"/>
            <w:shd w:val="clear" w:color="auto" w:fill="1F4E79"/>
            <w:tcMar>
              <w:top w:w="100" w:type="dxa"/>
              <w:left w:w="120" w:type="dxa"/>
              <w:bottom w:w="100" w:type="dxa"/>
              <w:right w:w="120" w:type="dxa"/>
            </w:tcMar>
            <w:vAlign w:val="center"/>
          </w:tcPr>
          <w:p w14:paraId="347C72A2" w14:textId="77777777" w:rsidR="008F0DCC" w:rsidRDefault="00000000">
            <w:r>
              <w:rPr>
                <w:b/>
                <w:bCs/>
                <w:color w:val="FFFFFF"/>
                <w:sz w:val="21"/>
                <w:szCs w:val="21"/>
              </w:rPr>
              <w:t>What It Looks Like</w:t>
            </w:r>
          </w:p>
        </w:tc>
        <w:tc>
          <w:tcPr>
            <w:tcW w:w="2400" w:type="dxa"/>
            <w:shd w:val="clear" w:color="auto" w:fill="1F4E79"/>
            <w:tcMar>
              <w:top w:w="100" w:type="dxa"/>
              <w:left w:w="120" w:type="dxa"/>
              <w:bottom w:w="100" w:type="dxa"/>
              <w:right w:w="120" w:type="dxa"/>
            </w:tcMar>
            <w:vAlign w:val="center"/>
          </w:tcPr>
          <w:p w14:paraId="2546703E" w14:textId="77777777" w:rsidR="008F0DCC" w:rsidRDefault="00000000">
            <w:r>
              <w:rPr>
                <w:b/>
                <w:bCs/>
                <w:color w:val="FFFFFF"/>
                <w:sz w:val="21"/>
                <w:szCs w:val="21"/>
              </w:rPr>
              <w:t>What It Means</w:t>
            </w:r>
          </w:p>
        </w:tc>
      </w:tr>
      <w:tr w:rsidR="008F0DCC" w14:paraId="0DD014E6"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E931B72" w14:textId="77777777" w:rsidR="008F0DCC" w:rsidRDefault="00000000">
            <w:r>
              <w:rPr>
                <w:color w:val="000000"/>
                <w:sz w:val="21"/>
                <w:szCs w:val="21"/>
              </w:rPr>
              <w:t>Hostname</w:t>
            </w:r>
          </w:p>
        </w:tc>
        <w:tc>
          <w:tcPr>
            <w:tcW w:w="2400" w:type="dxa"/>
            <w:shd w:val="clear" w:color="auto" w:fill="FFFFFF"/>
            <w:tcMar>
              <w:top w:w="100" w:type="dxa"/>
              <w:left w:w="120" w:type="dxa"/>
              <w:bottom w:w="100" w:type="dxa"/>
              <w:right w:w="120" w:type="dxa"/>
            </w:tcMar>
            <w:vAlign w:val="center"/>
          </w:tcPr>
          <w:p w14:paraId="3C90A17B" w14:textId="77777777" w:rsidR="008F0DCC" w:rsidRDefault="00000000">
            <w:r>
              <w:rPr>
                <w:color w:val="000000"/>
                <w:sz w:val="21"/>
                <w:szCs w:val="21"/>
              </w:rPr>
              <w:t>example.com</w:t>
            </w:r>
          </w:p>
        </w:tc>
        <w:tc>
          <w:tcPr>
            <w:tcW w:w="2400" w:type="dxa"/>
            <w:shd w:val="clear" w:color="auto" w:fill="FFFFFF"/>
            <w:tcMar>
              <w:top w:w="100" w:type="dxa"/>
              <w:left w:w="120" w:type="dxa"/>
              <w:bottom w:w="100" w:type="dxa"/>
              <w:right w:w="120" w:type="dxa"/>
            </w:tcMar>
            <w:vAlign w:val="center"/>
          </w:tcPr>
          <w:p w14:paraId="138FC6F3" w14:textId="77777777" w:rsidR="008F0DCC" w:rsidRDefault="00000000">
            <w:r>
              <w:rPr>
                <w:color w:val="000000"/>
                <w:sz w:val="21"/>
                <w:szCs w:val="21"/>
              </w:rPr>
              <w:t>One exact website address</w:t>
            </w:r>
          </w:p>
        </w:tc>
      </w:tr>
      <w:tr w:rsidR="008F0DCC" w14:paraId="352F4849"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2BE6D03" w14:textId="77777777" w:rsidR="008F0DCC" w:rsidRDefault="00000000">
            <w:r>
              <w:rPr>
                <w:color w:val="000000"/>
                <w:sz w:val="21"/>
                <w:szCs w:val="21"/>
              </w:rPr>
              <w:t>Host Wildcard</w:t>
            </w:r>
          </w:p>
        </w:tc>
        <w:tc>
          <w:tcPr>
            <w:tcW w:w="2400" w:type="dxa"/>
            <w:shd w:val="clear" w:color="auto" w:fill="FFFFFF"/>
            <w:tcMar>
              <w:top w:w="100" w:type="dxa"/>
              <w:left w:w="120" w:type="dxa"/>
              <w:bottom w:w="100" w:type="dxa"/>
              <w:right w:w="120" w:type="dxa"/>
            </w:tcMar>
            <w:vAlign w:val="center"/>
          </w:tcPr>
          <w:p w14:paraId="5E68BB11" w14:textId="77777777" w:rsidR="008F0DCC" w:rsidRDefault="00000000">
            <w:r>
              <w:rPr>
                <w:color w:val="000000"/>
                <w:sz w:val="21"/>
                <w:szCs w:val="21"/>
              </w:rPr>
              <w:t>*.example.com</w:t>
            </w:r>
          </w:p>
        </w:tc>
        <w:tc>
          <w:tcPr>
            <w:tcW w:w="2400" w:type="dxa"/>
            <w:shd w:val="clear" w:color="auto" w:fill="FFFFFF"/>
            <w:tcMar>
              <w:top w:w="100" w:type="dxa"/>
              <w:left w:w="120" w:type="dxa"/>
              <w:bottom w:w="100" w:type="dxa"/>
              <w:right w:w="120" w:type="dxa"/>
            </w:tcMar>
            <w:vAlign w:val="center"/>
          </w:tcPr>
          <w:p w14:paraId="72DD771B" w14:textId="77777777" w:rsidR="008F0DCC" w:rsidRDefault="00000000">
            <w:r>
              <w:rPr>
                <w:color w:val="000000"/>
                <w:sz w:val="21"/>
                <w:szCs w:val="21"/>
              </w:rPr>
              <w:t>Any subdomain of example.com</w:t>
            </w:r>
          </w:p>
        </w:tc>
      </w:tr>
      <w:tr w:rsidR="008F0DCC" w14:paraId="2C138A2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71F4ED8F" w14:textId="77777777" w:rsidR="008F0DCC" w:rsidRDefault="00000000">
            <w:r>
              <w:rPr>
                <w:color w:val="000000"/>
                <w:sz w:val="21"/>
                <w:szCs w:val="21"/>
              </w:rPr>
              <w:t>Exact URL</w:t>
            </w:r>
          </w:p>
        </w:tc>
        <w:tc>
          <w:tcPr>
            <w:tcW w:w="2400" w:type="dxa"/>
            <w:shd w:val="clear" w:color="auto" w:fill="FFFFFF"/>
            <w:tcMar>
              <w:top w:w="100" w:type="dxa"/>
              <w:left w:w="120" w:type="dxa"/>
              <w:bottom w:w="100" w:type="dxa"/>
              <w:right w:w="120" w:type="dxa"/>
            </w:tcMar>
            <w:vAlign w:val="center"/>
          </w:tcPr>
          <w:p w14:paraId="5C4A8D5F" w14:textId="77777777" w:rsidR="008F0DCC" w:rsidRDefault="00000000">
            <w:r>
              <w:rPr>
                <w:color w:val="000000"/>
                <w:sz w:val="21"/>
                <w:szCs w:val="21"/>
              </w:rPr>
              <w:t>https://example.com/login</w:t>
            </w:r>
          </w:p>
        </w:tc>
        <w:tc>
          <w:tcPr>
            <w:tcW w:w="2400" w:type="dxa"/>
            <w:shd w:val="clear" w:color="auto" w:fill="FFFFFF"/>
            <w:tcMar>
              <w:top w:w="100" w:type="dxa"/>
              <w:left w:w="120" w:type="dxa"/>
              <w:bottom w:w="100" w:type="dxa"/>
              <w:right w:w="120" w:type="dxa"/>
            </w:tcMar>
            <w:vAlign w:val="center"/>
          </w:tcPr>
          <w:p w14:paraId="331E4A42" w14:textId="77777777" w:rsidR="008F0DCC" w:rsidRDefault="00000000">
            <w:r>
              <w:rPr>
                <w:color w:val="000000"/>
                <w:sz w:val="21"/>
                <w:szCs w:val="21"/>
              </w:rPr>
              <w:t>One exact web page or endpoint</w:t>
            </w:r>
          </w:p>
        </w:tc>
      </w:tr>
      <w:tr w:rsidR="008F0DCC" w14:paraId="00B3BDB1"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4A82BFA" w14:textId="77777777" w:rsidR="008F0DCC" w:rsidRDefault="00000000">
            <w:r>
              <w:rPr>
                <w:color w:val="000000"/>
                <w:sz w:val="21"/>
                <w:szCs w:val="21"/>
              </w:rPr>
              <w:t>URL Path Wildcard</w:t>
            </w:r>
          </w:p>
        </w:tc>
        <w:tc>
          <w:tcPr>
            <w:tcW w:w="2400" w:type="dxa"/>
            <w:shd w:val="clear" w:color="auto" w:fill="FFFFFF"/>
            <w:tcMar>
              <w:top w:w="100" w:type="dxa"/>
              <w:left w:w="120" w:type="dxa"/>
              <w:bottom w:w="100" w:type="dxa"/>
              <w:right w:w="120" w:type="dxa"/>
            </w:tcMar>
            <w:vAlign w:val="center"/>
          </w:tcPr>
          <w:p w14:paraId="42ABCA92" w14:textId="77777777" w:rsidR="008F0DCC" w:rsidRDefault="00000000">
            <w:r>
              <w:rPr>
                <w:color w:val="000000"/>
                <w:sz w:val="21"/>
                <w:szCs w:val="21"/>
              </w:rPr>
              <w:t>https://example.com/api/*</w:t>
            </w:r>
          </w:p>
        </w:tc>
        <w:tc>
          <w:tcPr>
            <w:tcW w:w="2400" w:type="dxa"/>
            <w:shd w:val="clear" w:color="auto" w:fill="FFFFFF"/>
            <w:tcMar>
              <w:top w:w="100" w:type="dxa"/>
              <w:left w:w="120" w:type="dxa"/>
              <w:bottom w:w="100" w:type="dxa"/>
              <w:right w:w="120" w:type="dxa"/>
            </w:tcMar>
            <w:vAlign w:val="center"/>
          </w:tcPr>
          <w:p w14:paraId="53871815" w14:textId="77777777" w:rsidR="008F0DCC" w:rsidRDefault="00000000">
            <w:r>
              <w:rPr>
                <w:color w:val="000000"/>
                <w:sz w:val="21"/>
                <w:szCs w:val="21"/>
              </w:rPr>
              <w:t>That path and everything under it</w:t>
            </w:r>
          </w:p>
        </w:tc>
      </w:tr>
      <w:tr w:rsidR="008F0DCC" w14:paraId="14BD6F72"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0A80DD89" w14:textId="77777777" w:rsidR="008F0DCC" w:rsidRDefault="00000000">
            <w:r>
              <w:rPr>
                <w:color w:val="000000"/>
                <w:sz w:val="21"/>
                <w:szCs w:val="21"/>
              </w:rPr>
              <w:t>IPv4 Address</w:t>
            </w:r>
          </w:p>
        </w:tc>
        <w:tc>
          <w:tcPr>
            <w:tcW w:w="2400" w:type="dxa"/>
            <w:shd w:val="clear" w:color="auto" w:fill="FFFFFF"/>
            <w:tcMar>
              <w:top w:w="100" w:type="dxa"/>
              <w:left w:w="120" w:type="dxa"/>
              <w:bottom w:w="100" w:type="dxa"/>
              <w:right w:w="120" w:type="dxa"/>
            </w:tcMar>
            <w:vAlign w:val="center"/>
          </w:tcPr>
          <w:p w14:paraId="0CBF8706" w14:textId="77777777" w:rsidR="008F0DCC" w:rsidRDefault="00000000">
            <w:r>
              <w:rPr>
                <w:color w:val="000000"/>
                <w:sz w:val="21"/>
                <w:szCs w:val="21"/>
              </w:rPr>
              <w:t>192.168.1.10</w:t>
            </w:r>
          </w:p>
        </w:tc>
        <w:tc>
          <w:tcPr>
            <w:tcW w:w="2400" w:type="dxa"/>
            <w:shd w:val="clear" w:color="auto" w:fill="FFFFFF"/>
            <w:tcMar>
              <w:top w:w="100" w:type="dxa"/>
              <w:left w:w="120" w:type="dxa"/>
              <w:bottom w:w="100" w:type="dxa"/>
              <w:right w:w="120" w:type="dxa"/>
            </w:tcMar>
            <w:vAlign w:val="center"/>
          </w:tcPr>
          <w:p w14:paraId="2AAB9D47" w14:textId="77777777" w:rsidR="008F0DCC" w:rsidRDefault="00000000">
            <w:r>
              <w:rPr>
                <w:color w:val="000000"/>
                <w:sz w:val="21"/>
                <w:szCs w:val="21"/>
              </w:rPr>
              <w:t>One exact server address</w:t>
            </w:r>
          </w:p>
        </w:tc>
      </w:tr>
      <w:tr w:rsidR="008F0DCC" w14:paraId="22049651"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42691E8D" w14:textId="77777777" w:rsidR="008F0DCC" w:rsidRDefault="00000000">
            <w:r>
              <w:rPr>
                <w:color w:val="000000"/>
                <w:sz w:val="21"/>
                <w:szCs w:val="21"/>
              </w:rPr>
              <w:t>IPv4 Network (CIDR)</w:t>
            </w:r>
          </w:p>
        </w:tc>
        <w:tc>
          <w:tcPr>
            <w:tcW w:w="2400" w:type="dxa"/>
            <w:shd w:val="clear" w:color="auto" w:fill="FFFFFF"/>
            <w:tcMar>
              <w:top w:w="100" w:type="dxa"/>
              <w:left w:w="120" w:type="dxa"/>
              <w:bottom w:w="100" w:type="dxa"/>
              <w:right w:w="120" w:type="dxa"/>
            </w:tcMar>
            <w:vAlign w:val="center"/>
          </w:tcPr>
          <w:p w14:paraId="55C5D6E8" w14:textId="77777777" w:rsidR="008F0DCC" w:rsidRDefault="00000000">
            <w:r>
              <w:rPr>
                <w:color w:val="000000"/>
                <w:sz w:val="21"/>
                <w:szCs w:val="21"/>
              </w:rPr>
              <w:t>192.168.1.0/24</w:t>
            </w:r>
          </w:p>
        </w:tc>
        <w:tc>
          <w:tcPr>
            <w:tcW w:w="2400" w:type="dxa"/>
            <w:shd w:val="clear" w:color="auto" w:fill="FFFFFF"/>
            <w:tcMar>
              <w:top w:w="100" w:type="dxa"/>
              <w:left w:w="120" w:type="dxa"/>
              <w:bottom w:w="100" w:type="dxa"/>
              <w:right w:w="120" w:type="dxa"/>
            </w:tcMar>
            <w:vAlign w:val="center"/>
          </w:tcPr>
          <w:p w14:paraId="21D275F9" w14:textId="77777777" w:rsidR="008F0DCC" w:rsidRDefault="00000000">
            <w:r>
              <w:rPr>
                <w:color w:val="000000"/>
                <w:sz w:val="21"/>
                <w:szCs w:val="21"/>
              </w:rPr>
              <w:t>A whole range/block of server addresses</w:t>
            </w:r>
          </w:p>
        </w:tc>
      </w:tr>
    </w:tbl>
    <w:p w14:paraId="2507787F" w14:textId="77777777" w:rsidR="008F0DCC" w:rsidRDefault="008F0DCC">
      <w:pPr>
        <w:spacing w:after="200"/>
      </w:pPr>
    </w:p>
    <w:p w14:paraId="2AA65629" w14:textId="77777777" w:rsidR="008F0DCC" w:rsidRDefault="00000000">
      <w:pPr>
        <w:pStyle w:val="Heading1"/>
      </w:pPr>
      <w:r>
        <w:t>6. Making the Right Call When Rules Overlap (Specificity)</w:t>
      </w:r>
    </w:p>
    <w:p w14:paraId="4A443B4F" w14:textId="77777777" w:rsidR="008F0DCC" w:rsidRDefault="00000000">
      <w:pPr>
        <w:spacing w:after="160" w:line="300" w:lineRule="auto"/>
      </w:pPr>
      <w:r>
        <w:lastRenderedPageBreak/>
        <w:t xml:space="preserve">Real bug bounty programs often have rules that overlap. For example, a program might broadly allow all subdomains of example.com, but separately exclude one specific subdomain, like the admin panel. When a target matches more than one rule, </w:t>
      </w:r>
      <w:proofErr w:type="spellStart"/>
      <w:r>
        <w:t>ScopeGuard</w:t>
      </w:r>
      <w:proofErr w:type="spellEnd"/>
      <w:r>
        <w:t xml:space="preserve"> needs a fair, predictable way to decide which rule “wins”.</w:t>
      </w:r>
    </w:p>
    <w:p w14:paraId="36A42C6D" w14:textId="77777777" w:rsidR="008F0DCC" w:rsidRDefault="00000000">
      <w:pPr>
        <w:spacing w:after="160" w:line="300" w:lineRule="auto"/>
      </w:pPr>
      <w:r>
        <w:t>The guiding principle is simple and matches common sense: a rule that names something exactly and specifically should win over a rule that only mentions something broadly and generally.</w:t>
      </w:r>
    </w:p>
    <w:p w14:paraId="53492C8F" w14:textId="77777777" w:rsidR="008F0DCC" w:rsidRDefault="00000000">
      <w:pPr>
        <w:spacing w:before="120" w:after="120"/>
        <w:jc w:val="center"/>
      </w:pPr>
      <w:r>
        <w:rPr>
          <w:noProof/>
        </w:rPr>
        <w:drawing>
          <wp:inline distT="0" distB="0" distL="0" distR="0" wp14:anchorId="1564DF80" wp14:editId="59DEDEE8">
            <wp:extent cx="5715000" cy="1666875"/>
            <wp:effectExtent l="0" t="0" r="0" b="0"/>
            <wp:docPr id="1879227413" name="Picture 1879227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666875"/>
                    </a:xfrm>
                    <a:prstGeom prst="rect">
                      <a:avLst/>
                    </a:prstGeom>
                  </pic:spPr>
                </pic:pic>
              </a:graphicData>
            </a:graphic>
          </wp:inline>
        </w:drawing>
      </w:r>
    </w:p>
    <w:p w14:paraId="393F576C" w14:textId="77777777" w:rsidR="008F0DCC" w:rsidRDefault="00000000">
      <w:pPr>
        <w:spacing w:after="240"/>
        <w:jc w:val="center"/>
      </w:pPr>
      <w:r>
        <w:rPr>
          <w:i/>
          <w:iCs/>
          <w:color w:val="595959"/>
          <w:sz w:val="20"/>
          <w:szCs w:val="20"/>
        </w:rPr>
        <w:t>Figure 2: When two rules disagree, the more specific rule always wins — here, the exact hostname rule beats the wildcard.</w:t>
      </w:r>
    </w:p>
    <w:p w14:paraId="4E098C2C" w14:textId="77777777" w:rsidR="008F0DCC" w:rsidRDefault="00000000">
      <w:pPr>
        <w:spacing w:after="160" w:line="300" w:lineRule="auto"/>
      </w:pPr>
      <w:r>
        <w:t xml:space="preserve">This same idea of “more specific wins” applies across every asset type </w:t>
      </w:r>
      <w:proofErr w:type="spellStart"/>
      <w:r>
        <w:t>ScopeGuard</w:t>
      </w:r>
      <w:proofErr w:type="spellEnd"/>
      <w:r>
        <w:t xml:space="preserve"> understands:</w:t>
      </w:r>
    </w:p>
    <w:p w14:paraId="5F5347D4" w14:textId="77777777" w:rsidR="008F0DCC" w:rsidRDefault="00000000">
      <w:pPr>
        <w:pStyle w:val="ListParagraph"/>
        <w:numPr>
          <w:ilvl w:val="0"/>
          <w:numId w:val="1"/>
        </w:numPr>
        <w:spacing w:after="80" w:line="280" w:lineRule="auto"/>
      </w:pPr>
      <w:r>
        <w:t>An exact hostname beats a wildcard hostname</w:t>
      </w:r>
    </w:p>
    <w:p w14:paraId="18F773AC" w14:textId="77777777" w:rsidR="008F0DCC" w:rsidRDefault="00000000">
      <w:pPr>
        <w:pStyle w:val="ListParagraph"/>
        <w:numPr>
          <w:ilvl w:val="0"/>
          <w:numId w:val="1"/>
        </w:numPr>
        <w:spacing w:after="80" w:line="280" w:lineRule="auto"/>
      </w:pPr>
      <w:r>
        <w:t>An exact URL beats a general URL-path wildcard, and a deeper path wildcard beats a shallower one</w:t>
      </w:r>
    </w:p>
    <w:p w14:paraId="681D5749" w14:textId="77777777" w:rsidR="008F0DCC" w:rsidRDefault="00000000">
      <w:pPr>
        <w:pStyle w:val="ListParagraph"/>
        <w:numPr>
          <w:ilvl w:val="0"/>
          <w:numId w:val="1"/>
        </w:numPr>
        <w:spacing w:after="80" w:line="280" w:lineRule="auto"/>
      </w:pPr>
      <w:r>
        <w:t>An exact IP address beats a narrower network range, which beats a broader network range</w:t>
      </w:r>
    </w:p>
    <w:p w14:paraId="48AA8880" w14:textId="77777777" w:rsidR="008F0DCC" w:rsidRDefault="00000000">
      <w:pPr>
        <w:pStyle w:val="Heading1"/>
      </w:pPr>
      <w:r>
        <w:t xml:space="preserve">7. What Happens When </w:t>
      </w:r>
      <w:proofErr w:type="spellStart"/>
      <w:r>
        <w:t>ScopeGuard</w:t>
      </w:r>
      <w:proofErr w:type="spellEnd"/>
      <w:r>
        <w:t xml:space="preserve"> Isn't Sure</w:t>
      </w:r>
    </w:p>
    <w:p w14:paraId="51436F70" w14:textId="77777777" w:rsidR="008F0DCC" w:rsidRDefault="00000000">
      <w:pPr>
        <w:spacing w:after="160" w:line="300" w:lineRule="auto"/>
      </w:pPr>
      <w:r>
        <w:t xml:space="preserve">Not every situation is clear-cut. </w:t>
      </w:r>
      <w:proofErr w:type="spellStart"/>
      <w:r>
        <w:t>ScopeGuard</w:t>
      </w:r>
      <w:proofErr w:type="spellEnd"/>
      <w:r>
        <w:t xml:space="preserve"> is deliberately cautious in these situations, following what security professionals call a “fail-closed” approach — meaning that when in doubt, it always leans toward safety rather than convenience.</w:t>
      </w:r>
    </w:p>
    <w:p w14:paraId="23170CD5" w14:textId="77777777" w:rsidR="008F0DCC" w:rsidRDefault="00000000">
      <w:pPr>
        <w:pStyle w:val="Heading2"/>
      </w:pPr>
      <w:r>
        <w:t>7.1 When Rules Directly Contradict Each Other</w:t>
      </w:r>
    </w:p>
    <w:p w14:paraId="4654057F" w14:textId="77777777" w:rsidR="008F0DCC" w:rsidRDefault="00000000">
      <w:pPr>
        <w:spacing w:after="160" w:line="300" w:lineRule="auto"/>
      </w:pPr>
      <w:r>
        <w:t xml:space="preserve">If two rules are equally specific but disagree — for example, one says a target is included and another equally specific rule says it's excluded — </w:t>
      </w:r>
      <w:proofErr w:type="spellStart"/>
      <w:r>
        <w:t>ScopeGuard</w:t>
      </w:r>
      <w:proofErr w:type="spellEnd"/>
      <w:r>
        <w:t xml:space="preserve"> does not guess or pick one arbitrarily. It reports the result as a CONFLICT and asks the researcher to resolve the contradiction manually.</w:t>
      </w:r>
    </w:p>
    <w:p w14:paraId="2063A2DE" w14:textId="77777777" w:rsidR="008F0DCC" w:rsidRDefault="00000000">
      <w:pPr>
        <w:pStyle w:val="Heading2"/>
      </w:pPr>
      <w:r>
        <w:t xml:space="preserve">7.2 When </w:t>
      </w:r>
      <w:proofErr w:type="spellStart"/>
      <w:r>
        <w:t>ScopeGuard</w:t>
      </w:r>
      <w:proofErr w:type="spellEnd"/>
      <w:r>
        <w:t xml:space="preserve"> Cannot Safely Decide</w:t>
      </w:r>
    </w:p>
    <w:p w14:paraId="296BEE4D" w14:textId="77777777" w:rsidR="008F0DCC" w:rsidRDefault="00000000">
      <w:pPr>
        <w:spacing w:after="160" w:line="300" w:lineRule="auto"/>
      </w:pPr>
      <w:r>
        <w:lastRenderedPageBreak/>
        <w:t xml:space="preserve">Sometimes a rule includes a special condition that </w:t>
      </w:r>
      <w:proofErr w:type="spellStart"/>
      <w:r>
        <w:t>ScopeGuard's</w:t>
      </w:r>
      <w:proofErr w:type="spellEnd"/>
      <w:r>
        <w:t xml:space="preserve"> first version cannot automatically evaluate. Rather than assuming the target is safe, it returns UNKNOWN, which means “do not proceed until a human checks this.”</w:t>
      </w:r>
    </w:p>
    <w:p w14:paraId="2CA1B6AC" w14:textId="77777777" w:rsidR="008F0DCC" w:rsidRDefault="00000000">
      <w:pPr>
        <w:pStyle w:val="Heading2"/>
      </w:pPr>
      <w:r>
        <w:t>7.3 When Nothing Matches At All</w:t>
      </w:r>
    </w:p>
    <w:p w14:paraId="52E9AEE3" w14:textId="77777777" w:rsidR="008F0DCC" w:rsidRDefault="00000000">
      <w:pPr>
        <w:spacing w:after="160" w:line="300" w:lineRule="auto"/>
      </w:pPr>
      <w:r>
        <w:t xml:space="preserve">If a target doesn't match any rule in the file whatsoever, </w:t>
      </w:r>
      <w:proofErr w:type="spellStart"/>
      <w:r>
        <w:t>ScopeGuard</w:t>
      </w:r>
      <w:proofErr w:type="spellEnd"/>
      <w:r>
        <w:t xml:space="preserve"> does not assume it's allowed just because nobody said otherwise. Silence is treated as “not authorized,” not as permission. This default-deny </w:t>
      </w:r>
      <w:proofErr w:type="spellStart"/>
      <w:r>
        <w:t>behavior</w:t>
      </w:r>
      <w:proofErr w:type="spellEnd"/>
      <w:r>
        <w:t xml:space="preserve"> is one of the most important safety decisions in the entire project.</w:t>
      </w:r>
    </w:p>
    <w:tbl>
      <w:tblPr>
        <w:tblW w:w="5000" w:type="pct"/>
        <w:tblBorders>
          <w:top w:val="single" w:sz="6" w:space="0" w:color="B00020"/>
          <w:left w:val="single" w:sz="6" w:space="0" w:color="B00020"/>
          <w:bottom w:val="single" w:sz="6" w:space="0" w:color="B00020"/>
          <w:right w:val="single" w:sz="6" w:space="0" w:color="B000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8F0DCC" w14:paraId="2C6F4174"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69E72277" w14:textId="77777777" w:rsidR="008F0DCC" w:rsidRDefault="00000000">
            <w:pPr>
              <w:spacing w:after="60"/>
            </w:pPr>
            <w:r>
              <w:rPr>
                <w:b/>
                <w:bCs/>
                <w:color w:val="B00020"/>
              </w:rPr>
              <w:t>Why this matters:</w:t>
            </w:r>
          </w:p>
          <w:p w14:paraId="63220D90" w14:textId="77777777" w:rsidR="008F0DCC" w:rsidRDefault="00000000">
            <w:r>
              <w:t xml:space="preserve">A tool that guesses “probably fine” when it isn't sure is dangerous in security work. </w:t>
            </w:r>
            <w:proofErr w:type="spellStart"/>
            <w:r>
              <w:t>ScopeGuard</w:t>
            </w:r>
            <w:proofErr w:type="spellEnd"/>
            <w:r>
              <w:t xml:space="preserve"> is built to always prefer caution: when unsure, it stops and asks a human, rather than assuming it's safe to continue.</w:t>
            </w:r>
          </w:p>
        </w:tc>
      </w:tr>
    </w:tbl>
    <w:p w14:paraId="432EC772" w14:textId="77777777" w:rsidR="008F0DCC" w:rsidRDefault="00000000">
      <w:pPr>
        <w:pStyle w:val="Heading1"/>
      </w:pPr>
      <w:r>
        <w:t>8. Decisions You Can Actually Understand</w:t>
      </w:r>
    </w:p>
    <w:p w14:paraId="74A6451D" w14:textId="77777777" w:rsidR="008F0DCC" w:rsidRDefault="00000000">
      <w:pPr>
        <w:spacing w:after="160" w:line="300" w:lineRule="auto"/>
      </w:pPr>
      <w:r>
        <w:t xml:space="preserve">A tool that just says “YES” or “NO” isn't very trustworthy, because you can't tell if it made a mistake. </w:t>
      </w:r>
      <w:proofErr w:type="spellStart"/>
      <w:r>
        <w:t>ScopeGuard</w:t>
      </w:r>
      <w:proofErr w:type="spellEnd"/>
      <w:r>
        <w:t xml:space="preserve"> always explains its reasoning alongside its answer, so every decision can be checked and understood.</w:t>
      </w:r>
    </w:p>
    <w:p w14:paraId="29B66E89" w14:textId="77777777" w:rsidR="008F0DCC" w:rsidRDefault="00000000">
      <w:pPr>
        <w:spacing w:after="160" w:line="300" w:lineRule="auto"/>
      </w:pPr>
      <w:r>
        <w:t>For example, checking “example.com” might produce this result: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F0DCC" w14:paraId="1AFE9C04" w14:textId="77777777">
        <w:tblPrEx>
          <w:tblCellMar>
            <w:top w:w="0" w:type="dxa"/>
            <w:bottom w:w="0" w:type="dxa"/>
          </w:tblCellMar>
        </w:tblPrEx>
        <w:tc>
          <w:tcPr>
            <w:tcW w:w="0" w:type="auto"/>
            <w:shd w:val="clear" w:color="auto" w:fill="F0F0F0"/>
            <w:tcMar>
              <w:top w:w="140" w:type="dxa"/>
              <w:left w:w="200" w:type="dxa"/>
              <w:bottom w:w="140" w:type="dxa"/>
              <w:right w:w="200" w:type="dxa"/>
            </w:tcMar>
          </w:tcPr>
          <w:p w14:paraId="56BB4121" w14:textId="77777777" w:rsidR="008F0DCC" w:rsidRDefault="00000000">
            <w:pPr>
              <w:spacing w:line="260" w:lineRule="auto"/>
            </w:pPr>
            <w:r>
              <w:rPr>
                <w:rFonts w:ascii="Consolas" w:eastAsia="Consolas" w:hAnsi="Consolas" w:cs="Consolas"/>
                <w:color w:val="222222"/>
                <w:sz w:val="20"/>
                <w:szCs w:val="20"/>
              </w:rPr>
              <w:t>{</w:t>
            </w:r>
          </w:p>
          <w:p w14:paraId="68BE7424" w14:textId="77777777" w:rsidR="008F0DCC" w:rsidRDefault="00000000">
            <w:pPr>
              <w:spacing w:line="260" w:lineRule="auto"/>
            </w:pPr>
            <w:r>
              <w:rPr>
                <w:rFonts w:ascii="Consolas" w:eastAsia="Consolas" w:hAnsi="Consolas" w:cs="Consolas"/>
                <w:color w:val="222222"/>
                <w:sz w:val="20"/>
                <w:szCs w:val="20"/>
              </w:rPr>
              <w:t xml:space="preserve">  "state": "IN_SCOPE",</w:t>
            </w:r>
          </w:p>
          <w:p w14:paraId="6D7A6B28" w14:textId="77777777" w:rsidR="008F0DCC" w:rsidRDefault="00000000">
            <w:pPr>
              <w:spacing w:line="260" w:lineRule="auto"/>
            </w:pPr>
            <w:r>
              <w:rPr>
                <w:rFonts w:ascii="Consolas" w:eastAsia="Consolas" w:hAnsi="Consolas" w:cs="Consolas"/>
                <w:color w:val="222222"/>
                <w:sz w:val="20"/>
                <w:szCs w:val="20"/>
              </w:rPr>
              <w:t xml:space="preserve">  "target": "example.com",</w:t>
            </w:r>
          </w:p>
          <w:p w14:paraId="0C6DD4D2" w14:textId="77777777" w:rsidR="008F0DCC" w:rsidRDefault="00000000">
            <w:pPr>
              <w:spacing w:line="260" w:lineRule="auto"/>
            </w:pPr>
            <w:r>
              <w:rPr>
                <w:rFonts w:ascii="Consolas" w:eastAsia="Consolas" w:hAnsi="Consolas" w:cs="Consolas"/>
                <w:color w:val="222222"/>
                <w:sz w:val="20"/>
                <w:szCs w:val="20"/>
              </w:rPr>
              <w:t xml:space="preserve">  "</w:t>
            </w:r>
            <w:proofErr w:type="spellStart"/>
            <w:r>
              <w:rPr>
                <w:rFonts w:ascii="Consolas" w:eastAsia="Consolas" w:hAnsi="Consolas" w:cs="Consolas"/>
                <w:color w:val="222222"/>
                <w:sz w:val="20"/>
                <w:szCs w:val="20"/>
              </w:rPr>
              <w:t>matched_rules</w:t>
            </w:r>
            <w:proofErr w:type="spellEnd"/>
            <w:r>
              <w:rPr>
                <w:rFonts w:ascii="Consolas" w:eastAsia="Consolas" w:hAnsi="Consolas" w:cs="Consolas"/>
                <w:color w:val="222222"/>
                <w:sz w:val="20"/>
                <w:szCs w:val="20"/>
              </w:rPr>
              <w:t>": ["S001"],</w:t>
            </w:r>
          </w:p>
          <w:p w14:paraId="6C8A365B" w14:textId="77777777" w:rsidR="008F0DCC" w:rsidRDefault="00000000">
            <w:pPr>
              <w:spacing w:line="260" w:lineRule="auto"/>
            </w:pPr>
            <w:r>
              <w:rPr>
                <w:rFonts w:ascii="Consolas" w:eastAsia="Consolas" w:hAnsi="Consolas" w:cs="Consolas"/>
                <w:color w:val="222222"/>
                <w:sz w:val="20"/>
                <w:szCs w:val="20"/>
              </w:rPr>
              <w:t xml:space="preserve">  "</w:t>
            </w:r>
            <w:proofErr w:type="spellStart"/>
            <w:r>
              <w:rPr>
                <w:rFonts w:ascii="Consolas" w:eastAsia="Consolas" w:hAnsi="Consolas" w:cs="Consolas"/>
                <w:color w:val="222222"/>
                <w:sz w:val="20"/>
                <w:szCs w:val="20"/>
              </w:rPr>
              <w:t>winning_rule</w:t>
            </w:r>
            <w:proofErr w:type="spellEnd"/>
            <w:r>
              <w:rPr>
                <w:rFonts w:ascii="Consolas" w:eastAsia="Consolas" w:hAnsi="Consolas" w:cs="Consolas"/>
                <w:color w:val="222222"/>
                <w:sz w:val="20"/>
                <w:szCs w:val="20"/>
              </w:rPr>
              <w:t>": "S001",</w:t>
            </w:r>
          </w:p>
          <w:p w14:paraId="0D54387F" w14:textId="77777777" w:rsidR="008F0DCC" w:rsidRDefault="00000000">
            <w:pPr>
              <w:spacing w:line="260" w:lineRule="auto"/>
            </w:pPr>
            <w:r>
              <w:rPr>
                <w:rFonts w:ascii="Consolas" w:eastAsia="Consolas" w:hAnsi="Consolas" w:cs="Consolas"/>
                <w:color w:val="222222"/>
                <w:sz w:val="20"/>
                <w:szCs w:val="20"/>
              </w:rPr>
              <w:t xml:space="preserve">  "reason": "Rule S001 won by specificity"</w:t>
            </w:r>
          </w:p>
          <w:p w14:paraId="7308284A" w14:textId="77777777" w:rsidR="008F0DCC" w:rsidRDefault="00000000">
            <w:pPr>
              <w:spacing w:line="260" w:lineRule="auto"/>
            </w:pPr>
            <w:r>
              <w:rPr>
                <w:rFonts w:ascii="Consolas" w:eastAsia="Consolas" w:hAnsi="Consolas" w:cs="Consolas"/>
                <w:color w:val="222222"/>
                <w:sz w:val="20"/>
                <w:szCs w:val="20"/>
              </w:rPr>
              <w:t>}</w:t>
            </w:r>
          </w:p>
        </w:tc>
      </w:tr>
    </w:tbl>
    <w:p w14:paraId="34B4061E" w14:textId="77777777" w:rsidR="008F0DCC" w:rsidRDefault="00000000">
      <w:pPr>
        <w:spacing w:after="160" w:line="300" w:lineRule="auto"/>
      </w:pPr>
      <w:r>
        <w:t>This tells you not just the answer, but exactly which rule caused it and why — which makes the tool easy to trust, debug, and explain to someone else (a teacher, interviewer, or teammate).</w:t>
      </w:r>
    </w:p>
    <w:p w14:paraId="795B7D5E" w14:textId="77777777" w:rsidR="008F0DCC" w:rsidRDefault="00000000">
      <w:pPr>
        <w:pStyle w:val="Heading1"/>
      </w:pPr>
      <w:r>
        <w:t>9. How the Project Is Built (Architecture)</w:t>
      </w:r>
    </w:p>
    <w:p w14:paraId="45E5827F" w14:textId="77777777" w:rsidR="008F0DCC" w:rsidRDefault="00000000">
      <w:pPr>
        <w:spacing w:after="160" w:line="300" w:lineRule="auto"/>
      </w:pPr>
      <w:r>
        <w:t xml:space="preserve">Behind the scenes, </w:t>
      </w:r>
      <w:proofErr w:type="spellStart"/>
      <w:r>
        <w:t>ScopeGuard</w:t>
      </w:r>
      <w:proofErr w:type="spellEnd"/>
      <w:r>
        <w:t xml:space="preserve"> is organized into small, focused pieces that each do one job well, rather than one giant block of code that does everything. This is a standard, professional way to build software, because it makes each piece easy to test, fix, and extend later.</w:t>
      </w:r>
    </w:p>
    <w:p w14:paraId="10CC2C03" w14:textId="77777777" w:rsidR="008F0DCC" w:rsidRDefault="00000000">
      <w:pPr>
        <w:spacing w:before="120" w:after="120"/>
        <w:jc w:val="center"/>
      </w:pPr>
      <w:r>
        <w:rPr>
          <w:noProof/>
        </w:rPr>
        <w:lastRenderedPageBreak/>
        <w:drawing>
          <wp:inline distT="0" distB="0" distL="0" distR="0" wp14:anchorId="561A46F7" wp14:editId="49216605">
            <wp:extent cx="2857500" cy="5114925"/>
            <wp:effectExtent l="0" t="0" r="0" b="0"/>
            <wp:docPr id="1620783741" name="Picture 162078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5114925"/>
                    </a:xfrm>
                    <a:prstGeom prst="rect">
                      <a:avLst/>
                    </a:prstGeom>
                  </pic:spPr>
                </pic:pic>
              </a:graphicData>
            </a:graphic>
          </wp:inline>
        </w:drawing>
      </w:r>
    </w:p>
    <w:p w14:paraId="03C13BD2" w14:textId="77777777" w:rsidR="008F0DCC" w:rsidRDefault="00000000">
      <w:pPr>
        <w:spacing w:after="240"/>
        <w:jc w:val="center"/>
      </w:pPr>
      <w:r>
        <w:rPr>
          <w:i/>
          <w:iCs/>
          <w:color w:val="595959"/>
          <w:sz w:val="20"/>
          <w:szCs w:val="20"/>
        </w:rPr>
        <w:t>Figure 3: Each stage hands off cleanly to the next — loading, checking, cleaning, matching, deciding, and finally outputting the result.</w:t>
      </w:r>
    </w:p>
    <w:p w14:paraId="27209AC4" w14:textId="77777777" w:rsidR="008F0DCC" w:rsidRDefault="00000000">
      <w:pPr>
        <w:spacing w:after="160" w:line="300" w:lineRule="auto"/>
      </w:pPr>
      <w:r>
        <w:t>In short, here is what each piece is responsible for:</w:t>
      </w:r>
    </w:p>
    <w:p w14:paraId="28DE22E0" w14:textId="77777777" w:rsidR="008F0DCC" w:rsidRDefault="00000000">
      <w:pPr>
        <w:pStyle w:val="ListParagraph"/>
        <w:numPr>
          <w:ilvl w:val="0"/>
          <w:numId w:val="1"/>
        </w:numPr>
        <w:spacing w:after="80" w:line="280" w:lineRule="auto"/>
      </w:pPr>
      <w:r>
        <w:t>Loader — opens and reads the YAML rules file</w:t>
      </w:r>
    </w:p>
    <w:p w14:paraId="6CECC4C3" w14:textId="77777777" w:rsidR="008F0DCC" w:rsidRDefault="00000000">
      <w:pPr>
        <w:pStyle w:val="ListParagraph"/>
        <w:numPr>
          <w:ilvl w:val="0"/>
          <w:numId w:val="1"/>
        </w:numPr>
        <w:spacing w:after="80" w:line="280" w:lineRule="auto"/>
      </w:pPr>
      <w:r>
        <w:t>Validator — checks that the file and the target actually make sense before trusting them</w:t>
      </w:r>
    </w:p>
    <w:p w14:paraId="5245616D" w14:textId="77777777" w:rsidR="008F0DCC" w:rsidRDefault="00000000">
      <w:pPr>
        <w:pStyle w:val="ListParagraph"/>
        <w:numPr>
          <w:ilvl w:val="0"/>
          <w:numId w:val="1"/>
        </w:numPr>
        <w:spacing w:after="80" w:line="280" w:lineRule="auto"/>
      </w:pPr>
      <w:r>
        <w:t>Normalizer — cleans up small differences in how a target might be typed (capital letters, etc.)</w:t>
      </w:r>
    </w:p>
    <w:p w14:paraId="4AB784B7" w14:textId="77777777" w:rsidR="008F0DCC" w:rsidRDefault="00000000">
      <w:pPr>
        <w:pStyle w:val="ListParagraph"/>
        <w:numPr>
          <w:ilvl w:val="0"/>
          <w:numId w:val="1"/>
        </w:numPr>
        <w:spacing w:after="80" w:line="280" w:lineRule="auto"/>
      </w:pPr>
      <w:r>
        <w:t>Matchers — one specialist for each asset type, so hostname logic never gets mixed up with IP logic</w:t>
      </w:r>
    </w:p>
    <w:p w14:paraId="7D6B2C74" w14:textId="77777777" w:rsidR="008F0DCC" w:rsidRDefault="00000000">
      <w:pPr>
        <w:pStyle w:val="ListParagraph"/>
        <w:numPr>
          <w:ilvl w:val="0"/>
          <w:numId w:val="1"/>
        </w:numPr>
        <w:spacing w:after="80" w:line="280" w:lineRule="auto"/>
      </w:pPr>
      <w:r>
        <w:t>Engine — the decision-maker; compares all matches and applies the specificity rules</w:t>
      </w:r>
    </w:p>
    <w:p w14:paraId="13956564" w14:textId="77777777" w:rsidR="008F0DCC" w:rsidRDefault="00000000">
      <w:pPr>
        <w:pStyle w:val="ListParagraph"/>
        <w:numPr>
          <w:ilvl w:val="0"/>
          <w:numId w:val="1"/>
        </w:numPr>
        <w:spacing w:after="80" w:line="280" w:lineRule="auto"/>
      </w:pPr>
      <w:r>
        <w:t>Serializer — packages the final decision into JSON so other tools can use it</w:t>
      </w:r>
    </w:p>
    <w:p w14:paraId="655F5B8F" w14:textId="77777777" w:rsidR="008F0DCC" w:rsidRDefault="00000000">
      <w:pPr>
        <w:pStyle w:val="Heading1"/>
      </w:pPr>
      <w:r>
        <w:t>10. How You Actually Use It</w:t>
      </w:r>
    </w:p>
    <w:p w14:paraId="16485990" w14:textId="77777777" w:rsidR="008F0DCC" w:rsidRDefault="00000000">
      <w:pPr>
        <w:spacing w:after="160" w:line="300" w:lineRule="auto"/>
      </w:pPr>
      <w:proofErr w:type="spellStart"/>
      <w:r>
        <w:lastRenderedPageBreak/>
        <w:t>ScopeGuard</w:t>
      </w:r>
      <w:proofErr w:type="spellEnd"/>
      <w:r>
        <w:t xml:space="preserve"> can be used directly from the command line — no need to write any code: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F0DCC" w14:paraId="5F97216E" w14:textId="77777777">
        <w:tblPrEx>
          <w:tblCellMar>
            <w:top w:w="0" w:type="dxa"/>
            <w:bottom w:w="0" w:type="dxa"/>
          </w:tblCellMar>
        </w:tblPrEx>
        <w:tc>
          <w:tcPr>
            <w:tcW w:w="0" w:type="auto"/>
            <w:shd w:val="clear" w:color="auto" w:fill="F0F0F0"/>
            <w:tcMar>
              <w:top w:w="140" w:type="dxa"/>
              <w:left w:w="200" w:type="dxa"/>
              <w:bottom w:w="140" w:type="dxa"/>
              <w:right w:w="200" w:type="dxa"/>
            </w:tcMar>
          </w:tcPr>
          <w:p w14:paraId="70A0B044" w14:textId="77777777" w:rsidR="008F0DCC" w:rsidRDefault="00000000">
            <w:pPr>
              <w:spacing w:line="260" w:lineRule="auto"/>
            </w:pPr>
            <w:proofErr w:type="spellStart"/>
            <w:r>
              <w:rPr>
                <w:rFonts w:ascii="Consolas" w:eastAsia="Consolas" w:hAnsi="Consolas" w:cs="Consolas"/>
                <w:color w:val="222222"/>
                <w:sz w:val="20"/>
                <w:szCs w:val="20"/>
              </w:rPr>
              <w:t>scopeguard</w:t>
            </w:r>
            <w:proofErr w:type="spellEnd"/>
            <w:r>
              <w:rPr>
                <w:rFonts w:ascii="Consolas" w:eastAsia="Consolas" w:hAnsi="Consolas" w:cs="Consolas"/>
                <w:color w:val="222222"/>
                <w:sz w:val="20"/>
                <w:szCs w:val="20"/>
              </w:rPr>
              <w:t xml:space="preserve"> check --scope examples/</w:t>
            </w:r>
            <w:proofErr w:type="spellStart"/>
            <w:r>
              <w:rPr>
                <w:rFonts w:ascii="Consolas" w:eastAsia="Consolas" w:hAnsi="Consolas" w:cs="Consolas"/>
                <w:color w:val="222222"/>
                <w:sz w:val="20"/>
                <w:szCs w:val="20"/>
              </w:rPr>
              <w:t>basic_scope.yaml</w:t>
            </w:r>
            <w:proofErr w:type="spellEnd"/>
            <w:r>
              <w:rPr>
                <w:rFonts w:ascii="Consolas" w:eastAsia="Consolas" w:hAnsi="Consolas" w:cs="Consolas"/>
                <w:color w:val="222222"/>
                <w:sz w:val="20"/>
                <w:szCs w:val="20"/>
              </w:rPr>
              <w:t xml:space="preserve"> --target example.com</w:t>
            </w:r>
          </w:p>
        </w:tc>
      </w:tr>
    </w:tbl>
    <w:p w14:paraId="43EA5533" w14:textId="77777777" w:rsidR="008F0DCC" w:rsidRDefault="00000000">
      <w:pPr>
        <w:spacing w:after="160" w:line="300" w:lineRule="auto"/>
      </w:pPr>
      <w:r>
        <w:t xml:space="preserve">It can also output its answer as JSON, so that future tools in the </w:t>
      </w:r>
      <w:proofErr w:type="spellStart"/>
      <w:r>
        <w:t>SafeGuard</w:t>
      </w:r>
      <w:proofErr w:type="spellEnd"/>
      <w:r>
        <w:t xml:space="preserve"> series can read the result automatically instead of a human reading plain text: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8F0DCC" w14:paraId="38B12555" w14:textId="77777777">
        <w:tblPrEx>
          <w:tblCellMar>
            <w:top w:w="0" w:type="dxa"/>
            <w:bottom w:w="0" w:type="dxa"/>
          </w:tblCellMar>
        </w:tblPrEx>
        <w:tc>
          <w:tcPr>
            <w:tcW w:w="0" w:type="auto"/>
            <w:shd w:val="clear" w:color="auto" w:fill="F0F0F0"/>
            <w:tcMar>
              <w:top w:w="140" w:type="dxa"/>
              <w:left w:w="200" w:type="dxa"/>
              <w:bottom w:w="140" w:type="dxa"/>
              <w:right w:w="200" w:type="dxa"/>
            </w:tcMar>
          </w:tcPr>
          <w:p w14:paraId="0FD35002" w14:textId="77777777" w:rsidR="008F0DCC" w:rsidRDefault="00000000">
            <w:pPr>
              <w:spacing w:line="260" w:lineRule="auto"/>
            </w:pPr>
            <w:proofErr w:type="spellStart"/>
            <w:r>
              <w:rPr>
                <w:rFonts w:ascii="Consolas" w:eastAsia="Consolas" w:hAnsi="Consolas" w:cs="Consolas"/>
                <w:color w:val="222222"/>
                <w:sz w:val="20"/>
                <w:szCs w:val="20"/>
              </w:rPr>
              <w:t>scopeguard</w:t>
            </w:r>
            <w:proofErr w:type="spellEnd"/>
            <w:r>
              <w:rPr>
                <w:rFonts w:ascii="Consolas" w:eastAsia="Consolas" w:hAnsi="Consolas" w:cs="Consolas"/>
                <w:color w:val="222222"/>
                <w:sz w:val="20"/>
                <w:szCs w:val="20"/>
              </w:rPr>
              <w:t xml:space="preserve"> check --scope examples/</w:t>
            </w:r>
            <w:proofErr w:type="spellStart"/>
            <w:r>
              <w:rPr>
                <w:rFonts w:ascii="Consolas" w:eastAsia="Consolas" w:hAnsi="Consolas" w:cs="Consolas"/>
                <w:color w:val="222222"/>
                <w:sz w:val="20"/>
                <w:szCs w:val="20"/>
              </w:rPr>
              <w:t>basic_scope.yaml</w:t>
            </w:r>
            <w:proofErr w:type="spellEnd"/>
            <w:r>
              <w:rPr>
                <w:rFonts w:ascii="Consolas" w:eastAsia="Consolas" w:hAnsi="Consolas" w:cs="Consolas"/>
                <w:color w:val="222222"/>
                <w:sz w:val="20"/>
                <w:szCs w:val="20"/>
              </w:rPr>
              <w:t xml:space="preserve"> --target example.com --</w:t>
            </w:r>
            <w:proofErr w:type="spellStart"/>
            <w:r>
              <w:rPr>
                <w:rFonts w:ascii="Consolas" w:eastAsia="Consolas" w:hAnsi="Consolas" w:cs="Consolas"/>
                <w:color w:val="222222"/>
                <w:sz w:val="20"/>
                <w:szCs w:val="20"/>
              </w:rPr>
              <w:t>json</w:t>
            </w:r>
            <w:proofErr w:type="spellEnd"/>
          </w:p>
        </w:tc>
      </w:tr>
    </w:tbl>
    <w:p w14:paraId="7EF20817" w14:textId="77777777" w:rsidR="008F0DCC" w:rsidRDefault="00000000">
      <w:pPr>
        <w:spacing w:after="160" w:line="300" w:lineRule="auto"/>
      </w:pPr>
      <w:r>
        <w:t xml:space="preserve">It also returns different exit codes depending on the result (0 for allowed, 1 for not allowed or unclear, 2 for a broken input file) — this is a small detail, but it's what allows </w:t>
      </w:r>
      <w:proofErr w:type="spellStart"/>
      <w:r>
        <w:t>ScopeGuard</w:t>
      </w:r>
      <w:proofErr w:type="spellEnd"/>
      <w:r>
        <w:t xml:space="preserve"> to be safely plugged into automated scripts later in the project series.</w:t>
      </w:r>
    </w:p>
    <w:p w14:paraId="262D4EDF" w14:textId="77777777" w:rsidR="008F0DCC" w:rsidRDefault="00000000">
      <w:pPr>
        <w:pStyle w:val="Heading1"/>
      </w:pPr>
      <w:r>
        <w:t>11. What's In V1, and What's Deliberately Left Out</w:t>
      </w:r>
    </w:p>
    <w:p w14:paraId="333785DF" w14:textId="77777777" w:rsidR="008F0DCC" w:rsidRDefault="00000000">
      <w:pPr>
        <w:spacing w:after="160" w:line="300" w:lineRule="auto"/>
      </w:pPr>
      <w:r>
        <w:t>It's just as important to be clear about what this first version does NOT do, as it is to explain what it does. Trying to do too much in one version usually means doing everything poorly.</w:t>
      </w:r>
    </w:p>
    <w:p w14:paraId="74179313" w14:textId="77777777" w:rsidR="008F0DCC" w:rsidRDefault="00000000">
      <w:pPr>
        <w:pStyle w:val="Heading2"/>
      </w:pPr>
      <w:r>
        <w:t>Included in V1</w:t>
      </w:r>
    </w:p>
    <w:p w14:paraId="477242A7" w14:textId="77777777" w:rsidR="008F0DCC" w:rsidRDefault="00000000">
      <w:pPr>
        <w:pStyle w:val="ListParagraph"/>
        <w:numPr>
          <w:ilvl w:val="0"/>
          <w:numId w:val="1"/>
        </w:numPr>
        <w:spacing w:after="80" w:line="280" w:lineRule="auto"/>
      </w:pPr>
      <w:r>
        <w:t>Reading and validating scope rules from a YAML file</w:t>
      </w:r>
    </w:p>
    <w:p w14:paraId="0573D92A" w14:textId="77777777" w:rsidR="008F0DCC" w:rsidRDefault="00000000">
      <w:pPr>
        <w:pStyle w:val="ListParagraph"/>
        <w:numPr>
          <w:ilvl w:val="0"/>
          <w:numId w:val="1"/>
        </w:numPr>
        <w:spacing w:after="80" w:line="280" w:lineRule="auto"/>
      </w:pPr>
      <w:r>
        <w:t>Understanding 6 different types of targets (hostnames, wildcards, URLs, paths, IPs, IP ranges)</w:t>
      </w:r>
    </w:p>
    <w:p w14:paraId="485EC13A" w14:textId="77777777" w:rsidR="008F0DCC" w:rsidRDefault="00000000">
      <w:pPr>
        <w:pStyle w:val="ListParagraph"/>
        <w:numPr>
          <w:ilvl w:val="0"/>
          <w:numId w:val="1"/>
        </w:numPr>
        <w:spacing w:after="80" w:line="280" w:lineRule="auto"/>
      </w:pPr>
      <w:r>
        <w:t>Deciding IN_SCOPE / OUT_OF_SCOPE / UNKNOWN / CONFLICT with a clear reason</w:t>
      </w:r>
    </w:p>
    <w:p w14:paraId="7627A4E9" w14:textId="77777777" w:rsidR="008F0DCC" w:rsidRDefault="00000000">
      <w:pPr>
        <w:pStyle w:val="ListParagraph"/>
        <w:numPr>
          <w:ilvl w:val="0"/>
          <w:numId w:val="1"/>
        </w:numPr>
        <w:spacing w:after="80" w:line="280" w:lineRule="auto"/>
      </w:pPr>
      <w:r>
        <w:t>A command-line tool and a JSON output mode</w:t>
      </w:r>
    </w:p>
    <w:p w14:paraId="69EE6C7D" w14:textId="77777777" w:rsidR="008F0DCC" w:rsidRDefault="00000000">
      <w:pPr>
        <w:pStyle w:val="ListParagraph"/>
        <w:numPr>
          <w:ilvl w:val="0"/>
          <w:numId w:val="1"/>
        </w:numPr>
        <w:spacing w:after="80" w:line="280" w:lineRule="auto"/>
      </w:pPr>
      <w:r>
        <w:t>A reusable Python library so future tools can call it directly</w:t>
      </w:r>
    </w:p>
    <w:p w14:paraId="7AC4DC56" w14:textId="77777777" w:rsidR="008F0DCC" w:rsidRDefault="00000000">
      <w:pPr>
        <w:pStyle w:val="ListParagraph"/>
        <w:numPr>
          <w:ilvl w:val="0"/>
          <w:numId w:val="1"/>
        </w:numPr>
        <w:spacing w:after="80" w:line="280" w:lineRule="auto"/>
      </w:pPr>
      <w:r>
        <w:t>Automated tests to make sure the logic keeps working correctly</w:t>
      </w:r>
    </w:p>
    <w:p w14:paraId="6D45C2C7" w14:textId="77777777" w:rsidR="008F0DCC" w:rsidRDefault="00000000">
      <w:pPr>
        <w:pStyle w:val="Heading2"/>
      </w:pPr>
      <w:r>
        <w:t>Intentionally NOT in V1</w:t>
      </w:r>
    </w:p>
    <w:p w14:paraId="284E5018" w14:textId="77777777" w:rsidR="008F0DCC" w:rsidRDefault="00000000">
      <w:pPr>
        <w:pStyle w:val="ListParagraph"/>
        <w:numPr>
          <w:ilvl w:val="0"/>
          <w:numId w:val="1"/>
        </w:numPr>
        <w:spacing w:after="80" w:line="280" w:lineRule="auto"/>
      </w:pPr>
      <w:r>
        <w:t>Automatically reading bug bounty program pages (a human still reads and transcribes the rules)</w:t>
      </w:r>
    </w:p>
    <w:p w14:paraId="5F636FAD" w14:textId="77777777" w:rsidR="008F0DCC" w:rsidRDefault="00000000">
      <w:pPr>
        <w:pStyle w:val="ListParagraph"/>
        <w:numPr>
          <w:ilvl w:val="0"/>
          <w:numId w:val="1"/>
        </w:numPr>
        <w:spacing w:after="80" w:line="280" w:lineRule="auto"/>
      </w:pPr>
      <w:r>
        <w:t>Any scanning, reconnaissance, or vulnerability testing</w:t>
      </w:r>
    </w:p>
    <w:p w14:paraId="04C01A37" w14:textId="77777777" w:rsidR="008F0DCC" w:rsidRDefault="00000000">
      <w:pPr>
        <w:pStyle w:val="ListParagraph"/>
        <w:numPr>
          <w:ilvl w:val="0"/>
          <w:numId w:val="1"/>
        </w:numPr>
        <w:spacing w:after="80" w:line="280" w:lineRule="auto"/>
      </w:pPr>
      <w:r>
        <w:t>Exploiting anything or interacting with real targets at all</w:t>
      </w:r>
    </w:p>
    <w:p w14:paraId="58BA65B4" w14:textId="77777777" w:rsidR="008F0DCC" w:rsidRDefault="00000000">
      <w:pPr>
        <w:spacing w:after="160" w:line="300" w:lineRule="auto"/>
      </w:pPr>
      <w:proofErr w:type="spellStart"/>
      <w:r>
        <w:t>ScopeGuard's</w:t>
      </w:r>
      <w:proofErr w:type="spellEnd"/>
      <w:r>
        <w:t xml:space="preserve"> only job is the authorization decision — everything else belongs to later projects in the series, which are described next.</w:t>
      </w:r>
    </w:p>
    <w:p w14:paraId="01DC8D4D" w14:textId="77777777" w:rsidR="008F0DCC" w:rsidRDefault="00000000">
      <w:pPr>
        <w:pStyle w:val="Heading1"/>
      </w:pPr>
      <w:r>
        <w:t xml:space="preserve">12. Where </w:t>
      </w:r>
      <w:proofErr w:type="spellStart"/>
      <w:r>
        <w:t>ScopeGuard</w:t>
      </w:r>
      <w:proofErr w:type="spellEnd"/>
      <w:r>
        <w:t xml:space="preserve"> Fits in the Bigger Picture</w:t>
      </w:r>
    </w:p>
    <w:p w14:paraId="05256D76" w14:textId="77777777" w:rsidR="008F0DCC" w:rsidRDefault="00000000">
      <w:pPr>
        <w:spacing w:after="160" w:line="300" w:lineRule="auto"/>
      </w:pPr>
      <w:proofErr w:type="spellStart"/>
      <w:r>
        <w:t>ScopeGuard</w:t>
      </w:r>
      <w:proofErr w:type="spellEnd"/>
      <w:r>
        <w:t xml:space="preserve"> is Project 1 of a 10-project series called </w:t>
      </w:r>
      <w:proofErr w:type="spellStart"/>
      <w:r>
        <w:t>SafeGuard</w:t>
      </w:r>
      <w:proofErr w:type="spellEnd"/>
      <w:r>
        <w:t xml:space="preserve">, where each project builds one stage of a responsible, well-structured penetration testing / bug bounty workflow. </w:t>
      </w:r>
      <w:proofErr w:type="spellStart"/>
      <w:r>
        <w:t>ScopeGuard</w:t>
      </w:r>
      <w:proofErr w:type="spellEnd"/>
      <w:r>
        <w:t xml:space="preserve"> forms the safety foundation: nothing in the later projects is allowed to run against a target until </w:t>
      </w:r>
      <w:proofErr w:type="spellStart"/>
      <w:r>
        <w:t>ScopeGuard</w:t>
      </w:r>
      <w:proofErr w:type="spellEnd"/>
      <w:r>
        <w:t xml:space="preserve"> has confirmed it's authorized.</w:t>
      </w:r>
    </w:p>
    <w:p w14:paraId="07E4FAF9" w14:textId="72AD9A0B" w:rsidR="008F0DCC" w:rsidRDefault="00176FE4">
      <w:pPr>
        <w:spacing w:before="120" w:after="120"/>
        <w:jc w:val="center"/>
      </w:pPr>
      <w:r>
        <w:rPr>
          <w:noProof/>
        </w:rPr>
        <w:lastRenderedPageBreak/>
        <w:drawing>
          <wp:inline distT="0" distB="0" distL="0" distR="0" wp14:anchorId="544AF445" wp14:editId="44FEE4FA">
            <wp:extent cx="5943600" cy="7237095"/>
            <wp:effectExtent l="0" t="0" r="0" b="1905"/>
            <wp:docPr id="1103664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237095"/>
                    </a:xfrm>
                    <a:prstGeom prst="rect">
                      <a:avLst/>
                    </a:prstGeom>
                    <a:noFill/>
                    <a:ln>
                      <a:noFill/>
                    </a:ln>
                  </pic:spPr>
                </pic:pic>
              </a:graphicData>
            </a:graphic>
          </wp:inline>
        </w:drawing>
      </w:r>
    </w:p>
    <w:p w14:paraId="767CE847" w14:textId="77777777" w:rsidR="008F0DCC" w:rsidRDefault="00000000">
      <w:pPr>
        <w:spacing w:after="240"/>
        <w:jc w:val="center"/>
        <w:rPr>
          <w:i/>
          <w:iCs/>
          <w:color w:val="595959"/>
          <w:sz w:val="20"/>
          <w:szCs w:val="20"/>
        </w:rPr>
      </w:pPr>
      <w:r>
        <w:rPr>
          <w:i/>
          <w:iCs/>
          <w:color w:val="595959"/>
          <w:sz w:val="20"/>
          <w:szCs w:val="20"/>
        </w:rPr>
        <w:t xml:space="preserve">Figure 4: The full </w:t>
      </w:r>
      <w:proofErr w:type="spellStart"/>
      <w:r>
        <w:rPr>
          <w:i/>
          <w:iCs/>
          <w:color w:val="595959"/>
          <w:sz w:val="20"/>
          <w:szCs w:val="20"/>
        </w:rPr>
        <w:t>SafeGuard</w:t>
      </w:r>
      <w:proofErr w:type="spellEnd"/>
      <w:r>
        <w:rPr>
          <w:i/>
          <w:iCs/>
          <w:color w:val="595959"/>
          <w:sz w:val="20"/>
          <w:szCs w:val="20"/>
        </w:rPr>
        <w:t xml:space="preserve"> roadmap — </w:t>
      </w:r>
      <w:proofErr w:type="spellStart"/>
      <w:r>
        <w:rPr>
          <w:i/>
          <w:iCs/>
          <w:color w:val="595959"/>
          <w:sz w:val="20"/>
          <w:szCs w:val="20"/>
        </w:rPr>
        <w:t>ScopeGuard</w:t>
      </w:r>
      <w:proofErr w:type="spellEnd"/>
      <w:r>
        <w:rPr>
          <w:i/>
          <w:iCs/>
          <w:color w:val="595959"/>
          <w:sz w:val="20"/>
          <w:szCs w:val="20"/>
        </w:rPr>
        <w:t xml:space="preserve"> is the completed first step that every later project depends on.</w:t>
      </w:r>
    </w:p>
    <w:p w14:paraId="229135CB" w14:textId="77777777" w:rsidR="00805C5D" w:rsidRDefault="00805C5D">
      <w:pPr>
        <w:spacing w:after="240"/>
        <w:jc w:val="center"/>
        <w:rPr>
          <w:i/>
          <w:iCs/>
          <w:color w:val="595959"/>
          <w:sz w:val="20"/>
          <w:szCs w:val="20"/>
        </w:rPr>
      </w:pPr>
    </w:p>
    <w:p w14:paraId="48B3005F" w14:textId="77777777" w:rsidR="00805C5D" w:rsidRDefault="00805C5D">
      <w:pPr>
        <w:spacing w:after="240"/>
        <w:jc w:val="center"/>
        <w:rPr>
          <w:i/>
          <w:iCs/>
          <w:color w:val="595959"/>
          <w:sz w:val="20"/>
          <w:szCs w:val="20"/>
        </w:rPr>
      </w:pPr>
    </w:p>
    <w:p w14:paraId="359502CC" w14:textId="497C6A18" w:rsidR="00805C5D" w:rsidRDefault="00805C5D">
      <w:pPr>
        <w:spacing w:after="240"/>
        <w:jc w:val="center"/>
      </w:pPr>
    </w:p>
    <w:p w14:paraId="30E7E7D4" w14:textId="77777777" w:rsidR="008F0DCC" w:rsidRDefault="00000000">
      <w:pPr>
        <w:pStyle w:val="Heading1"/>
      </w:pPr>
      <w:r>
        <w:t>13. Key Takeaway</w:t>
      </w:r>
    </w:p>
    <w:tbl>
      <w:tblPr>
        <w:tblW w:w="5000" w:type="pct"/>
        <w:tblBorders>
          <w:top w:val="single" w:sz="6" w:space="0" w:color="2E7D32"/>
          <w:left w:val="single" w:sz="6" w:space="0" w:color="2E7D32"/>
          <w:bottom w:val="single" w:sz="6" w:space="0" w:color="2E7D32"/>
          <w:right w:val="single" w:sz="6" w:space="0" w:color="2E7D3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4"/>
      </w:tblGrid>
      <w:tr w:rsidR="008F0DCC" w14:paraId="3894EF8A"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4BB58283" w14:textId="77777777" w:rsidR="008F0DCC" w:rsidRDefault="00000000">
            <w:pPr>
              <w:spacing w:after="60"/>
            </w:pPr>
            <w:r>
              <w:rPr>
                <w:b/>
                <w:bCs/>
                <w:color w:val="2E7D32"/>
              </w:rPr>
              <w:t>The one idea to remember:</w:t>
            </w:r>
          </w:p>
          <w:p w14:paraId="0D5CB4E8" w14:textId="77777777" w:rsidR="008F0DCC" w:rsidRDefault="00000000">
            <w:proofErr w:type="spellStart"/>
            <w:r>
              <w:t>ScopeGuard</w:t>
            </w:r>
            <w:proofErr w:type="spellEnd"/>
            <w:r>
              <w:t xml:space="preserve"> doesn't look for vulnerabilities — it answers a single, critical question before any testing begins: “Am I actually authorized to test this?” Every other project in this series builds on top of that answer.</w:t>
            </w:r>
          </w:p>
        </w:tc>
      </w:tr>
    </w:tbl>
    <w:p w14:paraId="44B65102" w14:textId="77777777" w:rsidR="008F0DCC" w:rsidRDefault="00000000">
      <w:pPr>
        <w:spacing w:after="160" w:line="300" w:lineRule="auto"/>
      </w:pPr>
      <w:r>
        <w:t>This foundation matters more than it might seem at first. In real-world red teaming and bug bounty work, professionalism and staying inside authorized boundaries are exactly what separate ethical researchers from attackers — and building that discipline into the very first tool of the series shows that same mindset from the ground up.</w:t>
      </w:r>
    </w:p>
    <w:sectPr w:rsidR="008F0DC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A9C92" w14:textId="77777777" w:rsidR="00D43342" w:rsidRDefault="00D43342">
      <w:r>
        <w:separator/>
      </w:r>
    </w:p>
  </w:endnote>
  <w:endnote w:type="continuationSeparator" w:id="0">
    <w:p w14:paraId="1C0280BA" w14:textId="77777777" w:rsidR="00D43342" w:rsidRDefault="00D43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EDC0" w14:textId="77777777" w:rsidR="008F0DCC"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05C5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C4D6F" w14:textId="77777777" w:rsidR="00D43342" w:rsidRDefault="00D43342">
      <w:r>
        <w:separator/>
      </w:r>
    </w:p>
  </w:footnote>
  <w:footnote w:type="continuationSeparator" w:id="0">
    <w:p w14:paraId="08F16B03" w14:textId="77777777" w:rsidR="00D43342" w:rsidRDefault="00D43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DC767" w14:textId="77777777" w:rsidR="008F0DCC" w:rsidRDefault="00000000">
    <w:pPr>
      <w:jc w:val="right"/>
    </w:pPr>
    <w:proofErr w:type="spellStart"/>
    <w:r>
      <w:rPr>
        <w:color w:val="595959"/>
        <w:sz w:val="16"/>
        <w:szCs w:val="16"/>
      </w:rPr>
      <w:t>ScopeGuard</w:t>
    </w:r>
    <w:proofErr w:type="spellEnd"/>
    <w:r>
      <w:rPr>
        <w:color w:val="595959"/>
        <w:sz w:val="16"/>
        <w:szCs w:val="16"/>
      </w:rPr>
      <w:t xml:space="preserve"> — Project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B3C52"/>
    <w:multiLevelType w:val="hybridMultilevel"/>
    <w:tmpl w:val="FFB692C0"/>
    <w:lvl w:ilvl="0" w:tplc="3F2CEED4">
      <w:start w:val="1"/>
      <w:numFmt w:val="bullet"/>
      <w:lvlText w:val="●"/>
      <w:lvlJc w:val="left"/>
      <w:pPr>
        <w:ind w:left="720" w:hanging="360"/>
      </w:pPr>
    </w:lvl>
    <w:lvl w:ilvl="1" w:tplc="EB92BE6A">
      <w:start w:val="1"/>
      <w:numFmt w:val="bullet"/>
      <w:lvlText w:val="○"/>
      <w:lvlJc w:val="left"/>
      <w:pPr>
        <w:ind w:left="1440" w:hanging="360"/>
      </w:pPr>
    </w:lvl>
    <w:lvl w:ilvl="2" w:tplc="90A808AA">
      <w:start w:val="1"/>
      <w:numFmt w:val="bullet"/>
      <w:lvlText w:val="■"/>
      <w:lvlJc w:val="left"/>
      <w:pPr>
        <w:ind w:left="2160" w:hanging="360"/>
      </w:pPr>
    </w:lvl>
    <w:lvl w:ilvl="3" w:tplc="B3682CC0">
      <w:start w:val="1"/>
      <w:numFmt w:val="bullet"/>
      <w:lvlText w:val="●"/>
      <w:lvlJc w:val="left"/>
      <w:pPr>
        <w:ind w:left="2880" w:hanging="360"/>
      </w:pPr>
    </w:lvl>
    <w:lvl w:ilvl="4" w:tplc="09A2D258">
      <w:start w:val="1"/>
      <w:numFmt w:val="bullet"/>
      <w:lvlText w:val="○"/>
      <w:lvlJc w:val="left"/>
      <w:pPr>
        <w:ind w:left="3600" w:hanging="360"/>
      </w:pPr>
    </w:lvl>
    <w:lvl w:ilvl="5" w:tplc="06AAFCAC">
      <w:start w:val="1"/>
      <w:numFmt w:val="bullet"/>
      <w:lvlText w:val="■"/>
      <w:lvlJc w:val="left"/>
      <w:pPr>
        <w:ind w:left="4320" w:hanging="360"/>
      </w:pPr>
    </w:lvl>
    <w:lvl w:ilvl="6" w:tplc="D458C6BE">
      <w:start w:val="1"/>
      <w:numFmt w:val="bullet"/>
      <w:lvlText w:val="●"/>
      <w:lvlJc w:val="left"/>
      <w:pPr>
        <w:ind w:left="5040" w:hanging="360"/>
      </w:pPr>
    </w:lvl>
    <w:lvl w:ilvl="7" w:tplc="07DE28AC">
      <w:start w:val="1"/>
      <w:numFmt w:val="bullet"/>
      <w:lvlText w:val="●"/>
      <w:lvlJc w:val="left"/>
      <w:pPr>
        <w:ind w:left="5760" w:hanging="360"/>
      </w:pPr>
    </w:lvl>
    <w:lvl w:ilvl="8" w:tplc="924265C2">
      <w:start w:val="1"/>
      <w:numFmt w:val="bullet"/>
      <w:lvlText w:val="●"/>
      <w:lvlJc w:val="left"/>
      <w:pPr>
        <w:ind w:left="6480" w:hanging="360"/>
      </w:pPr>
    </w:lvl>
  </w:abstractNum>
  <w:abstractNum w:abstractNumId="1" w15:restartNumberingAfterBreak="0">
    <w:nsid w:val="22A53DB7"/>
    <w:multiLevelType w:val="hybridMultilevel"/>
    <w:tmpl w:val="90C0ACCA"/>
    <w:lvl w:ilvl="0" w:tplc="70D4D030">
      <w:start w:val="1"/>
      <w:numFmt w:val="bullet"/>
      <w:lvlText w:val="•"/>
      <w:lvlJc w:val="left"/>
    </w:lvl>
    <w:lvl w:ilvl="1" w:tplc="43D815A6">
      <w:numFmt w:val="decimal"/>
      <w:lvlText w:val=""/>
      <w:lvlJc w:val="left"/>
    </w:lvl>
    <w:lvl w:ilvl="2" w:tplc="03BCC120">
      <w:numFmt w:val="decimal"/>
      <w:lvlText w:val=""/>
      <w:lvlJc w:val="left"/>
    </w:lvl>
    <w:lvl w:ilvl="3" w:tplc="63C60E78">
      <w:numFmt w:val="decimal"/>
      <w:lvlText w:val=""/>
      <w:lvlJc w:val="left"/>
    </w:lvl>
    <w:lvl w:ilvl="4" w:tplc="83746F58">
      <w:numFmt w:val="decimal"/>
      <w:lvlText w:val=""/>
      <w:lvlJc w:val="left"/>
    </w:lvl>
    <w:lvl w:ilvl="5" w:tplc="E1EEEC5A">
      <w:numFmt w:val="decimal"/>
      <w:lvlText w:val=""/>
      <w:lvlJc w:val="left"/>
    </w:lvl>
    <w:lvl w:ilvl="6" w:tplc="C5DC0180">
      <w:numFmt w:val="decimal"/>
      <w:lvlText w:val=""/>
      <w:lvlJc w:val="left"/>
    </w:lvl>
    <w:lvl w:ilvl="7" w:tplc="F19C99D0">
      <w:numFmt w:val="decimal"/>
      <w:lvlText w:val=""/>
      <w:lvlJc w:val="left"/>
    </w:lvl>
    <w:lvl w:ilvl="8" w:tplc="37341A26">
      <w:numFmt w:val="decimal"/>
      <w:lvlText w:val=""/>
      <w:lvlJc w:val="left"/>
    </w:lvl>
  </w:abstractNum>
  <w:num w:numId="1" w16cid:durableId="648554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DCC"/>
    <w:rsid w:val="00176FE4"/>
    <w:rsid w:val="00805C5D"/>
    <w:rsid w:val="008F0DCC"/>
    <w:rsid w:val="00AD515B"/>
    <w:rsid w:val="00D433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1D9BF"/>
  <w15:docId w15:val="{B5F5A2B7-8A4E-4072-A93D-9282A9962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C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10</Pages>
  <Words>1725</Words>
  <Characters>9836</Characters>
  <Application>Microsoft Office Word</Application>
  <DocSecurity>0</DocSecurity>
  <Lines>81</Lines>
  <Paragraphs>23</Paragraphs>
  <ScaleCrop>false</ScaleCrop>
  <Company/>
  <LinksUpToDate>false</LinksUpToDate>
  <CharactersWithSpaces>11538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Ganjave</cp:lastModifiedBy>
  <cp:revision>3</cp:revision>
  <dcterms:created xsi:type="dcterms:W3CDTF">2026-09-05T13:00:00Z</dcterms:created>
  <dcterms:modified xsi:type="dcterms:W3CDTF">2026-09-05T14:09:00Z</dcterms:modified>
</cp:coreProperties>
</file>