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ind w:hanging="15"/>
        <w:jc w:val="center"/>
        <w:rPr/>
      </w:pPr>
      <w:bookmarkStart w:colFirst="0" w:colLast="0" w:name="_heading=h.kztixgmcez6z" w:id="0"/>
      <w:bookmarkEnd w:id="0"/>
      <w:r w:rsidDel="00000000" w:rsidR="00000000" w:rsidRPr="00000000">
        <w:rPr/>
        <w:drawing>
          <wp:inline distB="114300" distT="114300" distL="114300" distR="114300">
            <wp:extent cx="3867150" cy="1181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671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0" w:lineRule="auto"/>
        <w:ind w:hanging="15"/>
        <w:rPr/>
      </w:pPr>
      <w:r w:rsidDel="00000000" w:rsidR="00000000" w:rsidRPr="00000000">
        <w:rPr/>
        <w:drawing>
          <wp:inline distB="114300" distT="114300" distL="114300" distR="114300">
            <wp:extent cx="5943600" cy="508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8"/>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keepNext w:val="0"/>
        <w:keepLines w:val="0"/>
        <w:spacing w:before="0" w:lineRule="auto"/>
        <w:ind w:hanging="15"/>
        <w:rPr/>
      </w:pPr>
      <w:bookmarkStart w:colFirst="0" w:colLast="0" w:name="_heading=h.gjdgxs" w:id="1"/>
      <w:bookmarkEnd w:id="1"/>
      <w:r w:rsidDel="00000000" w:rsidR="00000000" w:rsidRPr="00000000">
        <w:rPr>
          <w:rtl w:val="0"/>
        </w:rPr>
        <w:t xml:space="preserve">Formal Memorandum</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0" w:line="240" w:lineRule="auto"/>
        <w:ind w:hanging="15"/>
        <w:rPr>
          <w:rFonts w:ascii="Roboto Condensed" w:cs="Roboto Condensed" w:eastAsia="Roboto Condensed" w:hAnsi="Roboto Condensed"/>
          <w:color w:val="e31c6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0" w:line="276" w:lineRule="auto"/>
        <w:ind w:hanging="15"/>
        <w:rPr>
          <w:sz w:val="22"/>
          <w:szCs w:val="22"/>
        </w:rPr>
      </w:pPr>
      <w:r w:rsidDel="00000000" w:rsidR="00000000" w:rsidRPr="00000000">
        <w:rPr>
          <w:b w:val="1"/>
          <w:sz w:val="22"/>
          <w:szCs w:val="22"/>
          <w:rtl w:val="0"/>
        </w:rPr>
        <w:t xml:space="preserve">To</w:t>
      </w:r>
      <w:r w:rsidDel="00000000" w:rsidR="00000000" w:rsidRPr="00000000">
        <w:rPr>
          <w:sz w:val="22"/>
          <w:szCs w:val="22"/>
          <w:rtl w:val="0"/>
        </w:rPr>
        <w:t xml:space="preserve">: All WHO Senior Leadership Team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0" w:line="276" w:lineRule="auto"/>
        <w:ind w:hanging="15"/>
        <w:rPr>
          <w:sz w:val="22"/>
          <w:szCs w:val="22"/>
        </w:rPr>
      </w:pPr>
      <w:r w:rsidDel="00000000" w:rsidR="00000000" w:rsidRPr="00000000">
        <w:rPr>
          <w:b w:val="1"/>
          <w:sz w:val="22"/>
          <w:szCs w:val="22"/>
          <w:rtl w:val="0"/>
        </w:rPr>
        <w:t xml:space="preserve">From</w:t>
      </w:r>
      <w:r w:rsidDel="00000000" w:rsidR="00000000" w:rsidRPr="00000000">
        <w:rPr>
          <w:sz w:val="22"/>
          <w:szCs w:val="22"/>
          <w:rtl w:val="0"/>
        </w:rPr>
        <w:t xml:space="preserve">: Ryan Talbot, Senior Leader, World Health Organization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0" w:line="276" w:lineRule="auto"/>
        <w:ind w:hanging="15"/>
        <w:rPr>
          <w:sz w:val="22"/>
          <w:szCs w:val="22"/>
        </w:rPr>
      </w:pPr>
      <w:r w:rsidDel="00000000" w:rsidR="00000000" w:rsidRPr="00000000">
        <w:rPr>
          <w:b w:val="1"/>
          <w:sz w:val="22"/>
          <w:szCs w:val="22"/>
          <w:rtl w:val="0"/>
        </w:rPr>
        <w:t xml:space="preserve">Subject</w:t>
      </w:r>
      <w:r w:rsidDel="00000000" w:rsidR="00000000" w:rsidRPr="00000000">
        <w:rPr>
          <w:sz w:val="22"/>
          <w:szCs w:val="22"/>
          <w:rtl w:val="0"/>
        </w:rPr>
        <w:t xml:space="preserve">: Cyber Attack Response Memo and Public Service Announcement</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0" w:line="276" w:lineRule="auto"/>
        <w:ind w:hanging="15"/>
        <w:rPr>
          <w:sz w:val="22"/>
          <w:szCs w:val="22"/>
        </w:rPr>
      </w:pPr>
      <w:r w:rsidDel="00000000" w:rsidR="00000000" w:rsidRPr="00000000">
        <w:rPr>
          <w:b w:val="1"/>
          <w:sz w:val="22"/>
          <w:szCs w:val="22"/>
          <w:rtl w:val="0"/>
        </w:rPr>
        <w:t xml:space="preserve">Date</w:t>
      </w:r>
      <w:r w:rsidDel="00000000" w:rsidR="00000000" w:rsidRPr="00000000">
        <w:rPr>
          <w:sz w:val="22"/>
          <w:szCs w:val="22"/>
          <w:rtl w:val="0"/>
        </w:rPr>
        <w:t xml:space="preserve">: November 23, 2023</w:t>
      </w:r>
    </w:p>
    <w:p w:rsidR="00000000" w:rsidDel="00000000" w:rsidP="00000000" w:rsidRDefault="00000000" w:rsidRPr="00000000" w14:paraId="00000009">
      <w:pPr>
        <w:spacing w:before="0" w:line="240" w:lineRule="auto"/>
        <w:ind w:left="0" w:firstLine="0"/>
        <w:rPr>
          <w:sz w:val="22"/>
          <w:szCs w:val="22"/>
        </w:rPr>
      </w:pPr>
      <w:r w:rsidDel="00000000" w:rsidR="00000000" w:rsidRPr="00000000">
        <w:rPr>
          <w:rtl w:val="0"/>
        </w:rPr>
      </w:r>
    </w:p>
    <w:p w:rsidR="00000000" w:rsidDel="00000000" w:rsidP="00000000" w:rsidRDefault="00000000" w:rsidRPr="00000000" w14:paraId="0000000A">
      <w:pPr>
        <w:spacing w:after="0" w:before="0" w:line="240" w:lineRule="auto"/>
        <w:ind w:left="0" w:firstLine="0"/>
        <w:rPr>
          <w:color w:val="000000"/>
          <w:sz w:val="22"/>
          <w:szCs w:val="22"/>
        </w:rPr>
      </w:pPr>
      <w:r w:rsidDel="00000000" w:rsidR="00000000" w:rsidRPr="00000000">
        <w:rPr>
          <w:color w:val="000000"/>
          <w:sz w:val="22"/>
          <w:szCs w:val="22"/>
          <w:rtl w:val="0"/>
        </w:rPr>
        <w:t xml:space="preserve">Dear WHO Senior Leadership Team,</w:t>
      </w:r>
    </w:p>
    <w:p w:rsidR="00000000" w:rsidDel="00000000" w:rsidP="00000000" w:rsidRDefault="00000000" w:rsidRPr="00000000" w14:paraId="0000000B">
      <w:pPr>
        <w:spacing w:after="0" w:before="0" w:line="240" w:lineRule="auto"/>
        <w:ind w:left="0" w:firstLine="0"/>
        <w:rPr>
          <w:color w:val="000000"/>
          <w:sz w:val="22"/>
          <w:szCs w:val="22"/>
        </w:rPr>
      </w:pPr>
      <w:r w:rsidDel="00000000" w:rsidR="00000000" w:rsidRPr="00000000">
        <w:rPr>
          <w:rtl w:val="0"/>
        </w:rPr>
      </w:r>
    </w:p>
    <w:p w:rsidR="00000000" w:rsidDel="00000000" w:rsidP="00000000" w:rsidRDefault="00000000" w:rsidRPr="00000000" w14:paraId="0000000C">
      <w:pPr>
        <w:spacing w:before="0" w:line="276" w:lineRule="auto"/>
        <w:ind w:left="0"/>
        <w:rPr>
          <w:color w:val="000000"/>
          <w:sz w:val="22"/>
          <w:szCs w:val="22"/>
        </w:rPr>
      </w:pPr>
      <w:r w:rsidDel="00000000" w:rsidR="00000000" w:rsidRPr="00000000">
        <w:rPr>
          <w:color w:val="000000"/>
          <w:sz w:val="22"/>
          <w:szCs w:val="22"/>
          <w:rtl w:val="0"/>
        </w:rPr>
        <w:t xml:space="preserve">I wanted to provide a crucial update on our cybersecurity preparedness, considering the escalating threat landscape, especially in light of recent attacks against the World Health Organization (WHO) during these critical times of the coronavirus pandemic.</w:t>
      </w:r>
    </w:p>
    <w:p w:rsidR="00000000" w:rsidDel="00000000" w:rsidP="00000000" w:rsidRDefault="00000000" w:rsidRPr="00000000" w14:paraId="0000000D">
      <w:pPr>
        <w:spacing w:before="0" w:line="276" w:lineRule="auto"/>
        <w:ind w:left="0"/>
        <w:rPr>
          <w:color w:val="000000"/>
          <w:sz w:val="22"/>
          <w:szCs w:val="22"/>
        </w:rPr>
      </w:pPr>
      <w:r w:rsidDel="00000000" w:rsidR="00000000" w:rsidRPr="00000000">
        <w:rPr>
          <w:rtl w:val="0"/>
        </w:rPr>
      </w:r>
    </w:p>
    <w:p w:rsidR="00000000" w:rsidDel="00000000" w:rsidP="00000000" w:rsidRDefault="00000000" w:rsidRPr="00000000" w14:paraId="0000000E">
      <w:pPr>
        <w:spacing w:before="0" w:line="276" w:lineRule="auto"/>
        <w:ind w:left="0"/>
        <w:rPr>
          <w:color w:val="000000"/>
          <w:sz w:val="22"/>
          <w:szCs w:val="22"/>
        </w:rPr>
      </w:pPr>
      <w:r w:rsidDel="00000000" w:rsidR="00000000" w:rsidRPr="00000000">
        <w:rPr>
          <w:color w:val="000000"/>
          <w:sz w:val="22"/>
          <w:szCs w:val="22"/>
          <w:rtl w:val="0"/>
        </w:rPr>
        <w:t xml:space="preserve">The attacks, one attributed to the DarkHotel Advanced Persistent Threat (APT) group. The attempt to steal passwords from WHO agency staff is a stark reminder that cybercriminals are actively exploiting the ongoing pandemic. The attackers, leveraging a fake site mimicking our internal email system, initiated the assault on March 13, prompting our cybersecurity team, along with external experts, to respond swiftly. </w:t>
      </w:r>
    </w:p>
    <w:p w:rsidR="00000000" w:rsidDel="00000000" w:rsidP="00000000" w:rsidRDefault="00000000" w:rsidRPr="00000000" w14:paraId="0000000F">
      <w:pPr>
        <w:spacing w:before="0" w:line="276" w:lineRule="auto"/>
        <w:ind w:left="0"/>
        <w:rPr>
          <w:color w:val="000000"/>
          <w:sz w:val="22"/>
          <w:szCs w:val="22"/>
        </w:rPr>
      </w:pPr>
      <w:r w:rsidDel="00000000" w:rsidR="00000000" w:rsidRPr="00000000">
        <w:rPr>
          <w:rtl w:val="0"/>
        </w:rPr>
      </w:r>
    </w:p>
    <w:p w:rsidR="00000000" w:rsidDel="00000000" w:rsidP="00000000" w:rsidRDefault="00000000" w:rsidRPr="00000000" w14:paraId="00000010">
      <w:pPr>
        <w:spacing w:before="0" w:line="276" w:lineRule="auto"/>
        <w:ind w:left="0"/>
        <w:rPr>
          <w:color w:val="000000"/>
          <w:sz w:val="22"/>
          <w:szCs w:val="22"/>
        </w:rPr>
      </w:pPr>
      <w:r w:rsidDel="00000000" w:rsidR="00000000" w:rsidRPr="00000000">
        <w:rPr>
          <w:color w:val="000000"/>
          <w:sz w:val="22"/>
          <w:szCs w:val="22"/>
          <w:rtl w:val="0"/>
        </w:rPr>
        <w:t xml:space="preserve">Our cybersecurity team is intensifying monitoring efforts to detect and neutralize any ongoing or potential threats promptly. Our cross-functional team of experts is conducting a thorough review and update of our cybersecurity strategies to address current and emerging risks. </w:t>
      </w:r>
      <w:r w:rsidDel="00000000" w:rsidR="00000000" w:rsidRPr="00000000">
        <w:rPr>
          <w:rtl w:val="0"/>
        </w:rPr>
      </w:r>
    </w:p>
    <w:p w:rsidR="00000000" w:rsidDel="00000000" w:rsidP="00000000" w:rsidRDefault="00000000" w:rsidRPr="00000000" w14:paraId="00000011">
      <w:pPr>
        <w:spacing w:before="0" w:line="276" w:lineRule="auto"/>
        <w:ind w:left="0"/>
        <w:rPr>
          <w:color w:val="000000"/>
          <w:sz w:val="22"/>
          <w:szCs w:val="22"/>
        </w:rPr>
      </w:pPr>
      <w:r w:rsidDel="00000000" w:rsidR="00000000" w:rsidRPr="00000000">
        <w:rPr>
          <w:rtl w:val="0"/>
        </w:rPr>
      </w:r>
    </w:p>
    <w:p w:rsidR="00000000" w:rsidDel="00000000" w:rsidP="00000000" w:rsidRDefault="00000000" w:rsidRPr="00000000" w14:paraId="00000012">
      <w:pPr>
        <w:spacing w:before="0" w:line="276" w:lineRule="auto"/>
        <w:ind w:left="0"/>
        <w:rPr>
          <w:color w:val="000000"/>
          <w:sz w:val="22"/>
          <w:szCs w:val="22"/>
        </w:rPr>
      </w:pPr>
      <w:r w:rsidDel="00000000" w:rsidR="00000000" w:rsidRPr="00000000">
        <w:rPr>
          <w:color w:val="000000"/>
          <w:sz w:val="22"/>
          <w:szCs w:val="22"/>
          <w:rtl w:val="0"/>
        </w:rPr>
        <w:t xml:space="preserve">Given the severity of the situation and the potential impact on our organization, I urge each one of you to prioritize cybersecurity vigilance. Please ensure your teams are briefed on the heightened threat level and actively participate in cybersecurity drills to test our incident response playbook.</w:t>
      </w:r>
    </w:p>
    <w:p w:rsidR="00000000" w:rsidDel="00000000" w:rsidP="00000000" w:rsidRDefault="00000000" w:rsidRPr="00000000" w14:paraId="00000013">
      <w:pPr>
        <w:spacing w:before="0" w:line="276" w:lineRule="auto"/>
        <w:ind w:left="0"/>
        <w:rPr>
          <w:color w:val="000000"/>
          <w:sz w:val="22"/>
          <w:szCs w:val="22"/>
        </w:rPr>
      </w:pPr>
      <w:r w:rsidDel="00000000" w:rsidR="00000000" w:rsidRPr="00000000">
        <w:rPr>
          <w:rtl w:val="0"/>
        </w:rPr>
      </w:r>
    </w:p>
    <w:p w:rsidR="00000000" w:rsidDel="00000000" w:rsidP="00000000" w:rsidRDefault="00000000" w:rsidRPr="00000000" w14:paraId="00000014">
      <w:pPr>
        <w:spacing w:before="0" w:line="276" w:lineRule="auto"/>
        <w:ind w:left="0"/>
        <w:rPr>
          <w:color w:val="000000"/>
          <w:sz w:val="22"/>
          <w:szCs w:val="22"/>
        </w:rPr>
      </w:pPr>
      <w:r w:rsidDel="00000000" w:rsidR="00000000" w:rsidRPr="00000000">
        <w:rPr>
          <w:color w:val="000000"/>
          <w:sz w:val="22"/>
          <w:szCs w:val="22"/>
          <w:rtl w:val="0"/>
        </w:rPr>
        <w:t xml:space="preserve">Thank you for your attention to this matter. If you have any immediate concerns or insights, do not hesitate to reach out.</w:t>
      </w:r>
      <w:r w:rsidDel="00000000" w:rsidR="00000000" w:rsidRPr="00000000">
        <w:rPr>
          <w:rtl w:val="0"/>
        </w:rPr>
      </w:r>
    </w:p>
    <w:sectPr>
      <w:headerReference r:id="rId9" w:type="default"/>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ind w:hanging="15"/>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400" w:line="360" w:lineRule="auto"/>
        <w:ind w:left="-1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pPr>
    <w:rPr>
      <w:rFonts w:ascii="Oswald" w:cs="Oswald" w:eastAsia="Oswald" w:hAnsi="Oswald"/>
      <w:sz w:val="32"/>
      <w:szCs w:val="32"/>
    </w:rPr>
  </w:style>
  <w:style w:type="paragraph" w:styleId="Heading2">
    <w:name w:val="heading 2"/>
    <w:basedOn w:val="Normal"/>
    <w:next w:val="Normal"/>
    <w:pPr>
      <w:keepNext w:val="1"/>
      <w:keepLines w:val="1"/>
      <w:spacing w:before="480" w:lineRule="auto"/>
    </w:pPr>
    <w:rPr>
      <w:rFonts w:ascii="Oswald" w:cs="Oswald" w:eastAsia="Oswald" w:hAnsi="Oswald"/>
      <w:color w:val="e31c60"/>
    </w:rPr>
  </w:style>
  <w:style w:type="paragraph" w:styleId="Heading3">
    <w:name w:val="heading 3"/>
    <w:basedOn w:val="Normal"/>
    <w:next w:val="Normal"/>
    <w:pPr>
      <w:keepNext w:val="1"/>
      <w:keepLines w:val="1"/>
      <w:spacing w:line="240" w:lineRule="auto"/>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40" w:lineRule="auto"/>
    </w:pPr>
    <w:rPr>
      <w:rFonts w:ascii="Oswald" w:cs="Oswald" w:eastAsia="Oswald" w:hAnsi="Oswald"/>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200"/>
      <w:outlineLvl w:val="0"/>
    </w:pPr>
    <w:rPr>
      <w:rFonts w:ascii="Oswald" w:cs="Oswald" w:eastAsia="Oswald" w:hAnsi="Oswald"/>
      <w:sz w:val="32"/>
      <w:szCs w:val="32"/>
    </w:rPr>
  </w:style>
  <w:style w:type="paragraph" w:styleId="Heading2">
    <w:name w:val="heading 2"/>
    <w:basedOn w:val="Normal"/>
    <w:next w:val="Normal"/>
    <w:uiPriority w:val="9"/>
    <w:semiHidden w:val="1"/>
    <w:unhideWhenUsed w:val="1"/>
    <w:qFormat w:val="1"/>
    <w:pPr>
      <w:keepNext w:val="1"/>
      <w:keepLines w:val="1"/>
      <w:spacing w:before="480"/>
      <w:outlineLvl w:val="1"/>
    </w:pPr>
    <w:rPr>
      <w:rFonts w:ascii="Oswald" w:cs="Oswald" w:eastAsia="Oswald" w:hAnsi="Oswald"/>
      <w:color w:val="e31c60"/>
    </w:rPr>
  </w:style>
  <w:style w:type="paragraph" w:styleId="Heading3">
    <w:name w:val="heading 3"/>
    <w:basedOn w:val="Normal"/>
    <w:next w:val="Normal"/>
    <w:uiPriority w:val="9"/>
    <w:semiHidden w:val="1"/>
    <w:unhideWhenUsed w:val="1"/>
    <w:qFormat w:val="1"/>
    <w:pPr>
      <w:keepNext w:val="1"/>
      <w:keepLines w:val="1"/>
      <w:spacing w:line="240" w:lineRule="auto"/>
      <w:outlineLvl w:val="2"/>
    </w:pPr>
    <w:rPr>
      <w:sz w:val="26"/>
      <w:szCs w:val="26"/>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sz w:val="22"/>
      <w:szCs w:val="22"/>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sz w:val="22"/>
      <w:szCs w:val="22"/>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200" w:line="240" w:lineRule="auto"/>
    </w:pPr>
    <w:rPr>
      <w:rFonts w:ascii="Oswald" w:cs="Oswald" w:eastAsia="Oswald" w:hAnsi="Oswald"/>
      <w:sz w:val="72"/>
      <w:szCs w:val="72"/>
    </w:rPr>
  </w:style>
  <w:style w:type="paragraph" w:styleId="Subtitle">
    <w:name w:val="Subtitle"/>
    <w:basedOn w:val="Normal"/>
    <w:next w:val="Normal"/>
    <w:uiPriority w:val="11"/>
    <w:qFormat w:val="1"/>
    <w:pPr>
      <w:keepNext w:val="1"/>
      <w:keepLines w:val="1"/>
      <w:ind w:right="-30"/>
    </w:pPr>
    <w:rPr>
      <w:rFonts w:ascii="Roboto Condensed" w:cs="Roboto Condensed" w:eastAsia="Roboto Condensed" w:hAnsi="Roboto Condensed"/>
      <w:color w:val="666666"/>
    </w:rPr>
  </w:style>
  <w:style w:type="paragraph" w:styleId="Subtitle">
    <w:name w:val="Subtitle"/>
    <w:basedOn w:val="Normal"/>
    <w:next w:val="Normal"/>
    <w:pPr>
      <w:keepNext w:val="1"/>
      <w:keepLines w:val="1"/>
      <w:ind w:right="-30"/>
    </w:pPr>
    <w:rPr>
      <w:rFonts w:ascii="Roboto Condensed" w:cs="Roboto Condensed" w:eastAsia="Roboto Condensed" w:hAnsi="Roboto Condensed"/>
      <w:color w:val="66666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U98/S781PuxfgcDAs9RpwvzHBg==">CgMxLjAyDmgua3p0aXhnbWNlejZ6MghoLmdqZGd4czgAciExMFFMT3pjc2hwLU1PM1ozRE5KbC0tNlVDNHBEVExuT0s=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2023-10-31T01:08:00Z</dcterms:created>
</cp:coreProperties>
</file>