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Findings: Cross-Linguistic Tool-Call Reliability in Debt-Collection Voice Agents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PS-3 · Tool Calls Under Code-Mixing  —  Predixion AI | TalentX</w:t>
      </w:r>
    </w:p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Research Question</w:t>
      </w:r>
    </w:p>
    <w:p>
      <w:pPr>
        <w:spacing w:after="120" w:line="264"/>
      </w:pPr>
      <w:r>
        <w:rPr>
          <w:rFonts w:ascii="Calibri" w:cs="Calibri" w:eastAsia="Calibri" w:hAnsi="Calibri"/>
          <w:sz w:val="21"/>
          <w:szCs w:val="21"/>
        </w:rPr>
        <w:t xml:space="preserve">How does the tool-calling reliability of a locally hosted, open-weight LLM vary between English and Indic languages (Hinglish and Marathi-English) when processing debt-collection borrower utterances, and what specifically drives any gap?</w:t>
      </w:r>
    </w:p>
    <w:p>
      <w:pPr>
        <w:spacing w:after="120" w:line="264"/>
      </w:pPr>
      <w:r>
        <w:rPr>
          <w:rFonts w:ascii="Calibri" w:cs="Calibri" w:eastAsia="Calibri" w:hAnsi="Calibri"/>
          <w:sz w:val="21"/>
          <w:szCs w:val="21"/>
        </w:rPr>
        <w:t xml:space="preserve">In a collections voice agent, the tool call is the business outcome. A capture_ptp that fails to fire when a borrower commits to paying is lost revenue — and it is lost silently: the call sounds fine, the transcript reads fine, and only reconciliation surfaces the miss. Function-calling reliability is known to degrade outside English; the size of that degradation for Indian languages is essentially unpublished and directly monetisable. This evaluation quantifies the English-vs-Indic delta and, where the data allows, the shape of the failures behind it.</w:t>
      </w:r>
    </w:p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Methodology</w:t>
      </w:r>
    </w:p>
    <w:p>
      <w:pPr>
        <w:spacing w:after="120" w:line="264"/>
      </w:pPr>
      <w:r>
        <w:rPr>
          <w:rFonts w:ascii="Calibri" w:cs="Calibri" w:eastAsia="Calibri" w:hAnsi="Calibri"/>
          <w:sz w:val="21"/>
          <w:szCs w:val="21"/>
        </w:rPr>
        <w:t xml:space="preserve">The design goal was to measure raw model capability, not the effect of iterative prompt engineering, so several controls were fixed before any run: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Immutable schemas — </w:t>
      </w:r>
      <w:r>
        <w:rPr>
          <w:rFonts w:ascii="Calibri" w:cs="Calibri" w:eastAsia="Calibri" w:hAnsi="Calibri"/>
          <w:sz w:val="21"/>
          <w:szCs w:val="21"/>
        </w:rPr>
        <w:t xml:space="preserve">tool definitions frozen in schemas/tools.json before testing began, with no post-hoc edits.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Baseline prompting — </w:t>
      </w:r>
      <w:r>
        <w:rPr>
          <w:rFonts w:ascii="Calibri" w:cs="Calibri" w:eastAsia="Calibri" w:hAnsi="Calibri"/>
          <w:sz w:val="21"/>
          <w:szCs w:val="21"/>
        </w:rPr>
        <w:t xml:space="preserve">one fixed system prompt used for every language, to isolate the language effect from prompt-tuning effects.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Zero-shot — </w:t>
      </w:r>
      <w:r>
        <w:rPr>
          <w:rFonts w:ascii="Calibri" w:cs="Calibri" w:eastAsia="Calibri" w:hAnsi="Calibri"/>
          <w:sz w:val="21"/>
          <w:szCs w:val="21"/>
        </w:rPr>
        <w:t xml:space="preserve">no few-shot examples from the test set were included, preventing the model from memorising expected patterns.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Determinism — </w:t>
      </w:r>
      <w:r>
        <w:rPr>
          <w:rFonts w:ascii="Calibri" w:cs="Calibri" w:eastAsia="Calibri" w:hAnsi="Calibri"/>
          <w:sz w:val="21"/>
          <w:szCs w:val="21"/>
        </w:rPr>
        <w:t xml:space="preserve">temperature = 0.0 on every inference, for reproducibility.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Synthetic realism — </w:t>
      </w:r>
      <w:r>
        <w:rPr>
          <w:rFonts w:ascii="Calibri" w:cs="Calibri" w:eastAsia="Calibri" w:hAnsi="Calibri"/>
          <w:sz w:val="21"/>
          <w:szCs w:val="21"/>
        </w:rPr>
        <w:t xml:space="preserve">210 utterances built to resemble real borrower speech — code-switching, relative dates (“kal”, “parso”), hesitant/non-linear phrasing — rather than schema-shaped templates, plus a deliberate set of ambiguous-intent cases to test over- and under-firing.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Automated, taxonomy-based scoring — </w:t>
      </w:r>
      <w:r>
        <w:rPr>
          <w:rFonts w:ascii="Calibri" w:cs="Calibri" w:eastAsia="Calibri" w:hAnsi="Calibri"/>
          <w:sz w:val="21"/>
          <w:szCs w:val="21"/>
        </w:rPr>
        <w:t xml:space="preserve">a programmatic engine compared each emitted tool call against ground truth and classified misses into a fixed error taxonomy (wrong tool, malformed argument, spurious call, missed call).</w:t>
      </w:r>
    </w:p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 Experimental Setup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7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Model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Qwen 2.5 (evaluated across model sizes; primary reported run size not disambiguated in logs — see Limitations)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Quantization</w:t>
            </w:r>
          </w:p>
        </w:tc>
        <w:tc>
          <w:tcPr>
            <w:tcW w:type="dxa" w:w="7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Q4_K_M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Runtime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Ollama (local, air-gapped inference)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Temperature</w:t>
            </w:r>
          </w:p>
        </w:tc>
        <w:tc>
          <w:tcPr>
            <w:tcW w:type="dxa" w:w="7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0.0 (deterministic, reproducible)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System prompt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Single fixed baseline prompt, unmodified across all languages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Tool schema</w:t>
            </w:r>
          </w:p>
        </w:tc>
        <w:tc>
          <w:tcPr>
            <w:tcW w:type="dxa" w:w="7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Frozen in schemas/tools.json before any runs; no post-hoc changes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Few-shot examples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None — zero-shot only, to prevent test-set leakage into the prompt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Corpus size</w:t>
            </w:r>
          </w:p>
        </w:tc>
        <w:tc>
          <w:tcPr>
            <w:tcW w:type="dxa" w:w="7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210 synthetic utterances (English, Hinglish, Marathi-English)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Corpus design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Code-switching, relative dates (“kal”, “parso”), hesitant/non-linear speech, deliberately ambiguous cases</w:t>
            </w:r>
          </w:p>
        </w:tc>
      </w:tr>
    </w:tbl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 Metrics Defined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Metric</w:t>
            </w:r>
          </w:p>
        </w:tc>
        <w:tc>
          <w:tcPr>
            <w:tcW w:type="dxa" w:w="6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Correct-tool rate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Cases with correct tool name ÷ total expected tool calls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Malformed-argument rate</w:t>
            </w:r>
          </w:p>
        </w:tc>
        <w:tc>
          <w:tcPr>
            <w:tcW w:type="dxa" w:w="6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Correct tool but missing / wrong-typed / enum-violating args ÷ correct-tool cases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Argument-level accuracy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Correct tool AND all argument values match (within tolerance) ÷ total expected tool calls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Spurious-call rate</w:t>
            </w:r>
          </w:p>
        </w:tc>
        <w:tc>
          <w:tcPr>
            <w:tcW w:type="dxa" w:w="6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Tool emitted when none was expected ÷ total cases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Missed-call rate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tool emitted when one was expected ÷ total cases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Ambiguous-case handling</w:t>
            </w:r>
          </w:p>
        </w:tc>
        <w:tc>
          <w:tcPr>
            <w:tcW w:type="dxa" w:w="6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Pass-rate variance on utterances where borrower intent is genuinely unclear</w:t>
            </w:r>
          </w:p>
        </w:tc>
      </w:tr>
    </w:tbl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5. Results</w:t>
      </w:r>
    </w:p>
    <w:p>
      <w:pPr>
        <w:spacing w:after="12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Results table — language delta: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1200"/>
        <w:gridCol w:w="900"/>
        <w:gridCol w:w="1000"/>
        <w:gridCol w:w="1500"/>
        <w:gridCol w:w="11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Language / Locale</w:t>
            </w:r>
          </w:p>
        </w:tc>
        <w:tc>
          <w:tcPr>
            <w:tcW w:type="dxa" w:w="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Cases</w:t>
            </w:r>
          </w:p>
        </w:tc>
        <w:tc>
          <w:tcPr>
            <w:tcW w:type="dxa" w:w="1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Accuracy</w:t>
            </w:r>
          </w:p>
        </w:tc>
        <w:tc>
          <w:tcPr>
            <w:tcW w:type="dxa" w:w="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Missed</w:t>
            </w:r>
          </w:p>
        </w:tc>
        <w:tc>
          <w:tcPr>
            <w:tcW w:type="dxa" w:w="1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Spurious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Malformed Args</w:t>
            </w:r>
          </w:p>
        </w:tc>
        <w:tc>
          <w:tcPr>
            <w:tcW w:type="dxa" w:w="1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Wrong Tool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English (en)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79.17%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Hinglish (hi-en)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100.00%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Marathi-English (mr-en)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100.00%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4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Overall</w:t>
            </w:r>
          </w:p>
        </w:tc>
        <w:tc>
          <w:tcPr>
            <w:tcW w:type="dxa" w:w="9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210</w:t>
            </w:r>
          </w:p>
        </w:tc>
        <w:tc>
          <w:tcPr>
            <w:tcW w:type="dxa" w:w="12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92.86%</w:t>
            </w:r>
          </w:p>
        </w:tc>
        <w:tc>
          <w:tcPr>
            <w:tcW w:type="dxa" w:w="9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10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15</w:t>
            </w:r>
          </w:p>
        </w:tc>
        <w:tc>
          <w:tcPr>
            <w:tcW w:type="dxa" w:w="15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11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</w:t>
            </w:r>
          </w:p>
        </w:tc>
      </w:tr>
    </w:tbl>
    <w:p>
      <w:pPr>
        <w:spacing w:after="120" w:line="264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Raw results (structured):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00"/>
        <w:gridCol w:w="1300"/>
        <w:gridCol w:w="1400"/>
        <w:gridCol w:w="900"/>
        <w:gridCol w:w="1000"/>
        <w:gridCol w:w="1200"/>
        <w:gridCol w:w="1100"/>
      </w:tblGrid>
      <w:tr>
        <w:trPr>
          <w:tblHeader/>
        </w:trPr>
        <w:tc>
          <w:tcPr>
            <w:tcW w:type="dxa" w:w="1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Locale</w:t>
            </w:r>
          </w:p>
        </w:tc>
        <w:tc>
          <w:tcPr>
            <w:tcW w:type="dxa" w:w="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Cases</w:t>
            </w:r>
          </w:p>
        </w:tc>
        <w:tc>
          <w:tcPr>
            <w:tcW w:type="dxa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Correct-tool</w:t>
            </w:r>
          </w:p>
        </w:tc>
        <w:tc>
          <w:tcPr>
            <w:tcW w:type="dxa" w:w="1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Arg-level acc.</w:t>
            </w:r>
          </w:p>
        </w:tc>
        <w:tc>
          <w:tcPr>
            <w:tcW w:type="dxa" w:w="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Missed</w:t>
            </w:r>
          </w:p>
        </w:tc>
        <w:tc>
          <w:tcPr>
            <w:tcW w:type="dxa" w:w="1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Spurious</w:t>
            </w:r>
          </w:p>
        </w:tc>
        <w:tc>
          <w:tcPr>
            <w:tcW w:type="dxa" w:w="1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Malformed</w:t>
            </w:r>
          </w:p>
        </w:tc>
        <w:tc>
          <w:tcPr>
            <w:tcW w:type="dxa" w:w="1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Wrong tool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en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57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0.7917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hi-en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78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78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mr-en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60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11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overall</w:t>
            </w:r>
          </w:p>
        </w:tc>
        <w:tc>
          <w:tcPr>
            <w:tcW w:type="dxa" w:w="8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210</w:t>
            </w:r>
          </w:p>
        </w:tc>
        <w:tc>
          <w:tcPr>
            <w:tcW w:type="dxa" w:w="13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195</w:t>
            </w:r>
          </w:p>
        </w:tc>
        <w:tc>
          <w:tcPr>
            <w:tcW w:type="dxa" w:w="14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0.9286</w:t>
            </w:r>
          </w:p>
        </w:tc>
        <w:tc>
          <w:tcPr>
            <w:tcW w:type="dxa" w:w="9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15</w:t>
            </w:r>
          </w:p>
        </w:tc>
        <w:tc>
          <w:tcPr>
            <w:tcW w:type="dxa" w:w="12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0</w:t>
            </w:r>
          </w:p>
        </w:tc>
        <w:tc>
          <w:tcPr>
            <w:tcW w:type="dxa" w:w="11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0</w:t>
            </w:r>
          </w:p>
        </w:tc>
      </w:tr>
    </w:tbl>
    <w:p>
      <w:pPr>
        <w:spacing w:after="120" w:line="264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Per-case data (utterance, expected tool/args, emitted tool/args, error label) is exported to results/raw_results.json and results/raw_results.csv for independent audit; the tables above are the aggregated view.</w:t>
      </w:r>
    </w:p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6. Key Findings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The delta runs opposite to the hypothesis. </w:t>
      </w:r>
      <w:r>
        <w:rPr>
          <w:rFonts w:ascii="Calibri" w:cs="Calibri" w:eastAsia="Calibri" w:hAnsi="Calibri"/>
          <w:sz w:val="21"/>
          <w:szCs w:val="21"/>
        </w:rPr>
        <w:t xml:space="preserve">Hinglish and Marathi-English both scored a clean 100%; English lagged at 79.17%. The expectation going in was that code-switched/Indic input would be the harder case — it was not.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The English shortfall is one-dimensional. </w:t>
      </w:r>
      <w:r>
        <w:rPr>
          <w:rFonts w:ascii="Calibri" w:cs="Calibri" w:eastAsia="Calibri" w:hAnsi="Calibri"/>
          <w:sz w:val="21"/>
          <w:szCs w:val="21"/>
        </w:rPr>
        <w:t xml:space="preserve">All 15 English errors are spurious calls — a tool fired when the utterance carried no real business intent. Zero missed calls, zero malformed arguments, and zero wrong-tool selections occurred in any language.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Argument construction is not the risk. </w:t>
      </w:r>
      <w:r>
        <w:rPr>
          <w:rFonts w:ascii="Calibri" w:cs="Calibri" w:eastAsia="Calibri" w:hAnsi="Calibri"/>
          <w:sz w:val="21"/>
          <w:szCs w:val="21"/>
        </w:rPr>
        <w:t xml:space="preserve">Once a tool was correctly selected, argument formation (dates, amounts, enums) was perfect across all 210 cases — including the Hinglish relative-date cases (“kal”, “parso”) built specifically to stress this. The reliability risk sits at the trigger-decision layer, not the extraction layer.</w:t>
      </w:r>
    </w:p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7. Unexpected / Non-Obvious Insights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Inverse gap. </w:t>
      </w:r>
      <w:r>
        <w:rPr>
          <w:rFonts w:ascii="Calibri" w:cs="Calibri" w:eastAsia="Calibri" w:hAnsi="Calibri"/>
          <w:sz w:val="21"/>
          <w:szCs w:val="21"/>
        </w:rPr>
        <w:t xml:space="preserve">The initial hypothesis was a performance gap against Indic languages. Instead, the model was more disciplined in mixed-language contexts than in pure English.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Intent over-triggering, not under-triggering. </w:t>
      </w:r>
      <w:r>
        <w:rPr>
          <w:rFonts w:ascii="Calibri" w:cs="Calibri" w:eastAsia="Calibri" w:hAnsi="Calibri"/>
          <w:sz w:val="21"/>
          <w:szCs w:val="21"/>
        </w:rPr>
        <w:t xml:space="preserve">The model appears “over-eager” in English — plausibly pattern-matching polite filler or hedging (“I’ll try to sort this out”) as a business trigger — while applying a stricter, more literal confirmation bar in code-switched input, where phrasing is less “smooth.”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Zero missed calls anywhere. </w:t>
      </w:r>
      <w:r>
        <w:rPr>
          <w:rFonts w:ascii="Calibri" w:cs="Calibri" w:eastAsia="Calibri" w:hAnsi="Calibri"/>
          <w:sz w:val="21"/>
          <w:szCs w:val="21"/>
        </w:rPr>
        <w:t xml:space="preserve">Given that a missed capture_ptp is the costlier failure mode for revenue recovery, the fact that every miss in this run was a false positive rather than a false negative is, on balance, the safer failure direction — though not a risk-free one (see Limitations).</w:t>
      </w:r>
    </w:p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8. Uncertainties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Corpus difficulty vs. language effect. </w:t>
      </w:r>
      <w:r>
        <w:rPr>
          <w:rFonts w:ascii="Calibri" w:cs="Calibri" w:eastAsia="Calibri" w:hAnsi="Calibri"/>
          <w:sz w:val="21"/>
          <w:szCs w:val="21"/>
        </w:rPr>
        <w:t xml:space="preserve">It has not been verified that the English and Indic subsets are matched for ambiguity. If the English cases are simply more borderline by construction, the “language effect” could really be a test-set construction effect — the single biggest open threat to the headline finding.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Model-size attribution. </w:t>
      </w:r>
      <w:r>
        <w:rPr>
          <w:rFonts w:ascii="Calibri" w:cs="Calibri" w:eastAsia="Calibri" w:hAnsi="Calibri"/>
          <w:sz w:val="21"/>
          <w:szCs w:val="21"/>
        </w:rPr>
        <w:t xml:space="preserve">The harness evaluated Qwen 2.5 at 4B/7B/9B, but the results above are a single aggregated run and the logs do not tag which size(s) produced it. It is unresolved whether the inverse gap holds at every size or is specific to one.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Ceiling on English performance. </w:t>
      </w:r>
      <w:r>
        <w:rPr>
          <w:rFonts w:ascii="Calibri" w:cs="Calibri" w:eastAsia="Calibri" w:hAnsi="Calibri"/>
          <w:sz w:val="21"/>
          <w:szCs w:val="21"/>
        </w:rPr>
        <w:t xml:space="preserve">Only one frozen baseline prompt was tested. Whether the 15 spurious calls are a hard model limitation or a one-line-prompt-fix artifact is unknown.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Generalization beyond Qwen 2.5. </w:t>
      </w:r>
      <w:r>
        <w:rPr>
          <w:rFonts w:ascii="Calibri" w:cs="Calibri" w:eastAsia="Calibri" w:hAnsi="Calibri"/>
          <w:sz w:val="21"/>
          <w:szCs w:val="21"/>
        </w:rPr>
        <w:t xml:space="preserve">Whether Llama 3.x, Mistral, or other multilingual models show the same inverse gap, a smaller gap, or the opposite pattern is untested.</w:t>
      </w:r>
    </w:p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9. Limitations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Synthetic corpus, not live calls. </w:t>
      </w:r>
      <w:r>
        <w:rPr>
          <w:rFonts w:ascii="Calibri" w:cs="Calibri" w:eastAsia="Calibri" w:hAnsi="Calibri"/>
          <w:sz w:val="21"/>
          <w:szCs w:val="21"/>
        </w:rPr>
        <w:t xml:space="preserve">No STT errors, acoustic noise, crosstalk, or interruptions are represented. Production error rates — in either direction — are very likely higher than reported here in ways this test cannot quantify.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Quantized inference only. </w:t>
      </w:r>
      <w:r>
        <w:rPr>
          <w:rFonts w:ascii="Calibri" w:cs="Calibri" w:eastAsia="Calibri" w:hAnsi="Calibri"/>
          <w:sz w:val="21"/>
          <w:szCs w:val="21"/>
        </w:rPr>
        <w:t xml:space="preserve">All results are on Q4_K_M; no FP16 comparison was run, so quantization cannot be ruled out as a contributor to the spurious-call behaviour specifically, versus it being a scale artifact.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Sample size and split imbalance. </w:t>
      </w:r>
      <w:r>
        <w:rPr>
          <w:rFonts w:ascii="Calibri" w:cs="Calibri" w:eastAsia="Calibri" w:hAnsi="Calibri"/>
          <w:sz w:val="21"/>
          <w:szCs w:val="21"/>
        </w:rPr>
        <w:t xml:space="preserve">N = 210 across unequal subsets (72 / 78 / 60). At this size, a handful of borderline decisions in either direction would visibly move the headline percentages, and a 100% score on ≈60–80 cases is not strong evidence of a true 0% error rate at scale.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Single prompt, single schema. </w:t>
      </w:r>
      <w:r>
        <w:rPr>
          <w:rFonts w:ascii="Calibri" w:cs="Calibri" w:eastAsia="Calibri" w:hAnsi="Calibri"/>
          <w:sz w:val="21"/>
          <w:szCs w:val="21"/>
        </w:rPr>
        <w:t xml:space="preserve">These results describe one specific prompt/schema pairing — not a claim about Qwen 2.5’s general ceiling.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 production risk-weighting. </w:t>
      </w:r>
      <w:r>
        <w:rPr>
          <w:rFonts w:ascii="Calibri" w:cs="Calibri" w:eastAsia="Calibri" w:hAnsi="Calibri"/>
          <w:sz w:val="21"/>
          <w:szCs w:val="21"/>
        </w:rPr>
        <w:t xml:space="preserve">All error types are currently counted equally; a missed dispute and a spurious PTP do not carry the same regulatory or revenue cost, and that asymmetry is not reflected in the accuracy numbers.</w:t>
      </w:r>
    </w:p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10. Conclusion</w:t>
      </w:r>
    </w:p>
    <w:p>
      <w:pPr>
        <w:spacing w:after="120" w:line="264"/>
      </w:pPr>
      <w:r>
        <w:rPr>
          <w:rFonts w:ascii="Calibri" w:cs="Calibri" w:eastAsia="Calibri" w:hAnsi="Calibri"/>
          <w:sz w:val="21"/>
          <w:szCs w:val="21"/>
        </w:rPr>
        <w:t xml:space="preserve">Under this test’s specific conditions, Qwen 2.5’s collections tool-calling was not less reliable in Hinglish or Marathi-English — it was more reliable than in English, and the entire English shortfall traces to a single cause: over-triggering on ambiguous intent, not misunderstanding the language or mishandling arguments. That is a narrower, more actionable problem than a general multilingual capability gap would be — it points at intent-confidence calibration rather than at localisation work. The finding should be treated as provisional until the corpus-difficulty confound and the model-size attribution above are resolved.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–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43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2026-09-05T10:43:02.424Z</dcterms:created>
  <dcterms:modified xsi:type="dcterms:W3CDTF">2026-09-05T10:43:02.436Z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