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1A0C" w:rsidRDefault="00AD1A0C" w:rsidP="00AD1A0C">
      <w:pPr>
        <w:jc w:val="center"/>
        <w:rPr>
          <w:sz w:val="32"/>
          <w:szCs w:val="32"/>
        </w:rPr>
      </w:pPr>
      <w:r w:rsidRPr="00AD1A0C">
        <w:rPr>
          <w:sz w:val="32"/>
          <w:szCs w:val="32"/>
        </w:rPr>
        <w:t>Ethical AI &amp; Responsible HR Analytics</w:t>
      </w:r>
    </w:p>
    <w:p w:rsidR="00AD1A0C" w:rsidRPr="00AD1A0C" w:rsidRDefault="00AD1A0C" w:rsidP="00AD1A0C">
      <w:pPr>
        <w:rPr>
          <w:sz w:val="32"/>
          <w:szCs w:val="32"/>
        </w:rPr>
      </w:pPr>
      <w:r>
        <w:rPr>
          <w:b/>
          <w:bCs/>
          <w:sz w:val="32"/>
          <w:szCs w:val="32"/>
        </w:rPr>
        <w:t>1</w:t>
      </w:r>
      <w:r w:rsidRPr="00AD1A0C">
        <w:rPr>
          <w:b/>
          <w:bCs/>
          <w:sz w:val="32"/>
          <w:szCs w:val="32"/>
        </w:rPr>
        <w:t>.Introduction:</w:t>
      </w:r>
    </w:p>
    <w:p w:rsidR="00AD1A0C" w:rsidRPr="00AD1A0C" w:rsidRDefault="00AD1A0C" w:rsidP="00AD1A0C">
      <w:pPr>
        <w:rPr>
          <w:sz w:val="24"/>
          <w:szCs w:val="24"/>
        </w:rPr>
      </w:pPr>
      <w:r>
        <w:rPr>
          <w:b/>
          <w:bCs/>
          <w:sz w:val="32"/>
          <w:szCs w:val="32"/>
        </w:rPr>
        <w:tab/>
      </w:r>
      <w:r w:rsidRPr="00AD1A0C">
        <w:rPr>
          <w:sz w:val="24"/>
          <w:szCs w:val="24"/>
        </w:rPr>
        <w:t>As organizations increasingly rely on data-driven HR analytics, the use of machine learning for employee attrition prediction introduces significant ethical responsibilities. While predictive models can assist in workforce planning and retention strategies, they must be designed and interpreted carefully to avoid bias, discrimination, and unfair decision-making.</w:t>
      </w:r>
    </w:p>
    <w:p w:rsidR="00AD1A0C" w:rsidRDefault="00AD1A0C" w:rsidP="00AD1A0C">
      <w:pPr>
        <w:rPr>
          <w:b/>
          <w:bCs/>
          <w:sz w:val="32"/>
          <w:szCs w:val="32"/>
        </w:rPr>
      </w:pPr>
    </w:p>
    <w:p w:rsidR="00AD1A0C" w:rsidRDefault="00AD1A0C" w:rsidP="00AD1A0C">
      <w:pPr>
        <w:rPr>
          <w:b/>
          <w:bCs/>
          <w:sz w:val="32"/>
          <w:szCs w:val="32"/>
        </w:rPr>
      </w:pPr>
      <w:r w:rsidRPr="00AD1A0C">
        <w:rPr>
          <w:b/>
          <w:bCs/>
          <w:sz w:val="32"/>
          <w:szCs w:val="32"/>
        </w:rPr>
        <w:t>2. Gender Bias and Demographic Fairness</w:t>
      </w:r>
      <w:r>
        <w:rPr>
          <w:b/>
          <w:bCs/>
          <w:sz w:val="32"/>
          <w:szCs w:val="32"/>
        </w:rPr>
        <w:t>:</w:t>
      </w:r>
    </w:p>
    <w:p w:rsidR="00AD1A0C" w:rsidRPr="00AD1A0C" w:rsidRDefault="00AD1A0C" w:rsidP="00AD1A0C">
      <w:pPr>
        <w:rPr>
          <w:sz w:val="24"/>
          <w:szCs w:val="24"/>
        </w:rPr>
      </w:pPr>
      <w:r>
        <w:rPr>
          <w:b/>
          <w:bCs/>
          <w:sz w:val="32"/>
          <w:szCs w:val="32"/>
        </w:rPr>
        <w:tab/>
      </w:r>
      <w:r w:rsidRPr="00AD1A0C">
        <w:rPr>
          <w:sz w:val="24"/>
          <w:szCs w:val="24"/>
        </w:rPr>
        <w:t>Gender and other demographic attributes (such as age and marital status) are sensitive variables. While the model may identify statistical associations between these features and attrition, such relationships do not imply causation.</w:t>
      </w:r>
    </w:p>
    <w:p w:rsidR="00AD1A0C" w:rsidRDefault="00AD1A0C" w:rsidP="00AD1A0C">
      <w:pPr>
        <w:rPr>
          <w:b/>
          <w:bCs/>
          <w:sz w:val="32"/>
          <w:szCs w:val="32"/>
        </w:rPr>
      </w:pPr>
    </w:p>
    <w:p w:rsidR="00AD1A0C" w:rsidRPr="00AD1A0C" w:rsidRDefault="00AD1A0C" w:rsidP="00AD1A0C">
      <w:pPr>
        <w:rPr>
          <w:b/>
          <w:bCs/>
        </w:rPr>
      </w:pPr>
      <w:r>
        <w:rPr>
          <w:b/>
          <w:bCs/>
          <w:sz w:val="32"/>
          <w:szCs w:val="32"/>
        </w:rPr>
        <w:t>3.</w:t>
      </w:r>
      <w:r w:rsidRPr="00AD1A0C">
        <w:rPr>
          <w:rFonts w:ascii="Times New Roman" w:eastAsia="Times New Roman" w:hAnsi="Times New Roman" w:cs="Times New Roman"/>
          <w:b/>
          <w:bCs/>
          <w:kern w:val="0"/>
          <w:sz w:val="36"/>
          <w:szCs w:val="36"/>
          <w:lang w:eastAsia="en-IN"/>
          <w14:ligatures w14:val="none"/>
        </w:rPr>
        <w:t xml:space="preserve"> </w:t>
      </w:r>
      <w:r w:rsidRPr="00AD1A0C">
        <w:rPr>
          <w:b/>
          <w:bCs/>
          <w:sz w:val="32"/>
          <w:szCs w:val="32"/>
        </w:rPr>
        <w:t>Risk of Wrong Predictions</w:t>
      </w:r>
    </w:p>
    <w:p w:rsidR="00AD1A0C" w:rsidRPr="00AD1A0C" w:rsidRDefault="00AD1A0C" w:rsidP="00AD1A0C">
      <w:pPr>
        <w:ind w:firstLine="720"/>
        <w:rPr>
          <w:sz w:val="24"/>
          <w:szCs w:val="24"/>
        </w:rPr>
      </w:pPr>
      <w:r w:rsidRPr="00AD1A0C">
        <w:rPr>
          <w:sz w:val="24"/>
          <w:szCs w:val="24"/>
        </w:rPr>
        <w:t>Attrition models can produce two types of errors:</w:t>
      </w:r>
    </w:p>
    <w:p w:rsidR="00AD1A0C" w:rsidRPr="00AD1A0C" w:rsidRDefault="00AD1A0C" w:rsidP="00AD1A0C">
      <w:pPr>
        <w:numPr>
          <w:ilvl w:val="0"/>
          <w:numId w:val="4"/>
        </w:numPr>
        <w:rPr>
          <w:sz w:val="24"/>
          <w:szCs w:val="24"/>
        </w:rPr>
      </w:pPr>
      <w:r w:rsidRPr="00AD1A0C">
        <w:rPr>
          <w:sz w:val="24"/>
          <w:szCs w:val="24"/>
        </w:rPr>
        <w:t>False Positives: Predicting an employee will leave when they stay.</w:t>
      </w:r>
    </w:p>
    <w:p w:rsidR="00AD1A0C" w:rsidRPr="00AD1A0C" w:rsidRDefault="00AD1A0C" w:rsidP="00AD1A0C">
      <w:pPr>
        <w:numPr>
          <w:ilvl w:val="0"/>
          <w:numId w:val="4"/>
        </w:numPr>
        <w:rPr>
          <w:sz w:val="24"/>
          <w:szCs w:val="24"/>
        </w:rPr>
      </w:pPr>
      <w:r w:rsidRPr="00AD1A0C">
        <w:rPr>
          <w:sz w:val="24"/>
          <w:szCs w:val="24"/>
        </w:rPr>
        <w:t>False Negatives: Predicting an employee will stay when they leave.</w:t>
      </w:r>
    </w:p>
    <w:p w:rsidR="00AD1A0C" w:rsidRDefault="00AD1A0C" w:rsidP="00AD1A0C">
      <w:pPr>
        <w:rPr>
          <w:sz w:val="24"/>
          <w:szCs w:val="24"/>
        </w:rPr>
      </w:pPr>
      <w:r w:rsidRPr="00AD1A0C">
        <w:rPr>
          <w:sz w:val="24"/>
          <w:szCs w:val="24"/>
        </w:rPr>
        <w:t>Both errors carry consequences. False positives may reduce employee trust, while false negatives may lead to unexpected talent loss. Therefore, predictions should be treated as risk indicators, not final decisions.</w:t>
      </w:r>
    </w:p>
    <w:p w:rsidR="00AD1A0C" w:rsidRDefault="00AD1A0C" w:rsidP="00AD1A0C">
      <w:pPr>
        <w:rPr>
          <w:sz w:val="24"/>
          <w:szCs w:val="24"/>
        </w:rPr>
      </w:pPr>
    </w:p>
    <w:p w:rsidR="00AD1A0C" w:rsidRPr="00AD1A0C" w:rsidRDefault="00AD1A0C" w:rsidP="00AD1A0C">
      <w:pPr>
        <w:rPr>
          <w:sz w:val="32"/>
          <w:szCs w:val="32"/>
        </w:rPr>
      </w:pPr>
      <w:r w:rsidRPr="00AD1A0C">
        <w:rPr>
          <w:sz w:val="32"/>
          <w:szCs w:val="32"/>
        </w:rPr>
        <w:t>4.</w:t>
      </w:r>
      <w:r>
        <w:rPr>
          <w:sz w:val="32"/>
          <w:szCs w:val="32"/>
        </w:rPr>
        <w:t xml:space="preserve"> </w:t>
      </w:r>
      <w:r w:rsidRPr="00AD1A0C">
        <w:rPr>
          <w:sz w:val="32"/>
          <w:szCs w:val="32"/>
        </w:rPr>
        <w:t>Responsible Use</w:t>
      </w:r>
    </w:p>
    <w:p w:rsidR="00AD1A0C" w:rsidRPr="00AD1A0C" w:rsidRDefault="00AD1A0C" w:rsidP="00AD1A0C">
      <w:pPr>
        <w:rPr>
          <w:sz w:val="24"/>
          <w:szCs w:val="24"/>
        </w:rPr>
      </w:pPr>
      <w:r w:rsidRPr="00AD1A0C">
        <w:rPr>
          <w:sz w:val="24"/>
          <w:szCs w:val="24"/>
        </w:rPr>
        <w:t>The model should serve as a decision-support tool rather than an automated decision-maker. HR professionals must combine model insights with human judgment and regularly monitor for fairness and bias.</w:t>
      </w:r>
    </w:p>
    <w:p w:rsidR="00AD1A0C" w:rsidRPr="00AD1A0C" w:rsidRDefault="00AD1A0C" w:rsidP="00AD1A0C">
      <w:pPr>
        <w:rPr>
          <w:b/>
          <w:bCs/>
          <w:sz w:val="24"/>
          <w:szCs w:val="24"/>
        </w:rPr>
      </w:pPr>
    </w:p>
    <w:p w:rsidR="00AD1A0C" w:rsidRDefault="00AD1A0C" w:rsidP="00AD1A0C">
      <w:pPr>
        <w:rPr>
          <w:b/>
          <w:bCs/>
          <w:sz w:val="32"/>
          <w:szCs w:val="32"/>
        </w:rPr>
      </w:pPr>
    </w:p>
    <w:p w:rsidR="00AD1A0C" w:rsidRPr="00AD1A0C" w:rsidRDefault="00AD1A0C" w:rsidP="00AD1A0C">
      <w:pPr>
        <w:rPr>
          <w:b/>
          <w:bCs/>
        </w:rPr>
      </w:pPr>
    </w:p>
    <w:sectPr w:rsidR="00AD1A0C" w:rsidRPr="00AD1A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1E70"/>
    <w:multiLevelType w:val="hybridMultilevel"/>
    <w:tmpl w:val="7EF856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16589C"/>
    <w:multiLevelType w:val="hybridMultilevel"/>
    <w:tmpl w:val="AE4E6252"/>
    <w:lvl w:ilvl="0" w:tplc="25E4E2F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2E417F8"/>
    <w:multiLevelType w:val="multilevel"/>
    <w:tmpl w:val="5744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A121DF"/>
    <w:multiLevelType w:val="hybridMultilevel"/>
    <w:tmpl w:val="F120099C"/>
    <w:lvl w:ilvl="0" w:tplc="28989726">
      <w:start w:val="1"/>
      <w:numFmt w:val="decimal"/>
      <w:lvlText w:val="%1&gt;"/>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58521523">
    <w:abstractNumId w:val="3"/>
  </w:num>
  <w:num w:numId="2" w16cid:durableId="1645351391">
    <w:abstractNumId w:val="0"/>
  </w:num>
  <w:num w:numId="3" w16cid:durableId="1681615442">
    <w:abstractNumId w:val="1"/>
  </w:num>
  <w:num w:numId="4" w16cid:durableId="15566272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A0C"/>
    <w:rsid w:val="005F0960"/>
    <w:rsid w:val="00AC5BFB"/>
    <w:rsid w:val="00AD1A0C"/>
    <w:rsid w:val="00D56DF0"/>
    <w:rsid w:val="00FC08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700FE"/>
  <w15:chartTrackingRefBased/>
  <w15:docId w15:val="{F46CEA10-E15B-4BCB-8794-2BC503592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A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A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A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A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A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A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A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A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A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A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A0C"/>
    <w:rPr>
      <w:rFonts w:eastAsiaTheme="majorEastAsia" w:cstheme="majorBidi"/>
      <w:color w:val="272727" w:themeColor="text1" w:themeTint="D8"/>
    </w:rPr>
  </w:style>
  <w:style w:type="paragraph" w:styleId="Title">
    <w:name w:val="Title"/>
    <w:basedOn w:val="Normal"/>
    <w:next w:val="Normal"/>
    <w:link w:val="TitleChar"/>
    <w:uiPriority w:val="10"/>
    <w:qFormat/>
    <w:rsid w:val="00AD1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A0C"/>
    <w:pPr>
      <w:spacing w:before="160"/>
      <w:jc w:val="center"/>
    </w:pPr>
    <w:rPr>
      <w:i/>
      <w:iCs/>
      <w:color w:val="404040" w:themeColor="text1" w:themeTint="BF"/>
    </w:rPr>
  </w:style>
  <w:style w:type="character" w:customStyle="1" w:styleId="QuoteChar">
    <w:name w:val="Quote Char"/>
    <w:basedOn w:val="DefaultParagraphFont"/>
    <w:link w:val="Quote"/>
    <w:uiPriority w:val="29"/>
    <w:rsid w:val="00AD1A0C"/>
    <w:rPr>
      <w:i/>
      <w:iCs/>
      <w:color w:val="404040" w:themeColor="text1" w:themeTint="BF"/>
    </w:rPr>
  </w:style>
  <w:style w:type="paragraph" w:styleId="ListParagraph">
    <w:name w:val="List Paragraph"/>
    <w:basedOn w:val="Normal"/>
    <w:uiPriority w:val="34"/>
    <w:qFormat/>
    <w:rsid w:val="00AD1A0C"/>
    <w:pPr>
      <w:ind w:left="720"/>
      <w:contextualSpacing/>
    </w:pPr>
  </w:style>
  <w:style w:type="character" w:styleId="IntenseEmphasis">
    <w:name w:val="Intense Emphasis"/>
    <w:basedOn w:val="DefaultParagraphFont"/>
    <w:uiPriority w:val="21"/>
    <w:qFormat/>
    <w:rsid w:val="00AD1A0C"/>
    <w:rPr>
      <w:i/>
      <w:iCs/>
      <w:color w:val="0F4761" w:themeColor="accent1" w:themeShade="BF"/>
    </w:rPr>
  </w:style>
  <w:style w:type="paragraph" w:styleId="IntenseQuote">
    <w:name w:val="Intense Quote"/>
    <w:basedOn w:val="Normal"/>
    <w:next w:val="Normal"/>
    <w:link w:val="IntenseQuoteChar"/>
    <w:uiPriority w:val="30"/>
    <w:qFormat/>
    <w:rsid w:val="00AD1A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A0C"/>
    <w:rPr>
      <w:i/>
      <w:iCs/>
      <w:color w:val="0F4761" w:themeColor="accent1" w:themeShade="BF"/>
    </w:rPr>
  </w:style>
  <w:style w:type="character" w:styleId="IntenseReference">
    <w:name w:val="Intense Reference"/>
    <w:basedOn w:val="DefaultParagraphFont"/>
    <w:uiPriority w:val="32"/>
    <w:qFormat/>
    <w:rsid w:val="00AD1A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201</Words>
  <Characters>1148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Kulkarni</dc:creator>
  <cp:keywords/>
  <dc:description/>
  <cp:lastModifiedBy>Atharva Kulkarni</cp:lastModifiedBy>
  <cp:revision>1</cp:revision>
  <dcterms:created xsi:type="dcterms:W3CDTF">2026-03-02T18:35:00Z</dcterms:created>
  <dcterms:modified xsi:type="dcterms:W3CDTF">2026-03-02T18:48:00Z</dcterms:modified>
</cp:coreProperties>
</file>