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RareBridge — standalone team video for your own recording</w:t>
      </w:r>
    </w:p>
    <w:p>
      <w:r>
        <w:t xml:space="preserve">Separate file from the technical demo and the one-minute patient walkthrough.</w:t>
      </w:r>
    </w:p>
    <w:p>
      <w:r>
        <w:t xml:space="preserve">Suggested duration: 60–90 seconds. The portal's actual limit takes precedence.</w:t>
      </w:r>
    </w:p>
    <w:p>
      <w:r>
        <w:t xml:space="preserve"/>
      </w:r>
    </w:p>
    <w:p>
      <w:pPr>
        <w:pStyle w:val="Heading1"/>
      </w:pPr>
      <w:r>
        <w:t xml:space="preserve">WHAT THIS VIDEO PROVES</w:t>
      </w:r>
    </w:p>
    <w:p>
      <w:r>
        <w:t xml:space="preserve">Who built the project, the problem you chose, the distinctive workflow and what</w:t>
      </w:r>
    </w:p>
    <w:p>
      <w:r>
        <w:t xml:space="preserve">you would validate next. Keep the detailed system walkthrough in the separate</w:t>
      </w:r>
    </w:p>
    <w:p>
      <w:r>
        <w:t xml:space="preserve">technical demo. Use real team members speaking, if practical, or one person</w:t>
      </w:r>
    </w:p>
    <w:p>
      <w:r>
        <w:t xml:space="preserve">introducing the team alongside an accurate credit slide.</w:t>
      </w:r>
    </w:p>
    <w:p>
      <w:r>
        <w:t xml:space="preserve"/>
      </w:r>
    </w:p>
    <w:p>
      <w:pPr>
        <w:pStyle w:val="Heading2"/>
      </w:pPr>
      <w:r>
        <w:t xml:space="preserve">0:00–0:15 — ATHARVA: INTRODUCE THE PROBLEM</w:t>
      </w:r>
    </w:p>
    <w:p>
      <w:r>
        <w:t xml:space="preserve">SHOW: Atharva on camera or the four-name team slide, then the live homepage.</w:t>
      </w:r>
    </w:p>
    <w:p>
      <w:r>
        <w:t xml:space="preserve">SAY:</w:t>
      </w:r>
    </w:p>
    <w:p>
      <w:r>
        <w:t xml:space="preserve">  "We are the team behind RareBridge. Patient organizations find related research</w:t>
      </w:r>
    </w:p>
    <w:p>
      <w:r>
        <w:t xml:space="preserve">  without knowing whether a particular study method or dataset fits their own</w:t>
      </w:r>
    </w:p>
    <w:p>
      <w:r>
        <w:t xml:space="preserve">  goal. We help them turn that uncertainty into a sourced collaboration proposal."</w:t>
      </w:r>
    </w:p>
    <w:p>
      <w:r>
        <w:t xml:space="preserve"/>
      </w:r>
    </w:p>
    <w:p>
      <w:pPr>
        <w:pStyle w:val="Heading2"/>
      </w:pPr>
      <w:r>
        <w:t xml:space="preserve">0:15–0:30 — SRINATH: EXPLAIN THE PRODUCT</w:t>
      </w:r>
    </w:p>
    <w:p>
      <w:r>
        <w:t xml:space="preserve">SHOW: Srinath or the research map, followed by the actual evidence inspector.</w:t>
      </w:r>
    </w:p>
    <w:p>
      <w:r>
        <w:t xml:space="preserve">SAY:</w:t>
      </w:r>
    </w:p>
    <w:p>
      <w:r>
        <w:t xml:space="preserve">  "I contributed to the backend and frontend. Our product connects source-linked</w:t>
      </w:r>
    </w:p>
    <w:p>
      <w:r>
        <w:t xml:space="preserve">  research records, assesses one resource for one proposed use, and shows both</w:t>
      </w:r>
    </w:p>
    <w:p>
      <w:r>
        <w:t xml:space="preserve">  supported checks and questions that remain open."</w:t>
      </w:r>
    </w:p>
    <w:p>
      <w:r>
        <w:t xml:space="preserve"/>
      </w:r>
    </w:p>
    <w:p>
      <w:pPr>
        <w:pStyle w:val="Heading2"/>
      </w:pPr>
      <w:r>
        <w:t xml:space="preserve">0:30–0:45 — SAANVI: EXPLAIN THE EVIDENCE</w:t>
      </w:r>
    </w:p>
    <w:p>
      <w:r>
        <w:t xml:space="preserve">SHOW: Saanvi or the two changed checks after hiding the paper; then restore it.</w:t>
      </w:r>
    </w:p>
    <w:p>
      <w:r>
        <w:t xml:space="preserve">SAY:</w:t>
      </w:r>
    </w:p>
    <w:p>
      <w:r>
        <w:t xml:space="preserve">  "I worked on evidence and curation. Users can inspect the sources and see which</w:t>
      </w:r>
    </w:p>
    <w:p>
      <w:r>
        <w:t xml:space="preserve">  checks depend on a paper. Source review and inference remain distinct, and new</w:t>
      </w:r>
    </w:p>
    <w:p>
      <w:r>
        <w:t xml:space="preserve">  AI claims stay pending instead of automatically becoming accepted facts."</w:t>
      </w:r>
    </w:p>
    <w:p>
      <w:r>
        <w:t xml:space="preserve"/>
      </w:r>
    </w:p>
    <w:p>
      <w:pPr>
        <w:pStyle w:val="Heading2"/>
      </w:pPr>
      <w:r>
        <w:t xml:space="preserve">0:45–1:00 — DHRUV: EXPLAIN THE VALIDATION</w:t>
      </w:r>
    </w:p>
    <w:p>
      <w:r>
        <w:t xml:space="preserve">SHOW: Dhruv or the real empty timing tool and quality-review checklist.</w:t>
      </w:r>
    </w:p>
    <w:p>
      <w:r>
        <w:t xml:space="preserve">SAY:</w:t>
      </w:r>
    </w:p>
    <w:p>
      <w:r>
        <w:t xml:space="preserve">  "I worked on evaluation. Our next step is expert review and a quality-controlled</w:t>
      </w:r>
    </w:p>
    <w:p>
      <w:r>
        <w:t xml:space="preserve">  manual-versus-app timing pilot. Tenfold acceleration is an ambition, not a</w:t>
      </w:r>
    </w:p>
    <w:p>
      <w:r>
        <w:t xml:space="preserve">  measured result; expert response time matters too."</w:t>
      </w:r>
    </w:p>
    <w:p>
      <w:r>
        <w:t xml:space="preserve"/>
      </w:r>
    </w:p>
    <w:p>
      <w:pPr>
        <w:pStyle w:val="Heading2"/>
      </w:pPr>
      <w:r>
        <w:t xml:space="preserve">1:00–1:15 — ATHARVA: CLOSE WITH THE RESULT</w:t>
      </w:r>
    </w:p>
    <w:p>
      <w:r>
        <w:t xml:space="preserve">SHOW: collaboration brief, public app URL and all four names. Atharva can speak</w:t>
      </w:r>
    </w:p>
    <w:p>
      <w:r>
        <w:t xml:space="preserve">on camera alongside it. Keep the real sources and next questions visible.</w:t>
      </w:r>
    </w:p>
    <w:p>
      <w:r>
        <w:t xml:space="preserve">SAY:</w:t>
      </w:r>
    </w:p>
    <w:p>
      <w:r>
        <w:t xml:space="preserve">  "I handled AI, integration and deployment. Existing Claude Sonnet 4.6 supports</w:t>
      </w:r>
    </w:p>
    <w:p>
      <w:r>
        <w:t xml:space="preserve">  explanations and research leads. RareBridge gives a patient organization a</w:t>
      </w:r>
    </w:p>
    <w:p>
      <w:r>
        <w:t xml:space="preserve">  concrete, evidence-qualified next step for a research partner to review."</w:t>
      </w:r>
    </w:p>
    <w:p>
      <w:r>
        <w:t xml:space="preserve"/>
      </w:r>
    </w:p>
    <w:p>
      <w:r>
        <w:t xml:space="preserve">Use actual contributions; change a line if a role is inaccurate. Keep the known</w:t>
      </w:r>
    </w:p>
    <w:p>
      <w:r>
        <w:t xml:space="preserve">STXBP1/SYNGAP1 framework distinct from a new discovery. Do not claim measured 10x,</w:t>
      </w:r>
    </w:p>
    <w:p>
      <w:r>
        <w:t xml:space="preserve">approved reuse, a newly trained graph model or automatic doctor booking.</w:t>
      </w:r>
    </w:p>
    <w:p>
      <w:r>
        <w:t xml:space="preserve"/>
      </w:r>
    </w:p>
    <w:p>
      <w:pPr>
        <w:pStyle w:val="Heading1"/>
      </w:pPr>
      <w:r>
        <w:t xml:space="preserve">FILE PLAN</w:t>
      </w:r>
    </w:p>
    <w:p>
      <w:r>
        <w:t xml:space="preserve">RareBridge-team-video.mp4 — this team introduction/pitch.</w:t>
      </w:r>
    </w:p>
    <w:p>
      <w:r>
        <w:t xml:space="preserve">RareBridge-technical-demo.mp4 — separate engineering demonstration.</w:t>
      </w:r>
    </w:p>
    <w:p>
      <w:r>
        <w:t xml:space="preserve">RareBridge-60s-walkthrough.mp4 — separate patient/group journey.</w:t>
      </w:r>
    </w:p>
    <w:p>
      <w:r>
        <w:t xml:space="preserve">The existing synthesized-narration videos are older-theme backups, not your new</w:t>
      </w:r>
    </w:p>
    <w:p>
      <w:r>
        <w:t xml:space="preserve">human recordings. Confirm the portal limits, play each export and upload each</w:t>
      </w:r>
    </w:p>
    <w:p>
      <w:r>
        <w:t xml:space="preserve">to its corresponding field.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80" w:line="260" w:lineRule="auto"/>
      </w:pPr>
    </w:pPrDefault>
  </w:docDefaults>
  <w:style w:type="paragraph" w:styleId="Title">
    <w:name w:val="Title"/>
    <w:pPr>
      <w:spacing w:after="240"/>
    </w:pPr>
    <w:rPr>
      <w:b/>
      <w:sz w:val="36"/>
      <w:color w:val="092F4C"/>
    </w:rPr>
  </w:style>
  <w:style w:type="paragraph" w:styleId="Heading1">
    <w:name w:val="heading 1"/>
    <w:pPr>
      <w:keepNext/>
      <w:spacing w:before="240" w:after="160"/>
    </w:pPr>
    <w:rPr>
      <w:b/>
      <w:sz w:val="28"/>
      <w:color w:val="092F4C"/>
    </w:rPr>
  </w:style>
  <w:style w:type="paragraph" w:styleId="Heading2">
    <w:name w:val="heading 2"/>
    <w:pPr>
      <w:keepNext/>
      <w:spacing w:before="160" w:after="100"/>
    </w:pPr>
    <w:rPr>
      <w:b/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