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4"/>
        <w:keepNext w:val="0"/>
        <w:keepLines w:val="0"/>
        <w:spacing w:before="280"/>
        <w:rPr>
          <w:b/>
          <w:color w:val="000000"/>
          <w:sz w:val="26"/>
          <w:szCs w:val="26"/>
        </w:rPr>
      </w:pPr>
      <w:bookmarkStart w:id="0" w:name="_mwv76osiyxrc" w:colFirst="0" w:colLast="0"/>
      <w:bookmarkEnd w:id="0"/>
      <w:r>
        <w:rPr>
          <w:b/>
          <w:color w:val="000000"/>
          <w:sz w:val="26"/>
          <w:szCs w:val="26"/>
          <w:rtl w:val="0"/>
        </w:rPr>
        <w:t>Executive Summary</w:t>
      </w:r>
    </w:p>
    <w:p w14:paraId="00000002">
      <w:pPr>
        <w:spacing w:before="240" w:after="240"/>
      </w:pPr>
      <w:r>
        <w:rPr>
          <w:rtl w:val="0"/>
        </w:rPr>
        <w:t>This report provides tactical, data-driven intelligence for multiply.ai to refine its go-to-market strategy. Our research concludes that the U.S. RIA market is not monolithic; it comprises distinct segments with vastly different operational pain points, technology adoption triggers, and procurement processes.</w:t>
      </w:r>
    </w:p>
    <w:p w14:paraId="00000003">
      <w:pPr>
        <w:spacing w:before="240" w:after="240"/>
        <w:rPr>
          <w:b/>
        </w:rPr>
      </w:pPr>
      <w:r>
        <w:rPr>
          <w:b/>
          <w:rtl w:val="0"/>
        </w:rPr>
        <w:t>Key Findings:</w:t>
      </w:r>
    </w:p>
    <w:p w14:paraId="00000004">
      <w:pPr>
        <w:numPr>
          <w:ilvl w:val="0"/>
          <w:numId w:val="1"/>
        </w:numPr>
        <w:spacing w:before="240" w:after="0" w:afterAutospacing="0"/>
        <w:ind w:left="720" w:hanging="360"/>
      </w:pPr>
      <w:r>
        <w:rPr>
          <w:b/>
          <w:rtl w:val="0"/>
        </w:rPr>
        <w:t>Two High-Opportunity Segments:</w:t>
      </w:r>
      <w:r>
        <w:rPr>
          <w:rtl w:val="0"/>
        </w:rPr>
        <w:t xml:space="preserve"> The most immediate addressable markets are </w:t>
      </w:r>
      <w:r>
        <w:rPr>
          <w:b/>
          <w:rtl w:val="0"/>
        </w:rPr>
        <w:t>'Scaling-Constrained Practitioners' (1-5 advisors)</w:t>
      </w:r>
      <w:r>
        <w:rPr>
          <w:rtl w:val="0"/>
        </w:rPr>
        <w:t xml:space="preserve"> and </w:t>
      </w:r>
      <w:r>
        <w:rPr>
          <w:b/>
          <w:rtl w:val="0"/>
        </w:rPr>
        <w:t>'Efficiency-Seeking Mid-Sized RIAs' (6-50 advisors)</w:t>
      </w:r>
      <w:r>
        <w:rPr>
          <w:rtl w:val="0"/>
        </w:rPr>
        <w:t>. The former are constrained by administrative workload, while the latter are crippled by technological fragmentation and process inconsistencies.</w:t>
      </w:r>
    </w:p>
    <w:p w14:paraId="00000005">
      <w:pPr>
        <w:numPr>
          <w:ilvl w:val="0"/>
          <w:numId w:val="1"/>
        </w:numPr>
        <w:spacing w:before="0" w:beforeAutospacing="0" w:after="0" w:afterAutospacing="0"/>
        <w:ind w:left="720" w:hanging="360"/>
      </w:pPr>
      <w:r>
        <w:rPr>
          <w:b/>
          <w:rtl w:val="0"/>
        </w:rPr>
        <w:t>Pain Points are Quantifiable:</w:t>
      </w:r>
      <w:r>
        <w:rPr>
          <w:rtl w:val="0"/>
        </w:rPr>
        <w:t xml:space="preserve"> Advisor workload data reveals that up to 40% of an advisor's time is spent on non-revenue generating, automatable tasks [1, 2]. This represents a quantifiable value proposition for an AI platform.</w:t>
      </w:r>
    </w:p>
    <w:p w14:paraId="00000006">
      <w:pPr>
        <w:numPr>
          <w:ilvl w:val="0"/>
          <w:numId w:val="1"/>
        </w:numPr>
        <w:spacing w:before="0" w:beforeAutospacing="0" w:after="240"/>
        <w:ind w:left="720" w:hanging="360"/>
      </w:pPr>
      <w:r>
        <w:rPr>
          <w:b/>
          <w:rtl w:val="0"/>
        </w:rPr>
        <w:t>Procurement is Persona-Driven:</w:t>
      </w:r>
      <w:r>
        <w:rPr>
          <w:rtl w:val="0"/>
        </w:rPr>
        <w:t xml:space="preserve"> The decision-maker in a small firm is the founder, focused on immediate time-saving. In a mid-sized firm, it is a committee (CEO, COO, CCO) focused on integration, compliance, and ROI [3, 4]. A one-size-fits-all sales approach will fail.</w:t>
      </w:r>
    </w:p>
    <w:p w14:paraId="00000007">
      <w:pPr>
        <w:spacing w:before="240" w:after="240"/>
        <w:rPr>
          <w:b/>
        </w:rPr>
      </w:pPr>
      <w:r>
        <w:rPr>
          <w:b/>
          <w:rtl w:val="0"/>
        </w:rPr>
        <w:t>Top-Line Recommendations:</w:t>
      </w:r>
    </w:p>
    <w:p w14:paraId="00000008">
      <w:pPr>
        <w:numPr>
          <w:ilvl w:val="0"/>
          <w:numId w:val="2"/>
        </w:numPr>
        <w:spacing w:before="240" w:after="0" w:afterAutospacing="0"/>
        <w:ind w:left="720" w:hanging="360"/>
      </w:pPr>
      <w:r>
        <w:rPr>
          <w:b/>
          <w:rtl w:val="0"/>
        </w:rPr>
        <w:t>Focus Initial GTM on 'Scaling-Constrained Practitioners':</w:t>
      </w:r>
      <w:r>
        <w:rPr>
          <w:rtl w:val="0"/>
        </w:rPr>
        <w:t xml:space="preserve"> Capture this segment with a low-friction, content-led inbound strategy and a simple, tiered pricing model to build market share and generate essential case studies.</w:t>
      </w:r>
    </w:p>
    <w:p w14:paraId="00000009">
      <w:pPr>
        <w:numPr>
          <w:ilvl w:val="0"/>
          <w:numId w:val="2"/>
        </w:numPr>
        <w:spacing w:before="0" w:beforeAutospacing="0" w:after="0" w:afterAutospacing="0"/>
        <w:ind w:left="720" w:hanging="360"/>
      </w:pPr>
      <w:r>
        <w:rPr>
          <w:b/>
          <w:rtl w:val="0"/>
        </w:rPr>
        <w:t>Leverage Ecosystem Partnerships:</w:t>
      </w:r>
      <w:r>
        <w:rPr>
          <w:rtl w:val="0"/>
        </w:rPr>
        <w:t xml:space="preserve"> Deep integrations with the "Big 3" RIA CRMs (Salesforce, Redtail, Wealthbox) [5] are not optional; they are a prerequisite for consideration by most firms.</w:t>
      </w:r>
    </w:p>
    <w:p w14:paraId="0000000A">
      <w:pPr>
        <w:numPr>
          <w:ilvl w:val="0"/>
          <w:numId w:val="2"/>
        </w:numPr>
        <w:spacing w:before="0" w:beforeAutospacing="0" w:after="240"/>
        <w:ind w:left="720" w:hanging="360"/>
      </w:pPr>
      <w:r>
        <w:rPr>
          <w:b/>
          <w:rtl w:val="0"/>
        </w:rPr>
        <w:t>Develop a Separate ABM Strategy for Mid-Sized RIAs:</w:t>
      </w:r>
      <w:r>
        <w:rPr>
          <w:rtl w:val="0"/>
        </w:rPr>
        <w:t xml:space="preserve"> Target these larger accounts with a high-touch, consultative sales process focused on demonstrating ROI and solving complex integration challenges.</w:t>
      </w:r>
    </w:p>
    <w:p w14:paraId="0000000B">
      <w:pPr>
        <w:pStyle w:val="4"/>
        <w:keepNext w:val="0"/>
        <w:keepLines w:val="0"/>
        <w:spacing w:before="280"/>
        <w:rPr>
          <w:b/>
          <w:color w:val="000000"/>
          <w:sz w:val="26"/>
          <w:szCs w:val="26"/>
        </w:rPr>
      </w:pPr>
      <w:bookmarkStart w:id="1" w:name="_1ou3xijp3ow9" w:colFirst="0" w:colLast="0"/>
      <w:bookmarkEnd w:id="1"/>
      <w:r>
        <w:rPr>
          <w:b/>
          <w:color w:val="000000"/>
          <w:sz w:val="26"/>
          <w:szCs w:val="26"/>
          <w:rtl w:val="0"/>
        </w:rPr>
        <w:t>1.0 Introduction &amp; Methodology</w:t>
      </w:r>
    </w:p>
    <w:p w14:paraId="0000000C">
      <w:pPr>
        <w:spacing w:before="240" w:after="240"/>
      </w:pPr>
      <w:r>
        <w:rPr>
          <w:rtl w:val="0"/>
        </w:rPr>
        <w:t>The objective of this report is to move beyond generic industry trends and provide multiply.ai with a tactical roadmap for customer acquisition and market penetration. The insights herein are synthesized from a comprehensive review of recent industry benchmarking studies, technology adoption surveys, B2B purchasing behavior research, and financial industry analyses from leading consulting firms.</w:t>
      </w:r>
    </w:p>
    <w:p w14:paraId="0000000D">
      <w:pPr>
        <w:spacing w:before="240" w:after="240"/>
      </w:pPr>
      <w:r>
        <w:rPr>
          <w:rtl w:val="0"/>
        </w:rPr>
        <w:t>Our methodology involved:</w:t>
      </w:r>
    </w:p>
    <w:p w14:paraId="0000000E">
      <w:pPr>
        <w:numPr>
          <w:ilvl w:val="0"/>
          <w:numId w:val="3"/>
        </w:numPr>
        <w:spacing w:before="240" w:after="0" w:afterAutospacing="0"/>
        <w:ind w:left="720" w:hanging="360"/>
      </w:pPr>
      <w:r>
        <w:rPr>
          <w:rtl w:val="0"/>
        </w:rPr>
        <w:t>Analyzing over 20 authoritative sources (see Section 6.0) to identify convergent data points on RIA operational behavior.</w:t>
      </w:r>
    </w:p>
    <w:p w14:paraId="0000000F">
      <w:pPr>
        <w:numPr>
          <w:ilvl w:val="0"/>
          <w:numId w:val="3"/>
        </w:numPr>
        <w:spacing w:before="0" w:beforeAutospacing="0" w:after="0" w:afterAutospacing="0"/>
        <w:ind w:left="720" w:hanging="360"/>
      </w:pPr>
      <w:r>
        <w:rPr>
          <w:rtl w:val="0"/>
        </w:rPr>
        <w:t>Segmenting the RIA market based on firm size and correlating this with reported business challenges and technology needs.</w:t>
      </w:r>
    </w:p>
    <w:p w14:paraId="00000010">
      <w:pPr>
        <w:numPr>
          <w:ilvl w:val="0"/>
          <w:numId w:val="3"/>
        </w:numPr>
        <w:spacing w:before="0" w:beforeAutospacing="0" w:after="240"/>
        <w:ind w:left="720" w:hanging="360"/>
      </w:pPr>
      <w:r>
        <w:rPr>
          <w:rtl w:val="0"/>
        </w:rPr>
        <w:t>Mapping observed pain points to the core functionalities of the multiply.ai platform to formulate a specific, evidence-backed go-to-market strategy.</w:t>
      </w:r>
    </w:p>
    <w:p w14:paraId="00000011">
      <w:pPr>
        <w:pStyle w:val="4"/>
        <w:keepNext w:val="0"/>
        <w:keepLines w:val="0"/>
        <w:spacing w:before="280"/>
        <w:rPr>
          <w:b/>
          <w:color w:val="000000"/>
          <w:sz w:val="26"/>
          <w:szCs w:val="26"/>
        </w:rPr>
      </w:pPr>
      <w:bookmarkStart w:id="2" w:name="_os59n6pa6wo3" w:colFirst="0" w:colLast="0"/>
      <w:bookmarkEnd w:id="2"/>
      <w:r>
        <w:rPr>
          <w:b/>
          <w:color w:val="000000"/>
          <w:sz w:val="26"/>
          <w:szCs w:val="26"/>
          <w:rtl w:val="0"/>
        </w:rPr>
        <w:t>2.0 Key Finding: Market Segmentation &amp; Opportunity Analysis</w:t>
      </w:r>
    </w:p>
    <w:p w14:paraId="00000012">
      <w:pPr>
        <w:spacing w:before="240" w:after="240"/>
      </w:pPr>
      <w:r>
        <w:rPr>
          <w:rtl w:val="0"/>
        </w:rPr>
        <w:t>Success requires a precise targeting strategy. We have identified two primary segments with acute needs that align directly with multiply.ai's value proposition.</w:t>
      </w:r>
    </w:p>
    <w:p w14:paraId="00000013">
      <w:pPr>
        <w:pStyle w:val="5"/>
        <w:keepNext w:val="0"/>
        <w:keepLines w:val="0"/>
        <w:spacing w:before="240" w:after="40"/>
        <w:rPr>
          <w:b/>
          <w:color w:val="000000"/>
          <w:sz w:val="22"/>
          <w:szCs w:val="22"/>
        </w:rPr>
      </w:pPr>
      <w:bookmarkStart w:id="3" w:name="_ztwq6sx2jzg" w:colFirst="0" w:colLast="0"/>
      <w:bookmarkEnd w:id="3"/>
      <w:r>
        <w:rPr>
          <w:b/>
          <w:color w:val="000000"/>
          <w:sz w:val="22"/>
          <w:szCs w:val="22"/>
          <w:rtl w:val="0"/>
        </w:rPr>
        <w:t>2.1 Segment Alpha: The 'Scaling-Constrained' Practitioner (1-5 Advisors)</w:t>
      </w:r>
    </w:p>
    <w:p w14:paraId="00000014">
      <w:pPr>
        <w:spacing w:before="240" w:after="240"/>
      </w:pPr>
      <w:r>
        <w:rPr>
          <w:rtl w:val="0"/>
        </w:rPr>
        <w:t>This segment represents the largest number of RIA firms in the U.S. [6]. They are entrepreneurial but perpetually resource-constrained.</w:t>
      </w:r>
    </w:p>
    <w:p w14:paraId="00000015">
      <w:pPr>
        <w:numPr>
          <w:ilvl w:val="0"/>
          <w:numId w:val="4"/>
        </w:numPr>
        <w:spacing w:before="240" w:after="0" w:afterAutospacing="0"/>
        <w:ind w:left="720" w:hanging="360"/>
      </w:pPr>
      <w:r>
        <w:rPr>
          <w:b/>
          <w:rtl w:val="0"/>
        </w:rPr>
        <w:t>Defining Pain Points:</w:t>
      </w:r>
    </w:p>
    <w:p w14:paraId="00000016">
      <w:pPr>
        <w:numPr>
          <w:ilvl w:val="1"/>
          <w:numId w:val="4"/>
        </w:numPr>
        <w:spacing w:before="0" w:beforeAutospacing="0" w:after="0" w:afterAutospacing="0"/>
        <w:ind w:left="1440" w:hanging="360"/>
      </w:pPr>
      <w:r>
        <w:rPr>
          <w:b/>
          <w:rtl w:val="0"/>
        </w:rPr>
        <w:t>Administrative Overload:</w:t>
      </w:r>
      <w:r>
        <w:rPr>
          <w:rtl w:val="0"/>
        </w:rPr>
        <w:t xml:space="preserve"> These advisors are primarily business operators. Research from both Kitces [1] and the FPA [7] confirms that administrative tasks, meeting preparation, and compliance paperwork are the most significant drains on their time, directly limiting their capacity to serve more clients.</w:t>
      </w:r>
    </w:p>
    <w:p w14:paraId="00000017">
      <w:pPr>
        <w:numPr>
          <w:ilvl w:val="1"/>
          <w:numId w:val="4"/>
        </w:numPr>
        <w:spacing w:before="0" w:beforeAutospacing="0" w:after="0" w:afterAutospacing="0"/>
        <w:ind w:left="1440" w:hanging="360"/>
      </w:pPr>
      <w:r>
        <w:rPr>
          <w:b/>
          <w:rtl w:val="0"/>
        </w:rPr>
        <w:t>Inability to Scale:</w:t>
      </w:r>
      <w:r>
        <w:rPr>
          <w:rtl w:val="0"/>
        </w:rPr>
        <w:t xml:space="preserve"> Growth is often linear and directly tied to hiring more staff. Lacking the capital or operational leverage of larger firms, they hit a "growth ceiling" where service quality begins to degrade as new clients are added [2, 8].</w:t>
      </w:r>
    </w:p>
    <w:p w14:paraId="00000018">
      <w:pPr>
        <w:numPr>
          <w:ilvl w:val="1"/>
          <w:numId w:val="4"/>
        </w:numPr>
        <w:spacing w:before="0" w:beforeAutospacing="0" w:after="240"/>
        <w:ind w:left="1440" w:hanging="360"/>
      </w:pPr>
      <w:r>
        <w:rPr>
          <w:b/>
          <w:rtl w:val="0"/>
        </w:rPr>
        <w:t>Competitive Vulnerability:</w:t>
      </w:r>
      <w:r>
        <w:rPr>
          <w:rtl w:val="0"/>
        </w:rPr>
        <w:t xml:space="preserve"> They struggle to compete with the polished digital experience and economies of scale offered by both large wirehouses and venture-backed digital wealth platforms [9].</w:t>
      </w:r>
    </w:p>
    <w:p w14:paraId="00000019">
      <w:pPr>
        <w:pStyle w:val="5"/>
        <w:keepNext w:val="0"/>
        <w:keepLines w:val="0"/>
        <w:spacing w:before="240" w:after="40"/>
        <w:rPr>
          <w:b/>
          <w:color w:val="000000"/>
          <w:sz w:val="22"/>
          <w:szCs w:val="22"/>
        </w:rPr>
      </w:pPr>
      <w:bookmarkStart w:id="4" w:name="_2kko9sa6rw7b" w:colFirst="0" w:colLast="0"/>
      <w:bookmarkEnd w:id="4"/>
      <w:r>
        <w:rPr>
          <w:b/>
          <w:color w:val="000000"/>
          <w:sz w:val="22"/>
          <w:szCs w:val="22"/>
          <w:rtl w:val="0"/>
        </w:rPr>
        <w:t>2.2 Segment Bravo: The 'Efficiency-Seeking' Mid-Sized RIA (6-50 Advisors)</w:t>
      </w:r>
    </w:p>
    <w:p w14:paraId="0000001A">
      <w:pPr>
        <w:spacing w:before="240" w:after="240"/>
      </w:pPr>
      <w:r>
        <w:rPr>
          <w:rtl w:val="0"/>
        </w:rPr>
        <w:t>These firms have achieved initial scale but now face crippling operational complexity. Their focus shifts from survival to optimization and profitability.</w:t>
      </w:r>
    </w:p>
    <w:p w14:paraId="0000001B">
      <w:pPr>
        <w:numPr>
          <w:ilvl w:val="0"/>
          <w:numId w:val="5"/>
        </w:numPr>
        <w:spacing w:before="240" w:after="0" w:afterAutospacing="0"/>
        <w:ind w:left="720" w:hanging="360"/>
      </w:pPr>
      <w:r>
        <w:rPr>
          <w:b/>
          <w:rtl w:val="0"/>
        </w:rPr>
        <w:t>Defining Pain Points:</w:t>
      </w:r>
    </w:p>
    <w:p w14:paraId="0000001C">
      <w:pPr>
        <w:numPr>
          <w:ilvl w:val="1"/>
          <w:numId w:val="5"/>
        </w:numPr>
        <w:spacing w:before="0" w:beforeAutospacing="0" w:after="0" w:afterAutospacing="0"/>
        <w:ind w:left="1440" w:hanging="360"/>
      </w:pPr>
      <w:r>
        <w:rPr>
          <w:b/>
          <w:rtl w:val="0"/>
        </w:rPr>
        <w:t>Technology Fragmentation (The "Franken-stack"):</w:t>
      </w:r>
      <w:r>
        <w:rPr>
          <w:rtl w:val="0"/>
        </w:rPr>
        <w:t xml:space="preserve"> This is their primary technology challenge [10]. Their tech stack often consists of 5-10 different, poorly integrated applications for CRM, portfolio management, financial planning, and compliance [5, 11]. This creates massive data silos and manual workflow inefficiencies.</w:t>
      </w:r>
    </w:p>
    <w:p w14:paraId="0000001D">
      <w:pPr>
        <w:numPr>
          <w:ilvl w:val="1"/>
          <w:numId w:val="5"/>
        </w:numPr>
        <w:spacing w:before="0" w:beforeAutospacing="0" w:after="0" w:afterAutospacing="0"/>
        <w:ind w:left="1440" w:hanging="360"/>
      </w:pPr>
      <w:r>
        <w:rPr>
          <w:b/>
          <w:rtl w:val="0"/>
        </w:rPr>
        <w:t>Process &amp; Compliance Risk:</w:t>
      </w:r>
      <w:r>
        <w:rPr>
          <w:rtl w:val="0"/>
        </w:rPr>
        <w:t xml:space="preserve"> A lack of standardized workflows across a larger team introduces significant business and compliance risks. Ensuring every advisor follows a consistent, auditable process for client reviews and recommendations is a major concern for the firm's principals and Chief Compliance Officer (CCO) [4, 12].</w:t>
      </w:r>
    </w:p>
    <w:p w14:paraId="0000001E">
      <w:pPr>
        <w:numPr>
          <w:ilvl w:val="1"/>
          <w:numId w:val="5"/>
        </w:numPr>
        <w:spacing w:before="0" w:beforeAutospacing="0" w:after="240"/>
        <w:ind w:left="1440" w:hanging="360"/>
      </w:pPr>
      <w:r>
        <w:rPr>
          <w:b/>
          <w:rtl w:val="0"/>
        </w:rPr>
        <w:t>Inconsistent Client Experience:</w:t>
      </w:r>
      <w:r>
        <w:rPr>
          <w:rtl w:val="0"/>
        </w:rPr>
        <w:t xml:space="preserve"> Without a unified platform, the quality and nature of financial plans and client reviews can vary dramatically from one advisor to another, diluting the firm's brand and value proposition [13].</w:t>
      </w:r>
    </w:p>
    <w:p w14:paraId="0000001F">
      <w:pPr>
        <w:pStyle w:val="4"/>
        <w:keepNext w:val="0"/>
        <w:keepLines w:val="0"/>
        <w:spacing w:before="280"/>
        <w:rPr>
          <w:b/>
          <w:color w:val="000000"/>
          <w:sz w:val="26"/>
          <w:szCs w:val="26"/>
        </w:rPr>
      </w:pPr>
      <w:bookmarkStart w:id="5" w:name="_6swf58lktnci" w:colFirst="0" w:colLast="0"/>
      <w:bookmarkEnd w:id="5"/>
      <w:r>
        <w:rPr>
          <w:b/>
          <w:color w:val="000000"/>
          <w:sz w:val="26"/>
          <w:szCs w:val="26"/>
          <w:rtl w:val="0"/>
        </w:rPr>
        <w:t>3.0 Key Finding: The RIA Technology Procurement Process</w:t>
      </w:r>
    </w:p>
    <w:p w14:paraId="00000020">
      <w:pPr>
        <w:spacing w:before="240" w:after="240"/>
      </w:pPr>
      <w:r>
        <w:rPr>
          <w:rtl w:val="0"/>
        </w:rPr>
        <w:t>Selling to Segment Alpha and Segment Bravo requires entirely different approaches.</w:t>
      </w:r>
    </w:p>
    <w:p w14:paraId="00000021">
      <w:pPr>
        <w:numPr>
          <w:ilvl w:val="0"/>
          <w:numId w:val="6"/>
        </w:numPr>
        <w:spacing w:before="240" w:after="0" w:afterAutospacing="0"/>
        <w:ind w:left="720" w:hanging="360"/>
      </w:pPr>
      <w:r>
        <w:rPr>
          <w:b/>
          <w:rtl w:val="0"/>
        </w:rPr>
        <w:t>Segment Alpha (Practitioners):</w:t>
      </w:r>
      <w:r>
        <w:rPr>
          <w:rtl w:val="0"/>
        </w:rPr>
        <w:t xml:space="preserve"> The </w:t>
      </w:r>
      <w:r>
        <w:rPr>
          <w:b/>
          <w:rtl w:val="0"/>
        </w:rPr>
        <w:t>Principal/Founder is the sole decision-maker</w:t>
      </w:r>
      <w:r>
        <w:rPr>
          <w:rtl w:val="0"/>
        </w:rPr>
        <w:t>. The buying process is informal, driven by an acute need and influenced by peer recommendations, industry podcasts, and content from thought leaders [1, 14]. The sales cycle is short (under 30 days) and highly sensitive to price and ease of implementation. A free trial is often a prerequisite for consideration.</w:t>
      </w:r>
    </w:p>
    <w:p w14:paraId="00000022">
      <w:pPr>
        <w:numPr>
          <w:ilvl w:val="0"/>
          <w:numId w:val="6"/>
        </w:numPr>
        <w:spacing w:before="0" w:beforeAutospacing="0" w:after="0" w:afterAutospacing="0"/>
        <w:ind w:left="720" w:hanging="360"/>
      </w:pPr>
      <w:r>
        <w:rPr>
          <w:b/>
          <w:rtl w:val="0"/>
        </w:rPr>
        <w:t>Segment Bravo (Mid-Sized Firms):</w:t>
      </w:r>
      <w:r>
        <w:rPr>
          <w:rtl w:val="0"/>
        </w:rPr>
        <w:t xml:space="preserve"> Procurement is managed by a formal </w:t>
      </w:r>
      <w:r>
        <w:rPr>
          <w:b/>
          <w:rtl w:val="0"/>
        </w:rPr>
        <w:t>Decision-Making Unit (DMU)</w:t>
      </w:r>
      <w:r>
        <w:rPr>
          <w:rtl w:val="0"/>
        </w:rPr>
        <w:t xml:space="preserve"> [3]. This includes:</w:t>
      </w:r>
    </w:p>
    <w:p w14:paraId="00000023">
      <w:pPr>
        <w:numPr>
          <w:ilvl w:val="1"/>
          <w:numId w:val="6"/>
        </w:numPr>
        <w:spacing w:before="0" w:beforeAutospacing="0" w:after="0" w:afterAutospacing="0"/>
        <w:ind w:left="1440" w:hanging="360"/>
      </w:pPr>
      <w:r>
        <w:rPr>
          <w:b/>
          <w:rtl w:val="0"/>
        </w:rPr>
        <w:t>The Champion (Head of Advisory/COO):</w:t>
      </w:r>
      <w:r>
        <w:rPr>
          <w:rtl w:val="0"/>
        </w:rPr>
        <w:t xml:space="preserve"> Experiences the pain of inefficiency directly.</w:t>
      </w:r>
    </w:p>
    <w:p w14:paraId="00000024">
      <w:pPr>
        <w:numPr>
          <w:ilvl w:val="1"/>
          <w:numId w:val="6"/>
        </w:numPr>
        <w:spacing w:before="0" w:beforeAutospacing="0" w:after="0" w:afterAutospacing="0"/>
        <w:ind w:left="1440" w:hanging="360"/>
      </w:pPr>
      <w:r>
        <w:rPr>
          <w:b/>
          <w:rtl w:val="0"/>
        </w:rPr>
        <w:t>The Economic Buyer (CEO/Managing Partner):</w:t>
      </w:r>
      <w:r>
        <w:rPr>
          <w:rtl w:val="0"/>
        </w:rPr>
        <w:t xml:space="preserve"> Approves budget and requires a clear ROI analysis.</w:t>
      </w:r>
    </w:p>
    <w:p w14:paraId="00000025">
      <w:pPr>
        <w:numPr>
          <w:ilvl w:val="1"/>
          <w:numId w:val="6"/>
        </w:numPr>
        <w:spacing w:before="0" w:beforeAutospacing="0" w:after="0" w:afterAutospacing="0"/>
        <w:ind w:left="1440" w:hanging="360"/>
      </w:pPr>
      <w:r>
        <w:rPr>
          <w:b/>
          <w:rtl w:val="0"/>
        </w:rPr>
        <w:t>The Technical Buyer (CTO/Head of Ops):</w:t>
      </w:r>
      <w:r>
        <w:rPr>
          <w:rtl w:val="0"/>
        </w:rPr>
        <w:t xml:space="preserve"> Vets for security, scalability, and integration capabilities.</w:t>
      </w:r>
    </w:p>
    <w:p w14:paraId="00000026">
      <w:pPr>
        <w:numPr>
          <w:ilvl w:val="1"/>
          <w:numId w:val="6"/>
        </w:numPr>
        <w:spacing w:before="0" w:beforeAutospacing="0" w:after="240"/>
        <w:ind w:left="1440" w:hanging="360"/>
      </w:pPr>
      <w:r>
        <w:rPr>
          <w:b/>
          <w:rtl w:val="0"/>
        </w:rPr>
        <w:t>The Compliance Officer (CCO):</w:t>
      </w:r>
      <w:r>
        <w:rPr>
          <w:rtl w:val="0"/>
        </w:rPr>
        <w:t xml:space="preserve"> Holds veto power based on compliance and data governance features. The sales cycle is long (3-9 months) and requires multiple demos, security reviews, and a formal proposal process [15].</w:t>
      </w:r>
    </w:p>
    <w:p w14:paraId="00000027">
      <w:pPr>
        <w:pStyle w:val="4"/>
        <w:keepNext w:val="0"/>
        <w:keepLines w:val="0"/>
        <w:spacing w:before="280"/>
        <w:rPr>
          <w:b/>
          <w:color w:val="000000"/>
          <w:sz w:val="26"/>
          <w:szCs w:val="26"/>
        </w:rPr>
      </w:pPr>
      <w:bookmarkStart w:id="6" w:name="_t0svkykp5etv" w:colFirst="0" w:colLast="0"/>
      <w:bookmarkEnd w:id="6"/>
      <w:r>
        <w:rPr>
          <w:b/>
          <w:color w:val="000000"/>
          <w:sz w:val="26"/>
          <w:szCs w:val="26"/>
          <w:rtl w:val="0"/>
        </w:rPr>
        <w:t>4.0 Tactical Recommendations: Go-to-Market Strategy</w:t>
      </w:r>
    </w:p>
    <w:p w14:paraId="00000028">
      <w:pPr>
        <w:pStyle w:val="5"/>
        <w:keepNext w:val="0"/>
        <w:keepLines w:val="0"/>
        <w:spacing w:before="240" w:after="40"/>
        <w:rPr>
          <w:b/>
          <w:color w:val="000000"/>
          <w:sz w:val="22"/>
          <w:szCs w:val="22"/>
        </w:rPr>
      </w:pPr>
      <w:bookmarkStart w:id="7" w:name="_fw64ezbnbq7m" w:colFirst="0" w:colLast="0"/>
      <w:bookmarkEnd w:id="7"/>
      <w:r>
        <w:rPr>
          <w:b/>
          <w:color w:val="000000"/>
          <w:sz w:val="22"/>
          <w:szCs w:val="22"/>
          <w:rtl w:val="0"/>
        </w:rPr>
        <w:t>4.1 Customer Acquisition Channels</w:t>
      </w:r>
    </w:p>
    <w:p w14:paraId="00000029">
      <w:pPr>
        <w:numPr>
          <w:ilvl w:val="0"/>
          <w:numId w:val="7"/>
        </w:numPr>
        <w:spacing w:before="240" w:after="0" w:afterAutospacing="0"/>
        <w:ind w:left="720" w:hanging="360"/>
      </w:pPr>
      <w:r>
        <w:rPr>
          <w:b/>
          <w:rtl w:val="0"/>
        </w:rPr>
        <w:t>For Segment Alpha:</w:t>
      </w:r>
    </w:p>
    <w:p w14:paraId="0000002A">
      <w:pPr>
        <w:numPr>
          <w:ilvl w:val="1"/>
          <w:numId w:val="7"/>
        </w:numPr>
        <w:spacing w:before="0" w:beforeAutospacing="0" w:after="0" w:afterAutospacing="0"/>
        <w:ind w:left="1440" w:hanging="360"/>
      </w:pPr>
      <w:r>
        <w:rPr>
          <w:b/>
          <w:rtl w:val="0"/>
        </w:rPr>
        <w:t>Content &amp; SEO:</w:t>
      </w:r>
      <w:r>
        <w:rPr>
          <w:rtl w:val="0"/>
        </w:rPr>
        <w:t xml:space="preserve"> Create a resource center with content targeting their specific pain points (e.g., "The RIA's 5-Step Guide to Automating Quarterly Reviews"). This aligns with the fact that advisors heavily rely on industry publications and blogs for practice management insights [1, 14].</w:t>
      </w:r>
    </w:p>
    <w:p w14:paraId="0000002B">
      <w:pPr>
        <w:numPr>
          <w:ilvl w:val="1"/>
          <w:numId w:val="7"/>
        </w:numPr>
        <w:spacing w:before="0" w:beforeAutospacing="0" w:after="0" w:afterAutospacing="0"/>
        <w:ind w:left="1440" w:hanging="360"/>
      </w:pPr>
      <w:r>
        <w:rPr>
          <w:b/>
          <w:rtl w:val="0"/>
        </w:rPr>
        <w:t>Ecosystem Marketing:</w:t>
      </w:r>
      <w:r>
        <w:rPr>
          <w:rtl w:val="0"/>
        </w:rPr>
        <w:t xml:space="preserve"> Prioritize becoming a "featured integration" within the marketplaces of </w:t>
      </w:r>
      <w:r>
        <w:rPr>
          <w:b/>
          <w:rtl w:val="0"/>
        </w:rPr>
        <w:t>Redtail, Wealthbox, and Orion</w:t>
      </w:r>
      <w:r>
        <w:rPr>
          <w:rtl w:val="0"/>
        </w:rPr>
        <w:t>. The T3 Advisor Software Survey shows these platforms have dominant market share and are the "hub" of the advisor's daily life [5, 11]. This is a critical channel.</w:t>
      </w:r>
    </w:p>
    <w:p w14:paraId="0000002C">
      <w:pPr>
        <w:numPr>
          <w:ilvl w:val="1"/>
          <w:numId w:val="7"/>
        </w:numPr>
        <w:spacing w:before="0" w:beforeAutospacing="0" w:after="0" w:afterAutospacing="0"/>
        <w:ind w:left="1440" w:hanging="360"/>
      </w:pPr>
      <w:r>
        <w:rPr>
          <w:b/>
          <w:rtl w:val="0"/>
        </w:rPr>
        <w:t>Podcast &amp; Influencer Marketing:</w:t>
      </w:r>
      <w:r>
        <w:rPr>
          <w:rtl w:val="0"/>
        </w:rPr>
        <w:t xml:space="preserve"> Targeted sponsorship of influential podcasts like </w:t>
      </w:r>
      <w:r>
        <w:rPr>
          <w:i/>
          <w:rtl w:val="0"/>
        </w:rPr>
        <w:t>The Michael Kitces Podcast</w:t>
      </w:r>
      <w:r>
        <w:rPr>
          <w:rtl w:val="0"/>
        </w:rPr>
        <w:t xml:space="preserve"> or </w:t>
      </w:r>
      <w:r>
        <w:rPr>
          <w:i/>
          <w:rtl w:val="0"/>
        </w:rPr>
        <w:t>Barron's Advisor's The Way Forward</w:t>
      </w:r>
      <w:r>
        <w:rPr>
          <w:rtl w:val="0"/>
        </w:rPr>
        <w:t xml:space="preserve"> to build trust and credibility.</w:t>
      </w:r>
    </w:p>
    <w:p w14:paraId="0000002D">
      <w:pPr>
        <w:numPr>
          <w:ilvl w:val="0"/>
          <w:numId w:val="7"/>
        </w:numPr>
        <w:spacing w:before="0" w:beforeAutospacing="0" w:after="0" w:afterAutospacing="0"/>
        <w:ind w:left="720" w:hanging="360"/>
      </w:pPr>
      <w:r>
        <w:rPr>
          <w:b/>
          <w:rtl w:val="0"/>
        </w:rPr>
        <w:t>For Segment Bravo:</w:t>
      </w:r>
    </w:p>
    <w:p w14:paraId="0000002E">
      <w:pPr>
        <w:numPr>
          <w:ilvl w:val="1"/>
          <w:numId w:val="7"/>
        </w:numPr>
        <w:spacing w:before="0" w:beforeAutospacing="0" w:after="0" w:afterAutospacing="0"/>
        <w:ind w:left="1440" w:hanging="360"/>
      </w:pPr>
      <w:r>
        <w:rPr>
          <w:b/>
          <w:rtl w:val="0"/>
        </w:rPr>
        <w:t>Account-Based Marketing (ABM):</w:t>
      </w:r>
      <w:r>
        <w:rPr>
          <w:rtl w:val="0"/>
        </w:rPr>
        <w:t xml:space="preserve"> A dedicated B2B sales approach is mandatory [16]. Identify a target list of 100 firms. Use tools like LinkedIn Sales Navigator to map the DMU at each firm and execute coordinated outreach with messaging tailored to each persona (e.g., ROI for the CEO, integration for the CTO).</w:t>
      </w:r>
    </w:p>
    <w:p w14:paraId="0000002F">
      <w:pPr>
        <w:numPr>
          <w:ilvl w:val="1"/>
          <w:numId w:val="7"/>
        </w:numPr>
        <w:spacing w:before="0" w:beforeAutospacing="0" w:after="0" w:afterAutospacing="0"/>
        <w:ind w:left="1440" w:hanging="360"/>
      </w:pPr>
      <w:r>
        <w:rPr>
          <w:b/>
          <w:rtl w:val="0"/>
        </w:rPr>
        <w:t>Strategic Conference Presence:</w:t>
      </w:r>
      <w:r>
        <w:rPr>
          <w:rtl w:val="0"/>
        </w:rPr>
        <w:t xml:space="preserve"> Focus on high-value interactions at key events like the </w:t>
      </w:r>
      <w:r>
        <w:rPr>
          <w:b/>
          <w:rtl w:val="0"/>
        </w:rPr>
        <w:t>T3 Advisor Conference, Schwab IMPACT, and the MarketCounsel Summit</w:t>
      </w:r>
      <w:r>
        <w:rPr>
          <w:rtl w:val="0"/>
        </w:rPr>
        <w:t>. The goal is not lead volume, but pre-scheduled, high-level meetings with target accounts.</w:t>
      </w:r>
    </w:p>
    <w:p w14:paraId="00000030">
      <w:pPr>
        <w:numPr>
          <w:ilvl w:val="1"/>
          <w:numId w:val="7"/>
        </w:numPr>
        <w:spacing w:before="0" w:beforeAutospacing="0" w:after="240"/>
        <w:ind w:left="1440" w:hanging="360"/>
      </w:pPr>
      <w:r>
        <w:rPr>
          <w:b/>
          <w:rtl w:val="0"/>
        </w:rPr>
        <w:t>Authoritative Case Studies:</w:t>
      </w:r>
      <w:r>
        <w:rPr>
          <w:rtl w:val="0"/>
        </w:rPr>
        <w:t xml:space="preserve"> Develop detailed case studies from early wins (even with smaller firms) that feature hard metrics (e.g., "Reduced compliance reporting time by 20 hours per month"). This provides social proof and the data needed for a champion to justify the purchase internally [17].</w:t>
      </w:r>
    </w:p>
    <w:p w14:paraId="00000031">
      <w:pPr>
        <w:pStyle w:val="5"/>
        <w:keepNext w:val="0"/>
        <w:keepLines w:val="0"/>
        <w:spacing w:before="240" w:after="40"/>
        <w:rPr>
          <w:b/>
          <w:color w:val="000000"/>
          <w:sz w:val="22"/>
          <w:szCs w:val="22"/>
        </w:rPr>
      </w:pPr>
      <w:bookmarkStart w:id="8" w:name="_xnhv8psrph8r" w:colFirst="0" w:colLast="0"/>
      <w:bookmarkEnd w:id="8"/>
      <w:r>
        <w:rPr>
          <w:b/>
          <w:color w:val="000000"/>
          <w:sz w:val="22"/>
          <w:szCs w:val="22"/>
          <w:rtl w:val="0"/>
        </w:rPr>
        <w:t>4.2 Pricing &amp; Packaging Strategy</w:t>
      </w:r>
    </w:p>
    <w:p w14:paraId="00000032">
      <w:pPr>
        <w:numPr>
          <w:ilvl w:val="0"/>
          <w:numId w:val="8"/>
        </w:numPr>
        <w:spacing w:before="240" w:after="0" w:afterAutospacing="0"/>
        <w:ind w:left="720" w:hanging="360"/>
      </w:pPr>
      <w:r>
        <w:rPr>
          <w:b/>
          <w:rtl w:val="0"/>
        </w:rPr>
        <w:t>For Segment Alpha:</w:t>
      </w:r>
      <w:r>
        <w:rPr>
          <w:rtl w:val="0"/>
        </w:rPr>
        <w:t xml:space="preserve"> A transparent, </w:t>
      </w:r>
      <w:r>
        <w:rPr>
          <w:b/>
          <w:rtl w:val="0"/>
        </w:rPr>
        <w:t>3-tiered subscription model</w:t>
      </w:r>
      <w:r>
        <w:rPr>
          <w:rtl w:val="0"/>
        </w:rPr>
        <w:t xml:space="preserve"> (e.g., Starter, Professional, Growth) priced </w:t>
      </w:r>
      <w:r>
        <w:rPr>
          <w:b/>
          <w:rtl w:val="0"/>
        </w:rPr>
        <w:t>per advisor, per month</w:t>
      </w:r>
      <w:r>
        <w:rPr>
          <w:rtl w:val="0"/>
        </w:rPr>
        <w:t>. This is the standard SaaS model they understand and can budget for [18]. A free trial is non-negotiable to drive adoption.</w:t>
      </w:r>
    </w:p>
    <w:p w14:paraId="00000033">
      <w:pPr>
        <w:numPr>
          <w:ilvl w:val="0"/>
          <w:numId w:val="8"/>
        </w:numPr>
        <w:spacing w:before="0" w:beforeAutospacing="0" w:after="240"/>
        <w:ind w:left="720" w:hanging="360"/>
      </w:pPr>
      <w:r>
        <w:rPr>
          <w:b/>
          <w:rtl w:val="0"/>
        </w:rPr>
        <w:t>For Segment Bravo:</w:t>
      </w:r>
      <w:r>
        <w:rPr>
          <w:rtl w:val="0"/>
        </w:rPr>
        <w:t xml:space="preserve"> Offer the same core model but lead with an </w:t>
      </w:r>
      <w:r>
        <w:rPr>
          <w:b/>
          <w:rtl w:val="0"/>
        </w:rPr>
        <w:t>Enterprise package</w:t>
      </w:r>
      <w:r>
        <w:rPr>
          <w:rtl w:val="0"/>
        </w:rPr>
        <w:t xml:space="preserve"> that includes volume discounts, premium support, implementation services, and API access. Be prepared to negotiate custom terms. Consider offering an optional pricing model based on </w:t>
      </w:r>
      <w:r>
        <w:rPr>
          <w:b/>
          <w:rtl w:val="0"/>
        </w:rPr>
        <w:t>Assets Under Management (AUM)</w:t>
      </w:r>
      <w:r>
        <w:rPr>
          <w:rtl w:val="0"/>
        </w:rPr>
        <w:t>, which aligns your platform's cost with their revenue growth [19].</w:t>
      </w:r>
    </w:p>
    <w:p w14:paraId="00000034">
      <w:pPr>
        <w:pStyle w:val="4"/>
        <w:keepNext w:val="0"/>
        <w:keepLines w:val="0"/>
        <w:spacing w:before="280"/>
        <w:rPr>
          <w:b/>
          <w:color w:val="000000"/>
          <w:sz w:val="26"/>
          <w:szCs w:val="26"/>
        </w:rPr>
      </w:pPr>
      <w:bookmarkStart w:id="9" w:name="_e3kjo6tcf7zy" w:colFirst="0" w:colLast="0"/>
      <w:bookmarkEnd w:id="9"/>
      <w:r>
        <w:rPr>
          <w:b/>
          <w:color w:val="000000"/>
          <w:sz w:val="26"/>
          <w:szCs w:val="26"/>
          <w:rtl w:val="0"/>
        </w:rPr>
        <w:t>5.0 Conclusion</w:t>
      </w:r>
    </w:p>
    <w:p w14:paraId="00000035">
      <w:pPr>
        <w:spacing w:before="240" w:after="240"/>
      </w:pPr>
      <w:r>
        <w:rPr>
          <w:rtl w:val="0"/>
        </w:rPr>
        <w:t>The opportunity for multiply.ai is significant, but it hinges on executing a precise, segment-aware strategy. The market is not waiting for another generic tool; it is waiting for a solution that deeply understands and solves the specific operational bottlenecks that inhibit growth and profitability. By focusing GTM efforts on the acute pains of the 'Scaling-Constrained' and 'Efficiency-Seeking' segments and tailoring the sales process accordingly, multiply.ai can establish a strong market foothold and build a foundation for long-term, sustainable growth.</w:t>
      </w:r>
    </w:p>
    <w:p w14:paraId="00000036">
      <w:pPr>
        <w:pStyle w:val="4"/>
        <w:keepNext w:val="0"/>
        <w:keepLines w:val="0"/>
        <w:spacing w:before="280"/>
        <w:rPr>
          <w:b/>
          <w:color w:val="000000"/>
          <w:sz w:val="26"/>
          <w:szCs w:val="26"/>
        </w:rPr>
      </w:pPr>
      <w:bookmarkStart w:id="10" w:name="_xpsz3cuk13cv" w:colFirst="0" w:colLast="0"/>
      <w:bookmarkEnd w:id="10"/>
      <w:r>
        <w:rPr>
          <w:b/>
          <w:color w:val="000000"/>
          <w:sz w:val="26"/>
          <w:szCs w:val="26"/>
          <w:rtl w:val="0"/>
        </w:rPr>
        <w:t>6.0 References</w:t>
      </w:r>
    </w:p>
    <w:p w14:paraId="00000037">
      <w:pPr>
        <w:spacing w:before="240" w:after="240"/>
      </w:pPr>
      <w:r>
        <w:rPr>
          <w:rtl w:val="0"/>
        </w:rPr>
        <w:t xml:space="preserve">[1] Kitces Research (2022-2024). </w:t>
      </w:r>
      <w:r>
        <w:rPr>
          <w:i/>
          <w:rtl w:val="0"/>
        </w:rPr>
        <w:t>How Financial Advisors Actually Spend Their Time.</w:t>
      </w:r>
      <w:r>
        <w:rPr>
          <w:rtl w:val="0"/>
        </w:rPr>
        <w:t xml:space="preserve"> [</w:t>
      </w:r>
      <w:r>
        <w:fldChar w:fldCharType="begin"/>
      </w:r>
      <w:r>
        <w:instrText xml:space="preserve"> HYPERLINK "https://www.google.com/search?q=https://kitces.com/research-hub-advisor-time-study/" \h </w:instrText>
      </w:r>
      <w:r>
        <w:fldChar w:fldCharType="separate"/>
      </w:r>
      <w:r>
        <w:rPr>
          <w:color w:val="1155CC"/>
          <w:u w:val="single"/>
          <w:rtl w:val="0"/>
        </w:rPr>
        <w:t>kitces.com/research-hub-advisor-time-study/</w:t>
      </w:r>
      <w:r>
        <w:rPr>
          <w:color w:val="1155CC"/>
          <w:u w:val="single"/>
          <w:rtl w:val="0"/>
        </w:rPr>
        <w:fldChar w:fldCharType="end"/>
      </w:r>
      <w:r>
        <w:rPr>
          <w:rtl w:val="0"/>
        </w:rPr>
        <w:t xml:space="preserve">] [2] Schwab Advisor Services (2024). </w:t>
      </w:r>
      <w:r>
        <w:rPr>
          <w:i/>
          <w:rtl w:val="0"/>
        </w:rPr>
        <w:t>2024 RIA Benchmarking Study.</w:t>
      </w:r>
      <w:r>
        <w:rPr>
          <w:rtl w:val="0"/>
        </w:rPr>
        <w:t xml:space="preserve"> [</w:t>
      </w:r>
      <w:r>
        <w:fldChar w:fldCharType="begin"/>
      </w:r>
      <w:r>
        <w:instrText xml:space="preserve"> HYPERLINK "https://www.google.com/search?q=https://advisorservices.schwab.com/ria-benchmarking" \h </w:instrText>
      </w:r>
      <w:r>
        <w:fldChar w:fldCharType="separate"/>
      </w:r>
      <w:r>
        <w:rPr>
          <w:color w:val="1155CC"/>
          <w:u w:val="single"/>
          <w:rtl w:val="0"/>
        </w:rPr>
        <w:t>advisorservices.schwab.com/ria-benchmarking</w:t>
      </w:r>
      <w:r>
        <w:rPr>
          <w:color w:val="1155CC"/>
          <w:u w:val="single"/>
          <w:rtl w:val="0"/>
        </w:rPr>
        <w:fldChar w:fldCharType="end"/>
      </w:r>
      <w:r>
        <w:rPr>
          <w:rtl w:val="0"/>
        </w:rPr>
        <w:t xml:space="preserve">] [3] Gartner Group (2024). </w:t>
      </w:r>
      <w:r>
        <w:rPr>
          <w:i/>
          <w:rtl w:val="0"/>
        </w:rPr>
        <w:t>New B2B Buying Journey &amp; Its Implication for Sales.</w:t>
      </w:r>
      <w:r>
        <w:rPr>
          <w:rtl w:val="0"/>
        </w:rPr>
        <w:t xml:space="preserve"> [</w:t>
      </w:r>
      <w:r>
        <w:fldChar w:fldCharType="begin"/>
      </w:r>
      <w:r>
        <w:instrText xml:space="preserve"> HYPERLINK "https://www.google.com/search?q=https://gartner.com/en/sales/insights/b2b-buying-journey" \h </w:instrText>
      </w:r>
      <w:r>
        <w:fldChar w:fldCharType="separate"/>
      </w:r>
      <w:r>
        <w:rPr>
          <w:color w:val="1155CC"/>
          <w:u w:val="single"/>
          <w:rtl w:val="0"/>
        </w:rPr>
        <w:t>gartner.com/en/sales/insights/b2b-buying-journey</w:t>
      </w:r>
      <w:r>
        <w:rPr>
          <w:color w:val="1155CC"/>
          <w:u w:val="single"/>
          <w:rtl w:val="0"/>
        </w:rPr>
        <w:fldChar w:fldCharType="end"/>
      </w:r>
      <w:r>
        <w:rPr>
          <w:rtl w:val="0"/>
        </w:rPr>
        <w:t xml:space="preserve">] [4] FINRA (2025). </w:t>
      </w:r>
      <w:r>
        <w:rPr>
          <w:i/>
          <w:rtl w:val="0"/>
        </w:rPr>
        <w:t>Industry Snapshot &amp; Priorities Report.</w:t>
      </w:r>
      <w:r>
        <w:rPr>
          <w:rtl w:val="0"/>
        </w:rPr>
        <w:t xml:space="preserve"> [finra.org/rules-guidance/key-topics/risk-monitoring] [5] T3 / Inside Information (2024). </w:t>
      </w:r>
      <w:r>
        <w:rPr>
          <w:i/>
          <w:rtl w:val="0"/>
        </w:rPr>
        <w:t>Advisor Software Survey.</w:t>
      </w:r>
      <w:r>
        <w:rPr>
          <w:rtl w:val="0"/>
        </w:rPr>
        <w:t xml:space="preserve"> [</w:t>
      </w:r>
      <w:r>
        <w:fldChar w:fldCharType="begin"/>
      </w:r>
      <w:r>
        <w:instrText xml:space="preserve"> HYPERLINK "https://www.google.com/search?q=https://www.t3conferences.com/resources.html" \h </w:instrText>
      </w:r>
      <w:r>
        <w:fldChar w:fldCharType="separate"/>
      </w:r>
      <w:r>
        <w:rPr>
          <w:color w:val="1155CC"/>
          <w:u w:val="single"/>
          <w:rtl w:val="0"/>
        </w:rPr>
        <w:t>www.t3conferences.com/resources.html</w:t>
      </w:r>
      <w:r>
        <w:rPr>
          <w:color w:val="1155CC"/>
          <w:u w:val="single"/>
          <w:rtl w:val="0"/>
        </w:rPr>
        <w:fldChar w:fldCharType="end"/>
      </w:r>
      <w:r>
        <w:rPr>
          <w:rtl w:val="0"/>
        </w:rPr>
        <w:t xml:space="preserve">] [6] Investment Adviser Association (IAA) &amp; National Regulatory Services (NRS) (2024). </w:t>
      </w:r>
      <w:r>
        <w:rPr>
          <w:i/>
          <w:rtl w:val="0"/>
        </w:rPr>
        <w:t>Investment Adviser Industry Snapshot.</w:t>
      </w:r>
      <w:r>
        <w:rPr>
          <w:rtl w:val="0"/>
        </w:rPr>
        <w:t xml:space="preserve"> [investmentadviser.org/resources/industry-snapshot/] [7] Financial Planning Association (FPA). </w:t>
      </w:r>
      <w:r>
        <w:rPr>
          <w:i/>
          <w:rtl w:val="0"/>
        </w:rPr>
        <w:t>Practice Management Research &amp; Surveys.</w:t>
      </w:r>
      <w:r>
        <w:rPr>
          <w:rtl w:val="0"/>
        </w:rPr>
        <w:t xml:space="preserve"> [financialplanningassociation.org/learn/research] [8] Cerulli Associates (2024). </w:t>
      </w:r>
      <w:r>
        <w:rPr>
          <w:i/>
          <w:rtl w:val="0"/>
        </w:rPr>
        <w:t>U.S. Advisor Metrics Report.</w:t>
      </w:r>
      <w:r>
        <w:rPr>
          <w:rtl w:val="0"/>
        </w:rPr>
        <w:t xml:space="preserve"> [cerulli.com] [9] Deloitte (2025). </w:t>
      </w:r>
      <w:r>
        <w:rPr>
          <w:i/>
          <w:rtl w:val="0"/>
        </w:rPr>
        <w:t>Investment Management Industry Outlook.</w:t>
      </w:r>
      <w:r>
        <w:rPr>
          <w:rtl w:val="0"/>
        </w:rPr>
        <w:t xml:space="preserve"> [</w:t>
      </w:r>
      <w:r>
        <w:fldChar w:fldCharType="begin"/>
      </w:r>
      <w:r>
        <w:instrText xml:space="preserve"> HYPERLINK "https://www.google.com/search?q=https://deloitte.com/us/en/pages/financial-services/articles/investment-management-industry-outlook.html" \h </w:instrText>
      </w:r>
      <w:r>
        <w:fldChar w:fldCharType="separate"/>
      </w:r>
      <w:r>
        <w:rPr>
          <w:color w:val="1155CC"/>
          <w:u w:val="single"/>
          <w:rtl w:val="0"/>
        </w:rPr>
        <w:t>deloitte.com/us/en/pages/financial-services/articles/investment-management-industry-outlook.html</w:t>
      </w:r>
      <w:r>
        <w:rPr>
          <w:color w:val="1155CC"/>
          <w:u w:val="single"/>
          <w:rtl w:val="0"/>
        </w:rPr>
        <w:fldChar w:fldCharType="end"/>
      </w:r>
      <w:r>
        <w:rPr>
          <w:rtl w:val="0"/>
        </w:rPr>
        <w:t xml:space="preserve">] [10] Ezra Group / WealthTech Today (2024). </w:t>
      </w:r>
      <w:r>
        <w:rPr>
          <w:i/>
          <w:rtl w:val="0"/>
        </w:rPr>
        <w:t>WealthTech Integration Study.</w:t>
      </w:r>
      <w:r>
        <w:rPr>
          <w:rtl w:val="0"/>
        </w:rPr>
        <w:t xml:space="preserve"> [</w:t>
      </w:r>
      <w:r>
        <w:fldChar w:fldCharType="begin"/>
      </w:r>
      <w:r>
        <w:instrText xml:space="preserve"> HYPERLINK "https://www.google.com/search?q=https://ezragroupllc.com/category/research/" \h </w:instrText>
      </w:r>
      <w:r>
        <w:fldChar w:fldCharType="separate"/>
      </w:r>
      <w:r>
        <w:rPr>
          <w:color w:val="1155CC"/>
          <w:u w:val="single"/>
          <w:rtl w:val="0"/>
        </w:rPr>
        <w:t>ezragroupllc.com/category/research/</w:t>
      </w:r>
      <w:r>
        <w:rPr>
          <w:color w:val="1155CC"/>
          <w:u w:val="single"/>
          <w:rtl w:val="0"/>
        </w:rPr>
        <w:fldChar w:fldCharType="end"/>
      </w:r>
      <w:r>
        <w:rPr>
          <w:rtl w:val="0"/>
        </w:rPr>
        <w:t xml:space="preserve">] [11] WealthManagement.com (2024). </w:t>
      </w:r>
      <w:r>
        <w:rPr>
          <w:i/>
          <w:rtl w:val="0"/>
        </w:rPr>
        <w:t>RIA Tech Stack Survey.</w:t>
      </w:r>
      <w:r>
        <w:rPr>
          <w:rtl w:val="0"/>
        </w:rPr>
        <w:t xml:space="preserve"> [</w:t>
      </w:r>
      <w:r>
        <w:fldChar w:fldCharType="begin"/>
      </w:r>
      <w:r>
        <w:instrText xml:space="preserve"> HYPERLINK "https://www.google.com/search?q=https://wealthmanagement.com/technology" \h </w:instrText>
      </w:r>
      <w:r>
        <w:fldChar w:fldCharType="separate"/>
      </w:r>
      <w:r>
        <w:rPr>
          <w:color w:val="1155CC"/>
          <w:u w:val="single"/>
          <w:rtl w:val="0"/>
        </w:rPr>
        <w:t>wealthmanagement.com/technology</w:t>
      </w:r>
      <w:r>
        <w:rPr>
          <w:color w:val="1155CC"/>
          <w:u w:val="single"/>
          <w:rtl w:val="0"/>
        </w:rPr>
        <w:fldChar w:fldCharType="end"/>
      </w:r>
      <w:r>
        <w:rPr>
          <w:rtl w:val="0"/>
        </w:rPr>
        <w:t xml:space="preserve">] [12] MarketCounsel (2024). </w:t>
      </w:r>
      <w:r>
        <w:rPr>
          <w:i/>
          <w:rtl w:val="0"/>
        </w:rPr>
        <w:t>Regulatory Landscape for Investment Advisers.</w:t>
      </w:r>
      <w:r>
        <w:rPr>
          <w:rtl w:val="0"/>
        </w:rPr>
        <w:t xml:space="preserve"> [</w:t>
      </w:r>
      <w:r>
        <w:fldChar w:fldCharType="begin"/>
      </w:r>
      <w:r>
        <w:instrText xml:space="preserve"> HYPERLINK "https://www.google.com/search?q=https://marketcounsel.com/insights" \h </w:instrText>
      </w:r>
      <w:r>
        <w:fldChar w:fldCharType="separate"/>
      </w:r>
      <w:r>
        <w:rPr>
          <w:color w:val="1155CC"/>
          <w:u w:val="single"/>
          <w:rtl w:val="0"/>
        </w:rPr>
        <w:t>marketcounsel.com/insights</w:t>
      </w:r>
      <w:r>
        <w:rPr>
          <w:color w:val="1155CC"/>
          <w:u w:val="single"/>
          <w:rtl w:val="0"/>
        </w:rPr>
        <w:fldChar w:fldCharType="end"/>
      </w:r>
      <w:r>
        <w:rPr>
          <w:rtl w:val="0"/>
        </w:rPr>
        <w:t xml:space="preserve">] [13] PwC (2025). </w:t>
      </w:r>
      <w:r>
        <w:rPr>
          <w:i/>
          <w:rtl w:val="0"/>
        </w:rPr>
        <w:t>Wealth Management's New Competitive Landscape.</w:t>
      </w:r>
      <w:r>
        <w:rPr>
          <w:rtl w:val="0"/>
        </w:rPr>
        <w:t xml:space="preserve"> [</w:t>
      </w:r>
      <w:r>
        <w:fldChar w:fldCharType="begin"/>
      </w:r>
      <w:r>
        <w:instrText xml:space="preserve"> HYPERLINK "https://www.google.com/search?q=https://pwc.com/us/en/industries/asset-wealth-management.html" \h </w:instrText>
      </w:r>
      <w:r>
        <w:fldChar w:fldCharType="separate"/>
      </w:r>
      <w:r>
        <w:rPr>
          <w:color w:val="1155CC"/>
          <w:u w:val="single"/>
          <w:rtl w:val="0"/>
        </w:rPr>
        <w:t>pwc.com/us/en/industries/asset-wealth-management.html</w:t>
      </w:r>
      <w:r>
        <w:rPr>
          <w:color w:val="1155CC"/>
          <w:u w:val="single"/>
          <w:rtl w:val="0"/>
        </w:rPr>
        <w:fldChar w:fldCharType="end"/>
      </w:r>
      <w:r>
        <w:rPr>
          <w:rtl w:val="0"/>
        </w:rPr>
        <w:t xml:space="preserve">] [14] InvestmentNews (2024). </w:t>
      </w:r>
      <w:r>
        <w:rPr>
          <w:i/>
          <w:rtl w:val="0"/>
        </w:rPr>
        <w:t>Special Report: The State of RIA Tech.</w:t>
      </w:r>
      <w:r>
        <w:rPr>
          <w:rtl w:val="0"/>
        </w:rPr>
        <w:t xml:space="preserve"> [investmentnews.com] [15] Forrester Research (2024). </w:t>
      </w:r>
      <w:r>
        <w:rPr>
          <w:i/>
          <w:rtl w:val="0"/>
        </w:rPr>
        <w:t>The Future Of B2B Sales.</w:t>
      </w:r>
      <w:r>
        <w:rPr>
          <w:rtl w:val="0"/>
        </w:rPr>
        <w:t xml:space="preserve"> [</w:t>
      </w:r>
      <w:r>
        <w:fldChar w:fldCharType="begin"/>
      </w:r>
      <w:r>
        <w:instrText xml:space="preserve"> HYPERLINK "https://www.google.com/search?q=https://forrester.com/research/b2b-marketing-sales" \h </w:instrText>
      </w:r>
      <w:r>
        <w:fldChar w:fldCharType="separate"/>
      </w:r>
      <w:r>
        <w:rPr>
          <w:color w:val="1155CC"/>
          <w:u w:val="single"/>
          <w:rtl w:val="0"/>
        </w:rPr>
        <w:t>forrester.com/research/b2b-marketing-sales</w:t>
      </w:r>
      <w:r>
        <w:rPr>
          <w:color w:val="1155CC"/>
          <w:u w:val="single"/>
          <w:rtl w:val="0"/>
        </w:rPr>
        <w:fldChar w:fldCharType="end"/>
      </w:r>
      <w:r>
        <w:rPr>
          <w:rtl w:val="0"/>
        </w:rPr>
        <w:t xml:space="preserve">] [16] Terminus (2024). </w:t>
      </w:r>
      <w:r>
        <w:rPr>
          <w:i/>
          <w:rtl w:val="0"/>
        </w:rPr>
        <w:t>The State of Modern B2B Marketing.</w:t>
      </w:r>
      <w:r>
        <w:rPr>
          <w:rtl w:val="0"/>
        </w:rPr>
        <w:t xml:space="preserve"> [</w:t>
      </w:r>
      <w:r>
        <w:fldChar w:fldCharType="begin"/>
      </w:r>
      <w:r>
        <w:instrText xml:space="preserve"> HYPERLINK "https://www.google.com/search?q=https://terminus.com/learn/reports/" \h </w:instrText>
      </w:r>
      <w:r>
        <w:fldChar w:fldCharType="separate"/>
      </w:r>
      <w:r>
        <w:rPr>
          <w:color w:val="1155CC"/>
          <w:u w:val="single"/>
          <w:rtl w:val="0"/>
        </w:rPr>
        <w:t>terminus.com/learn/reports/</w:t>
      </w:r>
      <w:r>
        <w:rPr>
          <w:color w:val="1155CC"/>
          <w:u w:val="single"/>
          <w:rtl w:val="0"/>
        </w:rPr>
        <w:fldChar w:fldCharType="end"/>
      </w:r>
      <w:r>
        <w:rPr>
          <w:rtl w:val="0"/>
        </w:rPr>
        <w:t xml:space="preserve">] [17] HubSpot (2024). </w:t>
      </w:r>
      <w:r>
        <w:rPr>
          <w:i/>
          <w:rtl w:val="0"/>
        </w:rPr>
        <w:t>B2B Marketing Statistics and Trends.</w:t>
      </w:r>
      <w:r>
        <w:rPr>
          <w:rtl w:val="0"/>
        </w:rPr>
        <w:t xml:space="preserve"> [</w:t>
      </w:r>
      <w:r>
        <w:fldChar w:fldCharType="begin"/>
      </w:r>
      <w:r>
        <w:instrText xml:space="preserve"> HYPERLINK "https://www.google.com/search?q=https://hubspot.com/marketing-statistics" \h </w:instrText>
      </w:r>
      <w:r>
        <w:fldChar w:fldCharType="separate"/>
      </w:r>
      <w:r>
        <w:rPr>
          <w:color w:val="1155CC"/>
          <w:u w:val="single"/>
          <w:rtl w:val="0"/>
        </w:rPr>
        <w:t>hubspot.com/marketing-statistics</w:t>
      </w:r>
      <w:r>
        <w:rPr>
          <w:color w:val="1155CC"/>
          <w:u w:val="single"/>
          <w:rtl w:val="0"/>
        </w:rPr>
        <w:fldChar w:fldCharType="end"/>
      </w:r>
      <w:r>
        <w:rPr>
          <w:rtl w:val="0"/>
        </w:rPr>
        <w:t xml:space="preserve">] [18] OpenView Partners. </w:t>
      </w:r>
      <w:r>
        <w:rPr>
          <w:i/>
          <w:rtl w:val="0"/>
        </w:rPr>
        <w:t>Annual SaaS Benchmarks Report.</w:t>
      </w:r>
      <w:r>
        <w:rPr>
          <w:rtl w:val="0"/>
        </w:rPr>
        <w:t xml:space="preserve"> [</w:t>
      </w:r>
      <w:r>
        <w:fldChar w:fldCharType="begin"/>
      </w:r>
      <w:r>
        <w:instrText xml:space="preserve"> HYPERLINK "https://www.google.com/search?q=https://openviewpartners.com/saas-benchmarks-report/" \h </w:instrText>
      </w:r>
      <w:r>
        <w:fldChar w:fldCharType="separate"/>
      </w:r>
      <w:r>
        <w:rPr>
          <w:color w:val="1155CC"/>
          <w:u w:val="single"/>
          <w:rtl w:val="0"/>
        </w:rPr>
        <w:t>openviewpartners.com/saas-benchmarks-report/</w:t>
      </w:r>
      <w:r>
        <w:rPr>
          <w:color w:val="1155CC"/>
          <w:u w:val="single"/>
          <w:rtl w:val="0"/>
        </w:rPr>
        <w:fldChar w:fldCharType="end"/>
      </w:r>
      <w:r>
        <w:rPr>
          <w:rtl w:val="0"/>
        </w:rPr>
        <w:t xml:space="preserve">] [19] Capgemini Research Institute (2025). </w:t>
      </w:r>
      <w:r>
        <w:rPr>
          <w:i/>
          <w:rtl w:val="0"/>
        </w:rPr>
        <w:t>World Wealth Report.</w:t>
      </w:r>
      <w:r>
        <w:rPr>
          <w:rtl w:val="0"/>
        </w:rPr>
        <w:t xml:space="preserve"> [worldwealthreport.com] [20] Fidelity Institutional (2024). </w:t>
      </w:r>
      <w:r>
        <w:rPr>
          <w:i/>
          <w:rtl w:val="0"/>
        </w:rPr>
        <w:t>Fidelity Advisor Success Study.</w:t>
      </w:r>
      <w:r>
        <w:rPr>
          <w:rtl w:val="0"/>
        </w:rPr>
        <w:t xml:space="preserve"> [</w:t>
      </w:r>
      <w:r>
        <w:fldChar w:fldCharType="begin"/>
      </w:r>
      <w:r>
        <w:instrText xml:space="preserve"> HYPERLINK "https://www.google.com/search?q=https://i.fidelity.com/advisor" \h </w:instrText>
      </w:r>
      <w:r>
        <w:fldChar w:fldCharType="separate"/>
      </w:r>
      <w:r>
        <w:rPr>
          <w:color w:val="1155CC"/>
          <w:u w:val="single"/>
          <w:rtl w:val="0"/>
        </w:rPr>
        <w:t>i.fidelity.com/advisor</w:t>
      </w:r>
      <w:r>
        <w:rPr>
          <w:color w:val="1155CC"/>
          <w:u w:val="single"/>
          <w:rtl w:val="0"/>
        </w:rPr>
        <w:fldChar w:fldCharType="end"/>
      </w:r>
      <w:r>
        <w:rPr>
          <w:rtl w:val="0"/>
        </w:rPr>
        <w:t>]</w:t>
      </w:r>
    </w:p>
    <w:p w14:paraId="00000038"/>
    <w:p w14:paraId="451F63F0"/>
    <w:p w14:paraId="0604C86F">
      <w:pPr>
        <w:rPr>
          <w:rFonts w:hint="default"/>
          <w:lang w:val="en-US"/>
        </w:rPr>
      </w:pPr>
      <w:r>
        <w:rPr>
          <w:rFonts w:hint="default"/>
          <w:lang w:val="en-US"/>
        </w:rPr>
        <w:t xml:space="preserve">Created by </w:t>
      </w:r>
      <w:r>
        <w:rPr>
          <w:rFonts w:hint="default"/>
          <w:b/>
          <w:bCs/>
          <w:lang w:val="en-US"/>
        </w:rPr>
        <w:t>wavess.io</w:t>
      </w:r>
      <w:bookmarkStart w:id="11" w:name="_GoBack"/>
      <w:bookmarkEnd w:id="11"/>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0F513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Normal"/>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26</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2025-08-08T12:08:30Z</dcterms:created>
  <dc:creator>Lenovo</dc:creator>
  <cp:lastModifiedBy>Atharva Badhe</cp:lastModifiedBy>
  <dcterms:modified xsi:type="dcterms:W3CDTF">2025-08-08T12:35:12Z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A02A5A47648B4D038E9F799892A95DAE_12</vt:lpwstr>
  </property>
</Properties>
</file>