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top w:val="single" w:color="5B21B6" w:sz="36" w:space="0"/>
        </w:pBdr>
        <w:spacing w:before="0" w:after="960"/>
      </w:pPr>
      <w:r>
        <w:rPr>
          <w:rFonts w:ascii="Calibri" w:cs="Calibri" w:eastAsia="Calibri" w:hAnsi="Calibri"/>
        </w:rPr>
      </w:r>
    </w:p>
    <w:p>
      <w:pPr>
        <w:spacing w:before="0" w:after="80"/>
      </w:pPr>
      <w:r>
        <w:rPr>
          <w:b/>
          <w:bCs/>
          <w:color w:val="4C1D95"/>
          <w:sz w:val="56"/>
          <w:szCs w:val="56"/>
          <w:rFonts w:ascii="Calibri" w:cs="Calibri" w:eastAsia="Calibri" w:hAnsi="Calibri"/>
        </w:rPr>
        <w:t xml:space="preserve">TEST PROJECT 2</w:t>
      </w:r>
    </w:p>
    <w:p>
      <w:pPr>
        <w:spacing w:before="0" w:after="0"/>
      </w:pPr>
      <w:r>
        <w:rPr>
          <w:b/>
          <w:bCs/>
          <w:color w:val="7C3AED"/>
          <w:sz w:val="22"/>
          <w:szCs w:val="22"/>
          <w:rFonts w:ascii="Calibri" w:cs="Calibri" w:eastAsia="Calibri" w:hAnsi="Calibri"/>
        </w:rPr>
        <w:t xml:space="preserve">BUSINESS REQUIREMENTS DOCUMENT</w:t>
      </w:r>
    </w:p>
    <w:p>
      <w:pPr>
        <w:pBdr>
          <w:bottom w:val="single" w:color="5B21B6" w:sz="10" w:space="1"/>
        </w:pBdr>
        <w:spacing w:before="240" w:after="240"/>
      </w:pPr>
      <w:r>
        <w:rPr>
          <w:rFonts w:ascii="Calibri" w:cs="Calibri" w:eastAsia="Calibri" w:hAnsi="Calibri"/>
        </w:rPr>
      </w:r>
    </w:p>
    <w:p>
      <w:pPr>
        <w:spacing w:before="0" w:after="560"/>
      </w:pPr>
      <w:r>
        <w:rPr>
          <w:i/>
          <w:iCs/>
          <w:color w:val="A78BFA"/>
          <w:sz w:val="22"/>
          <w:szCs w:val="22"/>
          <w:rFonts w:ascii="Calibri" w:cs="Calibri" w:eastAsia="Calibri" w:hAnsi="Calibri"/>
        </w:rPr>
        <w:t xml:space="preserve">This is a new description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7"/>
        <w:gridCol w:w="9313"/>
      </w:tblGrid>
      <w:tr>
        <w:tc>
          <w:tcPr>
            <w:tcW w:type="dxa" w:w="47"/>
            <w:tcBorders>
              <w:top w:val="none" w:color="FFFFFF" w:sz="0"/>
              <w:left w:val="none" w:color="FFFFFF" w:sz="0"/>
              <w:bottom w:val="none" w:color="FFFFFF" w:sz="0"/>
              <w:right w:val="none" w:color="FFFFFF" w:sz="0"/>
            </w:tcBorders>
            <w:shd w:fill="5B21B6" w:val="clear"/>
            <w:tcMar>
              <w:top w:type="dxa" w:w="0"/>
              <w:left w:type="dxa" w:w="0"/>
              <w:bottom w:type="dxa" w:w="0"/>
              <w:right w:type="dxa" w:w="0"/>
            </w:tcMar>
          </w:tcPr>
          <w:p>
            <w:r>
              <w:t xml:space="preserve"/>
            </w:r>
          </w:p>
        </w:tc>
        <w:tc>
          <w:tcPr>
            <w:tcW w:type="dxa" w:w="9313"/>
            <w:tcBorders>
              <w:top w:val="none" w:color="FFFFFF" w:sz="0"/>
              <w:left w:val="none" w:color="FFFFFF" w:sz="0"/>
              <w:bottom w:val="none" w:color="FFFFFF" w:sz="0"/>
              <w:right w:val="none" w:color="FFFFFF" w:sz="0"/>
            </w:tcBorders>
            <w:shd w:fill="F5F3FF" w:val="clear"/>
            <w:tcMar>
              <w:top w:type="dxa" w:w="0"/>
              <w:left w:type="dxa" w:w="0"/>
              <w:bottom w:type="dxa" w:w="0"/>
              <w:right w:type="dxa" w:w="0"/>
            </w:tcMar>
          </w:tcPr>
          <w:tbl>
            <w:tblPr>
              <w:tblW w:type="dxa" w:w="9313"/>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c>
                <w:tcPr>
                  <w:tcW w:type="dxa" w:w="2059"/>
                  <w:tcBorders>
                    <w:top w:val="none" w:color="FFFFFF" w:sz="0"/>
                    <w:left w:val="none" w:color="FFFFFF" w:sz="0"/>
                    <w:bottom w:val="single" w:color="DDD6FE" w:sz="2" w:space="0"/>
                    <w:right w:val="none" w:color="FFFFFF" w:sz="0"/>
                  </w:tcBorders>
                  <w:shd w:fill="F5F3FF" w:val="clear"/>
                  <w:tcMar>
                    <w:top w:type="dxa" w:w="70"/>
                    <w:left w:type="dxa" w:w="200"/>
                    <w:bottom w:type="dxa" w:w="70"/>
                    <w:right w:type="dxa" w:w="100"/>
                  </w:tcMar>
                </w:tcPr>
                <w:p>
                  <w:pPr>
                    <w:spacing w:before="0" w:after="0"/>
                  </w:pPr>
                  <w:r>
                    <w:rPr>
                      <w:b/>
                      <w:bCs/>
                      <w:color w:val="A78BFA"/>
                      <w:sz w:val="15"/>
                      <w:szCs w:val="15"/>
                      <w:rFonts w:ascii="Calibri" w:cs="Calibri" w:eastAsia="Calibri" w:hAnsi="Calibri"/>
                    </w:rPr>
                    <w:t xml:space="preserve">CLIENT</w:t>
                  </w:r>
                </w:p>
              </w:tc>
              <w:tc>
                <w:tcPr>
                  <w:tcW w:type="dxa" w:w="7301"/>
                  <w:tcBorders>
                    <w:top w:val="none" w:color="FFFFFF" w:sz="0"/>
                    <w:left w:val="none" w:color="FFFFFF" w:sz="0"/>
                    <w:bottom w:val="single" w:color="DDD6FE" w:sz="2" w:space="0"/>
                    <w:right w:val="none" w:color="FFFFFF" w:sz="0"/>
                  </w:tcBorders>
                  <w:shd w:fill="F5F3FF" w:val="clear"/>
                  <w:tcMar>
                    <w:top w:type="dxa" w:w="70"/>
                    <w:left w:type="dxa" w:w="100"/>
                    <w:bottom w:type="dxa" w:w="70"/>
                    <w:right w:type="dxa" w:w="100"/>
                  </w:tcMar>
                </w:tcPr>
                <w:p>
                  <w:pPr>
                    <w:spacing w:before="0" w:after="0"/>
                  </w:pPr>
                  <w:r>
                    <w:rPr>
                      <w:color w:val="4C1D95"/>
                      <w:sz w:val="21"/>
                      <w:szCs w:val="21"/>
                      <w:rFonts w:ascii="Calibri" w:cs="Calibri" w:eastAsia="Calibri" w:hAnsi="Calibri"/>
                    </w:rPr>
                    <w:t xml:space="preserve">Client 1</w:t>
                  </w:r>
                </w:p>
              </w:tc>
            </w:tr>
            <w:tr>
              <w:tc>
                <w:tcPr>
                  <w:tcW w:type="dxa" w:w="2059"/>
                  <w:tcBorders>
                    <w:top w:val="none" w:color="FFFFFF" w:sz="0"/>
                    <w:left w:val="none" w:color="FFFFFF" w:sz="0"/>
                    <w:bottom w:val="single" w:color="DDD6FE" w:sz="2" w:space="0"/>
                    <w:right w:val="none" w:color="FFFFFF" w:sz="0"/>
                  </w:tcBorders>
                  <w:shd w:fill="F5F3FF" w:val="clear"/>
                  <w:tcMar>
                    <w:top w:type="dxa" w:w="70"/>
                    <w:left w:type="dxa" w:w="200"/>
                    <w:bottom w:type="dxa" w:w="70"/>
                    <w:right w:type="dxa" w:w="100"/>
                  </w:tcMar>
                </w:tcPr>
                <w:p>
                  <w:pPr>
                    <w:spacing w:before="0" w:after="0"/>
                  </w:pPr>
                  <w:r>
                    <w:rPr>
                      <w:b/>
                      <w:bCs/>
                      <w:color w:val="A78BFA"/>
                      <w:sz w:val="15"/>
                      <w:szCs w:val="15"/>
                      <w:rFonts w:ascii="Calibri" w:cs="Calibri" w:eastAsia="Calibri" w:hAnsi="Calibri"/>
                    </w:rPr>
                    <w:t xml:space="preserve">PREPARED BY</w:t>
                  </w:r>
                </w:p>
              </w:tc>
              <w:tc>
                <w:tcPr>
                  <w:tcW w:type="dxa" w:w="7301"/>
                  <w:tcBorders>
                    <w:top w:val="none" w:color="FFFFFF" w:sz="0"/>
                    <w:left w:val="none" w:color="FFFFFF" w:sz="0"/>
                    <w:bottom w:val="single" w:color="DDD6FE" w:sz="2" w:space="0"/>
                    <w:right w:val="none" w:color="FFFFFF" w:sz="0"/>
                  </w:tcBorders>
                  <w:shd w:fill="F5F3FF" w:val="clear"/>
                  <w:tcMar>
                    <w:top w:type="dxa" w:w="70"/>
                    <w:left w:type="dxa" w:w="100"/>
                    <w:bottom w:type="dxa" w:w="70"/>
                    <w:right w:type="dxa" w:w="100"/>
                  </w:tcMar>
                </w:tcPr>
                <w:p>
                  <w:pPr>
                    <w:spacing w:before="0" w:after="0"/>
                  </w:pPr>
                  <w:r>
                    <w:rPr>
                      <w:color w:val="4C1D95"/>
                      <w:sz w:val="21"/>
                      <w:szCs w:val="21"/>
                      <w:rFonts w:ascii="Calibri" w:cs="Calibri" w:eastAsia="Calibri" w:hAnsi="Calibri"/>
                    </w:rPr>
                    <w:t xml:space="preserve">Member 1, Member 2</w:t>
                  </w:r>
                </w:p>
              </w:tc>
            </w:tr>
            <w:tr>
              <w:tc>
                <w:tcPr>
                  <w:tcW w:type="dxa" w:w="2059"/>
                  <w:tcBorders>
                    <w:top w:val="none" w:color="FFFFFF" w:sz="0"/>
                    <w:left w:val="none" w:color="FFFFFF" w:sz="0"/>
                    <w:bottom w:val="single" w:color="DDD6FE" w:sz="2" w:space="0"/>
                    <w:right w:val="none" w:color="FFFFFF" w:sz="0"/>
                  </w:tcBorders>
                  <w:shd w:fill="F5F3FF" w:val="clear"/>
                  <w:tcMar>
                    <w:top w:type="dxa" w:w="70"/>
                    <w:left w:type="dxa" w:w="200"/>
                    <w:bottom w:type="dxa" w:w="70"/>
                    <w:right w:type="dxa" w:w="100"/>
                  </w:tcMar>
                </w:tcPr>
                <w:p>
                  <w:pPr>
                    <w:spacing w:before="0" w:after="0"/>
                  </w:pPr>
                  <w:r>
                    <w:rPr>
                      <w:b/>
                      <w:bCs/>
                      <w:color w:val="A78BFA"/>
                      <w:sz w:val="15"/>
                      <w:szCs w:val="15"/>
                      <w:rFonts w:ascii="Calibri" w:cs="Calibri" w:eastAsia="Calibri" w:hAnsi="Calibri"/>
                    </w:rPr>
                    <w:t xml:space="preserve">DATE</w:t>
                  </w:r>
                </w:p>
              </w:tc>
              <w:tc>
                <w:tcPr>
                  <w:tcW w:type="dxa" w:w="7301"/>
                  <w:tcBorders>
                    <w:top w:val="none" w:color="FFFFFF" w:sz="0"/>
                    <w:left w:val="none" w:color="FFFFFF" w:sz="0"/>
                    <w:bottom w:val="single" w:color="DDD6FE" w:sz="2" w:space="0"/>
                    <w:right w:val="none" w:color="FFFFFF" w:sz="0"/>
                  </w:tcBorders>
                  <w:shd w:fill="F5F3FF" w:val="clear"/>
                  <w:tcMar>
                    <w:top w:type="dxa" w:w="70"/>
                    <w:left w:type="dxa" w:w="100"/>
                    <w:bottom w:type="dxa" w:w="70"/>
                    <w:right w:type="dxa" w:w="100"/>
                  </w:tcMar>
                </w:tcPr>
                <w:p>
                  <w:pPr>
                    <w:spacing w:before="0" w:after="0"/>
                  </w:pPr>
                  <w:r>
                    <w:rPr>
                      <w:color w:val="4C1D95"/>
                      <w:sz w:val="21"/>
                      <w:szCs w:val="21"/>
                      <w:rFonts w:ascii="Calibri" w:cs="Calibri" w:eastAsia="Calibri" w:hAnsi="Calibri"/>
                    </w:rPr>
                    <w:t xml:space="preserve">29 April 2026</w:t>
                  </w:r>
                </w:p>
              </w:tc>
            </w:tr>
            <w:tr>
              <w:tc>
                <w:tcPr>
                  <w:tcW w:type="dxa" w:w="2059"/>
                  <w:tcBorders>
                    <w:top w:val="none" w:color="FFFFFF" w:sz="0"/>
                    <w:left w:val="none" w:color="FFFFFF" w:sz="0"/>
                    <w:bottom w:val="single" w:color="DDD6FE" w:sz="2" w:space="0"/>
                    <w:right w:val="none" w:color="FFFFFF" w:sz="0"/>
                  </w:tcBorders>
                  <w:shd w:fill="F5F3FF" w:val="clear"/>
                  <w:tcMar>
                    <w:top w:type="dxa" w:w="70"/>
                    <w:left w:type="dxa" w:w="200"/>
                    <w:bottom w:type="dxa" w:w="70"/>
                    <w:right w:type="dxa" w:w="100"/>
                  </w:tcMar>
                </w:tcPr>
                <w:p>
                  <w:pPr>
                    <w:spacing w:before="0" w:after="0"/>
                  </w:pPr>
                  <w:r>
                    <w:rPr>
                      <w:b/>
                      <w:bCs/>
                      <w:color w:val="A78BFA"/>
                      <w:sz w:val="15"/>
                      <w:szCs w:val="15"/>
                      <w:rFonts w:ascii="Calibri" w:cs="Calibri" w:eastAsia="Calibri" w:hAnsi="Calibri"/>
                    </w:rPr>
                    <w:t xml:space="preserve">VERSION</w:t>
                  </w:r>
                </w:p>
              </w:tc>
              <w:tc>
                <w:tcPr>
                  <w:tcW w:type="dxa" w:w="7301"/>
                  <w:tcBorders>
                    <w:top w:val="none" w:color="FFFFFF" w:sz="0"/>
                    <w:left w:val="none" w:color="FFFFFF" w:sz="0"/>
                    <w:bottom w:val="single" w:color="DDD6FE" w:sz="2" w:space="0"/>
                    <w:right w:val="none" w:color="FFFFFF" w:sz="0"/>
                  </w:tcBorders>
                  <w:shd w:fill="F5F3FF" w:val="clear"/>
                  <w:tcMar>
                    <w:top w:type="dxa" w:w="70"/>
                    <w:left w:type="dxa" w:w="100"/>
                    <w:bottom w:type="dxa" w:w="70"/>
                    <w:right w:type="dxa" w:w="100"/>
                  </w:tcMar>
                </w:tcPr>
                <w:p>
                  <w:pPr>
                    <w:spacing w:before="0" w:after="0"/>
                  </w:pPr>
                  <w:r>
                    <w:rPr>
                      <w:color w:val="4C1D95"/>
                      <w:sz w:val="21"/>
                      <w:szCs w:val="21"/>
                      <w:rFonts w:ascii="Calibri" w:cs="Calibri" w:eastAsia="Calibri" w:hAnsi="Calibri"/>
                    </w:rPr>
                    <w:t xml:space="preserve">v1.0 — DRAFT</w:t>
                  </w:r>
                </w:p>
              </w:tc>
            </w:tr>
            <w:tr>
              <w:tc>
                <w:tcPr>
                  <w:tcW w:type="dxa" w:w="2059"/>
                  <w:tcBorders>
                    <w:top w:val="none" w:color="FFFFFF" w:sz="0"/>
                    <w:left w:val="none" w:color="FFFFFF" w:sz="0"/>
                    <w:bottom w:val="none" w:color="FFFFFF" w:sz="0"/>
                    <w:right w:val="none" w:color="FFFFFF" w:sz="0"/>
                  </w:tcBorders>
                  <w:shd w:fill="F5F3FF" w:val="clear"/>
                  <w:tcMar>
                    <w:top w:type="dxa" w:w="70"/>
                    <w:left w:type="dxa" w:w="200"/>
                    <w:bottom w:type="dxa" w:w="70"/>
                    <w:right w:type="dxa" w:w="100"/>
                  </w:tcMar>
                </w:tcPr>
                <w:p>
                  <w:pPr>
                    <w:spacing w:before="0" w:after="0"/>
                  </w:pPr>
                  <w:r>
                    <w:rPr>
                      <w:b/>
                      <w:bCs/>
                      <w:color w:val="A78BFA"/>
                      <w:sz w:val="15"/>
                      <w:szCs w:val="15"/>
                      <w:rFonts w:ascii="Calibri" w:cs="Calibri" w:eastAsia="Calibri" w:hAnsi="Calibri"/>
                    </w:rPr>
                    <w:t xml:space="preserve">CLASSIFICATION</w:t>
                  </w:r>
                </w:p>
              </w:tc>
              <w:tc>
                <w:tcPr>
                  <w:tcW w:type="dxa" w:w="7301"/>
                  <w:tcBorders>
                    <w:top w:val="none" w:color="FFFFFF" w:sz="0"/>
                    <w:left w:val="none" w:color="FFFFFF" w:sz="0"/>
                    <w:bottom w:val="none" w:color="FFFFFF" w:sz="0"/>
                    <w:right w:val="none" w:color="FFFFFF" w:sz="0"/>
                  </w:tcBorders>
                  <w:shd w:fill="F5F3FF" w:val="clear"/>
                  <w:tcMar>
                    <w:top w:type="dxa" w:w="70"/>
                    <w:left w:type="dxa" w:w="100"/>
                    <w:bottom w:type="dxa" w:w="70"/>
                    <w:right w:type="dxa" w:w="100"/>
                  </w:tcMar>
                </w:tcPr>
                <w:p>
                  <w:pPr>
                    <w:spacing w:before="0" w:after="0"/>
                  </w:pPr>
                  <w:r>
                    <w:rPr>
                      <w:color w:val="4C1D95"/>
                      <w:sz w:val="21"/>
                      <w:szCs w:val="21"/>
                      <w:rFonts w:ascii="Calibri" w:cs="Calibri" w:eastAsia="Calibri" w:hAnsi="Calibri"/>
                    </w:rPr>
                    <w:t xml:space="preserve">Confidential</w:t>
                  </w:r>
                </w:p>
              </w:tc>
            </w:tr>
          </w:tbl>
          <w:p/>
        </w:tc>
      </w:tr>
    </w:tbl>
    <w:p>
      <w:r>
        <w:br w:type="page"/>
      </w:r>
    </w:p>
    <w:p>
      <w:pPr>
        <w:sectPr>
          <w:pgSz w:w="12240" w:h="15840" w:orient="portrait"/>
          <w:pgMar w:top="1440" w:right="1440" w:bottom="1440" w:left="1440" w:header="708" w:footer="708" w:gutter="0"/>
          <w:pgNumType/>
          <w:titlePg w:val="false"/>
          <w:docGrid w:linePitch="360"/>
        </w:sectPr>
      </w:pPr>
    </w:p>
    <w:p>
      <w:pPr>
        <w:spacing w:before="0" w:after="80"/>
      </w:pPr>
      <w:r>
        <w:rPr>
          <w:b/>
          <w:bCs/>
          <w:color w:val="4C1D95"/>
          <w:sz w:val="28"/>
          <w:szCs w:val="28"/>
          <w:rFonts w:ascii="Calibri" w:cs="Calibri" w:eastAsia="Calibri" w:hAnsi="Calibri"/>
        </w:rPr>
        <w:t xml:space="preserve">Table of Contents</w:t>
      </w:r>
    </w:p>
    <w:p>
      <w:pPr>
        <w:pBdr>
          <w:bottom w:val="single" w:color="5B21B6" w:sz="4" w:space="1"/>
        </w:pBdr>
        <w:spacing w:before="80" w:after="80"/>
      </w:pPr>
      <w:r>
        <w:rPr>
          <w:rFonts w:ascii="Calibri" w:cs="Calibri" w:eastAsia="Calibri" w:hAnsi="Calibri"/>
        </w:r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460"/>
        <w:gridCol w:w="900"/>
      </w:tblGrid>
      <w:tr>
        <w:tc>
          <w:tcPr>
            <w:tcW w:type="dxa" w:w="8460"/>
            <w:tcBorders>
              <w:top w:val="none" w:color="FFFFFF" w:sz="0"/>
              <w:left w:val="none" w:color="FFFFFF" w:sz="0"/>
              <w:bottom w:val="none" w:color="FFFFFF" w:sz="0"/>
              <w:right w:val="none" w:color="FFFFFF" w:sz="0"/>
            </w:tcBorders>
            <w:shd w:fill="EDE9FE" w:val="clear"/>
            <w:tcMar>
              <w:top w:type="dxa" w:w="60"/>
              <w:left w:type="dxa" w:w="150"/>
              <w:bottom w:type="dxa" w:w="60"/>
              <w:right w:type="dxa" w:w="60"/>
            </w:tcMar>
          </w:tcPr>
          <w:p>
            <w:pPr>
              <w:spacing w:before="0" w:after="0"/>
            </w:pPr>
            <w:r>
              <w:rPr>
                <w:b/>
                <w:bCs/>
                <w:color w:val="7C3AED"/>
                <w:sz w:val="21"/>
                <w:szCs w:val="21"/>
                <w:rFonts w:ascii="Calibri" w:cs="Calibri" w:eastAsia="Calibri" w:hAnsi="Calibri"/>
              </w:rPr>
              <w:t xml:space="preserve">1.  </w:t>
            </w:r>
            <w:r>
              <w:rPr>
                <w:color w:val="4C1D95"/>
                <w:sz w:val="21"/>
                <w:szCs w:val="21"/>
                <w:rFonts w:ascii="Calibri" w:cs="Calibri" w:eastAsia="Calibri" w:hAnsi="Calibri"/>
              </w:rPr>
              <w:t xml:space="preserve">Executive Summary</w:t>
            </w:r>
          </w:p>
        </w:tc>
        <w:tc>
          <w:tcPr>
            <w:tcW w:type="dxa" w:w="900"/>
            <w:tcBorders>
              <w:top w:val="none" w:color="FFFFFF" w:sz="0"/>
              <w:left w:val="none" w:color="FFFFFF" w:sz="0"/>
              <w:bottom w:val="none" w:color="FFFFFF" w:sz="0"/>
              <w:right w:val="none" w:color="FFFFFF" w:sz="0"/>
            </w:tcBorders>
            <w:shd w:fill="EDE9FE" w:val="clear"/>
            <w:tcMar>
              <w:top w:type="dxa" w:w="60"/>
              <w:left w:type="dxa" w:w="60"/>
              <w:bottom w:type="dxa" w:w="60"/>
              <w:right w:type="dxa" w:w="120"/>
            </w:tcMar>
          </w:tcPr>
          <w:p>
            <w:pPr>
              <w:spacing w:before="0" w:after="0"/>
              <w:jc w:val="right"/>
            </w:pPr>
            <w:r>
              <w:rPr>
                <w:color w:val="A78BFA"/>
                <w:sz w:val="21"/>
                <w:szCs w:val="21"/>
                <w:rFonts w:ascii="Calibri" w:cs="Calibri" w:eastAsia="Calibri" w:hAnsi="Calibri"/>
              </w:rPr>
              <w:t xml:space="preserve">3</w:t>
            </w:r>
          </w:p>
        </w:tc>
      </w:tr>
      <w:tr>
        <w:tc>
          <w:tcPr>
            <w:tcW w:type="dxa" w:w="8460"/>
            <w:tcBorders>
              <w:top w:val="none" w:color="FFFFFF" w:sz="0"/>
              <w:left w:val="none" w:color="FFFFFF" w:sz="0"/>
              <w:bottom w:val="none" w:color="FFFFFF" w:sz="0"/>
              <w:right w:val="none" w:color="FFFFFF" w:sz="0"/>
            </w:tcBorders>
            <w:shd w:fill="FFFFFF" w:val="clear"/>
            <w:tcMar>
              <w:top w:type="dxa" w:w="60"/>
              <w:left w:type="dxa" w:w="150"/>
              <w:bottom w:type="dxa" w:w="60"/>
              <w:right w:type="dxa" w:w="60"/>
            </w:tcMar>
          </w:tcPr>
          <w:p>
            <w:pPr>
              <w:spacing w:before="0" w:after="0"/>
            </w:pPr>
            <w:r>
              <w:rPr>
                <w:b/>
                <w:bCs/>
                <w:color w:val="7C3AED"/>
                <w:sz w:val="21"/>
                <w:szCs w:val="21"/>
                <w:rFonts w:ascii="Calibri" w:cs="Calibri" w:eastAsia="Calibri" w:hAnsi="Calibri"/>
              </w:rPr>
              <w:t xml:space="preserve">2.  </w:t>
            </w:r>
            <w:r>
              <w:rPr>
                <w:color w:val="4C1D95"/>
                <w:sz w:val="21"/>
                <w:szCs w:val="21"/>
                <w:rFonts w:ascii="Calibri" w:cs="Calibri" w:eastAsia="Calibri" w:hAnsi="Calibri"/>
              </w:rPr>
              <w:t xml:space="preserve">Business Context and Background</w:t>
            </w:r>
          </w:p>
        </w:tc>
        <w:tc>
          <w:tcPr>
            <w:tcW w:type="dxa" w:w="900"/>
            <w:tcBorders>
              <w:top w:val="none" w:color="FFFFFF" w:sz="0"/>
              <w:left w:val="none" w:color="FFFFFF" w:sz="0"/>
              <w:bottom w:val="none" w:color="FFFFFF" w:sz="0"/>
              <w:right w:val="none" w:color="FFFFFF" w:sz="0"/>
            </w:tcBorders>
            <w:shd w:fill="FFFFFF" w:val="clear"/>
            <w:tcMar>
              <w:top w:type="dxa" w:w="60"/>
              <w:left w:type="dxa" w:w="60"/>
              <w:bottom w:type="dxa" w:w="60"/>
              <w:right w:type="dxa" w:w="120"/>
            </w:tcMar>
          </w:tcPr>
          <w:p>
            <w:pPr>
              <w:spacing w:before="0" w:after="0"/>
              <w:jc w:val="right"/>
            </w:pPr>
            <w:r>
              <w:rPr>
                <w:color w:val="A78BFA"/>
                <w:sz w:val="21"/>
                <w:szCs w:val="21"/>
                <w:rFonts w:ascii="Calibri" w:cs="Calibri" w:eastAsia="Calibri" w:hAnsi="Calibri"/>
              </w:rPr>
              <w:t xml:space="preserve">5</w:t>
            </w:r>
          </w:p>
        </w:tc>
      </w:tr>
      <w:tr>
        <w:tc>
          <w:tcPr>
            <w:tcW w:type="dxa" w:w="8460"/>
            <w:tcBorders>
              <w:top w:val="none" w:color="FFFFFF" w:sz="0"/>
              <w:left w:val="none" w:color="FFFFFF" w:sz="0"/>
              <w:bottom w:val="none" w:color="FFFFFF" w:sz="0"/>
              <w:right w:val="none" w:color="FFFFFF" w:sz="0"/>
            </w:tcBorders>
            <w:shd w:fill="EDE9FE" w:val="clear"/>
            <w:tcMar>
              <w:top w:type="dxa" w:w="60"/>
              <w:left w:type="dxa" w:w="150"/>
              <w:bottom w:type="dxa" w:w="60"/>
              <w:right w:type="dxa" w:w="60"/>
            </w:tcMar>
          </w:tcPr>
          <w:p>
            <w:pPr>
              <w:spacing w:before="0" w:after="0"/>
            </w:pPr>
            <w:r>
              <w:rPr>
                <w:b/>
                <w:bCs/>
                <w:color w:val="7C3AED"/>
                <w:sz w:val="21"/>
                <w:szCs w:val="21"/>
                <w:rFonts w:ascii="Calibri" w:cs="Calibri" w:eastAsia="Calibri" w:hAnsi="Calibri"/>
              </w:rPr>
              <w:t xml:space="preserve">3.  </w:t>
            </w:r>
            <w:r>
              <w:rPr>
                <w:color w:val="4C1D95"/>
                <w:sz w:val="21"/>
                <w:szCs w:val="21"/>
                <w:rFonts w:ascii="Calibri" w:cs="Calibri" w:eastAsia="Calibri" w:hAnsi="Calibri"/>
              </w:rPr>
              <w:t xml:space="preserve">Functional Requirements</w:t>
            </w:r>
          </w:p>
        </w:tc>
        <w:tc>
          <w:tcPr>
            <w:tcW w:type="dxa" w:w="900"/>
            <w:tcBorders>
              <w:top w:val="none" w:color="FFFFFF" w:sz="0"/>
              <w:left w:val="none" w:color="FFFFFF" w:sz="0"/>
              <w:bottom w:val="none" w:color="FFFFFF" w:sz="0"/>
              <w:right w:val="none" w:color="FFFFFF" w:sz="0"/>
            </w:tcBorders>
            <w:shd w:fill="EDE9FE" w:val="clear"/>
            <w:tcMar>
              <w:top w:type="dxa" w:w="60"/>
              <w:left w:type="dxa" w:w="60"/>
              <w:bottom w:type="dxa" w:w="60"/>
              <w:right w:type="dxa" w:w="120"/>
            </w:tcMar>
          </w:tcPr>
          <w:p>
            <w:pPr>
              <w:spacing w:before="0" w:after="0"/>
              <w:jc w:val="right"/>
            </w:pPr>
            <w:r>
              <w:rPr>
                <w:color w:val="A78BFA"/>
                <w:sz w:val="21"/>
                <w:szCs w:val="21"/>
                <w:rFonts w:ascii="Calibri" w:cs="Calibri" w:eastAsia="Calibri" w:hAnsi="Calibri"/>
              </w:rPr>
              <w:t xml:space="preserve">7</w:t>
            </w:r>
          </w:p>
        </w:tc>
      </w:tr>
      <w:tr>
        <w:tc>
          <w:tcPr>
            <w:tcW w:type="dxa" w:w="8460"/>
            <w:tcBorders>
              <w:top w:val="none" w:color="FFFFFF" w:sz="0"/>
              <w:left w:val="none" w:color="FFFFFF" w:sz="0"/>
              <w:bottom w:val="none" w:color="FFFFFF" w:sz="0"/>
              <w:right w:val="none" w:color="FFFFFF" w:sz="0"/>
            </w:tcBorders>
            <w:shd w:fill="FFFFFF" w:val="clear"/>
            <w:tcMar>
              <w:top w:type="dxa" w:w="60"/>
              <w:left w:type="dxa" w:w="150"/>
              <w:bottom w:type="dxa" w:w="60"/>
              <w:right w:type="dxa" w:w="60"/>
            </w:tcMar>
          </w:tcPr>
          <w:p>
            <w:pPr>
              <w:spacing w:before="0" w:after="0"/>
            </w:pPr>
            <w:r>
              <w:rPr>
                <w:b/>
                <w:bCs/>
                <w:color w:val="7C3AED"/>
                <w:sz w:val="21"/>
                <w:szCs w:val="21"/>
                <w:rFonts w:ascii="Calibri" w:cs="Calibri" w:eastAsia="Calibri" w:hAnsi="Calibri"/>
              </w:rPr>
              <w:t xml:space="preserve">4.  </w:t>
            </w:r>
            <w:r>
              <w:rPr>
                <w:color w:val="4C1D95"/>
                <w:sz w:val="21"/>
                <w:szCs w:val="21"/>
                <w:rFonts w:ascii="Calibri" w:cs="Calibri" w:eastAsia="Calibri" w:hAnsi="Calibri"/>
              </w:rPr>
              <w:t xml:space="preserve">Business Rules</w:t>
            </w:r>
          </w:p>
        </w:tc>
        <w:tc>
          <w:tcPr>
            <w:tcW w:type="dxa" w:w="900"/>
            <w:tcBorders>
              <w:top w:val="none" w:color="FFFFFF" w:sz="0"/>
              <w:left w:val="none" w:color="FFFFFF" w:sz="0"/>
              <w:bottom w:val="none" w:color="FFFFFF" w:sz="0"/>
              <w:right w:val="none" w:color="FFFFFF" w:sz="0"/>
            </w:tcBorders>
            <w:shd w:fill="FFFFFF" w:val="clear"/>
            <w:tcMar>
              <w:top w:type="dxa" w:w="60"/>
              <w:left w:type="dxa" w:w="60"/>
              <w:bottom w:type="dxa" w:w="60"/>
              <w:right w:type="dxa" w:w="120"/>
            </w:tcMar>
          </w:tcPr>
          <w:p>
            <w:pPr>
              <w:spacing w:before="0" w:after="0"/>
              <w:jc w:val="right"/>
            </w:pPr>
            <w:r>
              <w:rPr>
                <w:color w:val="A78BFA"/>
                <w:sz w:val="21"/>
                <w:szCs w:val="21"/>
                <w:rFonts w:ascii="Calibri" w:cs="Calibri" w:eastAsia="Calibri" w:hAnsi="Calibri"/>
              </w:rPr>
              <w:t xml:space="preserve">12</w:t>
            </w:r>
          </w:p>
        </w:tc>
      </w:tr>
      <w:tr>
        <w:tc>
          <w:tcPr>
            <w:tcW w:type="dxa" w:w="8460"/>
            <w:tcBorders>
              <w:top w:val="none" w:color="FFFFFF" w:sz="0"/>
              <w:left w:val="none" w:color="FFFFFF" w:sz="0"/>
              <w:bottom w:val="none" w:color="FFFFFF" w:sz="0"/>
              <w:right w:val="none" w:color="FFFFFF" w:sz="0"/>
            </w:tcBorders>
            <w:shd w:fill="EDE9FE" w:val="clear"/>
            <w:tcMar>
              <w:top w:type="dxa" w:w="60"/>
              <w:left w:type="dxa" w:w="150"/>
              <w:bottom w:type="dxa" w:w="60"/>
              <w:right w:type="dxa" w:w="60"/>
            </w:tcMar>
          </w:tcPr>
          <w:p>
            <w:pPr>
              <w:spacing w:before="0" w:after="0"/>
            </w:pPr>
            <w:r>
              <w:rPr>
                <w:b/>
                <w:bCs/>
                <w:color w:val="7C3AED"/>
                <w:sz w:val="21"/>
                <w:szCs w:val="21"/>
                <w:rFonts w:ascii="Calibri" w:cs="Calibri" w:eastAsia="Calibri" w:hAnsi="Calibri"/>
              </w:rPr>
              <w:t xml:space="preserve">5.  </w:t>
            </w:r>
            <w:r>
              <w:rPr>
                <w:color w:val="4C1D95"/>
                <w:sz w:val="21"/>
                <w:szCs w:val="21"/>
                <w:rFonts w:ascii="Calibri" w:cs="Calibri" w:eastAsia="Calibri" w:hAnsi="Calibri"/>
              </w:rPr>
              <w:t xml:space="preserve">Risks</w:t>
            </w:r>
          </w:p>
        </w:tc>
        <w:tc>
          <w:tcPr>
            <w:tcW w:type="dxa" w:w="900"/>
            <w:tcBorders>
              <w:top w:val="none" w:color="FFFFFF" w:sz="0"/>
              <w:left w:val="none" w:color="FFFFFF" w:sz="0"/>
              <w:bottom w:val="none" w:color="FFFFFF" w:sz="0"/>
              <w:right w:val="none" w:color="FFFFFF" w:sz="0"/>
            </w:tcBorders>
            <w:shd w:fill="EDE9FE" w:val="clear"/>
            <w:tcMar>
              <w:top w:type="dxa" w:w="60"/>
              <w:left w:type="dxa" w:w="60"/>
              <w:bottom w:type="dxa" w:w="60"/>
              <w:right w:type="dxa" w:w="120"/>
            </w:tcMar>
          </w:tcPr>
          <w:p>
            <w:pPr>
              <w:spacing w:before="0" w:after="0"/>
              <w:jc w:val="right"/>
            </w:pPr>
            <w:r>
              <w:rPr>
                <w:color w:val="A78BFA"/>
                <w:sz w:val="21"/>
                <w:szCs w:val="21"/>
                <w:rFonts w:ascii="Calibri" w:cs="Calibri" w:eastAsia="Calibri" w:hAnsi="Calibri"/>
              </w:rPr>
              <w:t xml:space="preserve">15</w:t>
            </w:r>
          </w:p>
        </w:tc>
      </w:tr>
    </w:tbl>
    <w:p>
      <w:pPr>
        <w:pBdr>
          <w:bottom w:val="single" w:color="C4B5FD" w:sz="4" w:space="1"/>
        </w:pBdr>
        <w:spacing w:before="80" w:after="80"/>
      </w:pPr>
      <w:r>
        <w:rPr>
          <w:rFonts w:ascii="Calibri" w:cs="Calibri" w:eastAsia="Calibri" w:hAnsi="Calibri"/>
        </w:rPr>
      </w:r>
    </w:p>
    <w:p>
      <w:pPr>
        <w:spacing w:before="60" w:after="0"/>
      </w:pPr>
      <w:r>
        <w:rPr>
          <w:i/>
          <w:iCs/>
          <w:color w:val="A78BFA"/>
          <w:sz w:val="17"/>
          <w:szCs w:val="17"/>
          <w:rFonts w:ascii="Calibri" w:cs="Calibri" w:eastAsia="Calibri" w:hAnsi="Calibri"/>
        </w:rPr>
        <w:t xml:space="preserve">Page numbers are approximate estimates.</w:t>
      </w:r>
    </w:p>
    <w:p>
      <w:r>
        <w:br w:type="page"/>
      </w:r>
    </w:p>
    <w:p>
      <w:pPr>
        <w:pStyle w:val="Heading1"/>
        <w:pBdr>
          <w:bottom w:val="single" w:color="C4B5FD" w:sz="3" w:space="1"/>
        </w:pBdr>
        <w:spacing w:before="320" w:after="120"/>
      </w:pPr>
      <w:r>
        <w:rPr>
          <w:b/>
          <w:bCs/>
          <w:color w:val="4C1D95"/>
          <w:sz w:val="28"/>
          <w:szCs w:val="28"/>
          <w:rFonts w:ascii="Calibri" w:cs="Calibri" w:eastAsia="Calibri" w:hAnsi="Calibri"/>
        </w:rPr>
        <w:t xml:space="preserve">Executive Summary</w:t>
      </w:r>
    </w:p>
    <w:p>
      <w:pPr>
        <w:spacing w:before="0" w:after="120" w:line="310" w:lineRule="auto"/>
      </w:pPr>
      <w:r>
        <w:rPr>
          <w:color w:val="1A0533"/>
          <w:sz w:val="21"/>
          <w:szCs w:val="21"/>
          <w:rFonts w:ascii="Calibri" w:cs="Calibri" w:eastAsia="Calibri" w:hAnsi="Calibri"/>
        </w:rPr>
        <w:t xml:space="preserve">RetailCorp India Pvt. is at a pivotal growth stage, operating as a mid-size retail chain that currently lacks a dedicated digital commerce presence. To capture the rapidly expanding Indian e-commerce market and serve both domestic and NRI customers, RetailCorp has commissioned the development of ShopEase — a purpose-built e-commerce platform designed to bring the full RetailCorp retail experience online. This project represents a strategic investment in RetailCorp's digital future and long-term competitive positioning.</w:t>
      </w:r>
    </w:p>
    <w:p>
      <w:pPr>
        <w:pStyle w:val="Heading3"/>
        <w:spacing w:before="160" w:after="60"/>
      </w:pPr>
      <w:r>
        <w:rPr>
          <w:b/>
          <w:bCs/>
          <w:color w:val="A78BFA"/>
          <w:sz w:val="21"/>
          <w:szCs w:val="21"/>
          <w:rFonts w:ascii="Calibri" w:cs="Calibri" w:eastAsia="Calibri" w:hAnsi="Calibri"/>
        </w:rPr>
        <w:t xml:space="preserve">Business Problem</w:t>
      </w:r>
    </w:p>
    <w:p>
      <w:pPr>
        <w:spacing w:before="0" w:after="120" w:line="310" w:lineRule="auto"/>
      </w:pPr>
      <w:r>
        <w:rPr>
          <w:color w:val="1A0533"/>
          <w:sz w:val="21"/>
          <w:szCs w:val="21"/>
          <w:rFonts w:ascii="Calibri" w:cs="Calibri" w:eastAsia="Calibri" w:hAnsi="Calibri"/>
        </w:rPr>
        <w:t xml:space="preserve">RetailCorp currently has no direct online sales channel, leaving significant revenue on the table as consumer purchasing behavior continues to shift toward digital platforms. With an existing catalog of 8,000 SKUs managed through SAP ERP and an average order value of approximately ₹15,000, the business requires a platform capable of handling high-value transactions, multi-vendor inventory, and a geographically distributed customer base — none of which are supported today. The absence of a digital storefront also means RetailCorp has no visibility into customer behavior, cart abandonment patterns, or regional sales performance, limiting the organization's ability to make informed commercial decisions.</w:t>
      </w:r>
    </w:p>
    <w:p>
      <w:pPr>
        <w:pStyle w:val="Heading3"/>
        <w:spacing w:before="160" w:after="60"/>
      </w:pPr>
      <w:r>
        <w:rPr>
          <w:b/>
          <w:bCs/>
          <w:color w:val="A78BFA"/>
          <w:sz w:val="21"/>
          <w:szCs w:val="21"/>
          <w:rFonts w:ascii="Calibri" w:cs="Calibri" w:eastAsia="Calibri" w:hAnsi="Calibri"/>
        </w:rPr>
        <w:t xml:space="preserve">Proposed Solution</w:t>
      </w:r>
    </w:p>
    <w:p>
      <w:pPr>
        <w:spacing w:before="0" w:after="120" w:line="310" w:lineRule="auto"/>
      </w:pPr>
      <w:r>
        <w:rPr>
          <w:color w:val="1A0533"/>
          <w:sz w:val="21"/>
          <w:szCs w:val="21"/>
          <w:rFonts w:ascii="Calibri" w:cs="Calibri" w:eastAsia="Calibri" w:hAnsi="Calibri"/>
        </w:rPr>
        <w:t xml:space="preserve">ShopEase will be a fully integrated e-commerce platform — available on web, Android, and iOS — that connects customers, vendor partners, store managers, and RetailCorp's central administration team within a single, unified system. The platform will connect directly to RetailCorp's existing SAP ERP to ensure accurate, real-time product availability, while offering customers flexible payment options including UPI, net banking, credit and debit cards, and no-cost EMI financing through Bajaj Finance. ShopEase will give RetailCorp complete control over pricing and promotions while empowering vendor partners to manage their own product listings, ultimately scaling the catalog from 8,000 to approximately 25,000 SKUs.</w:t>
      </w:r>
    </w:p>
    <w:p>
      <w:pPr>
        <w:pStyle w:val="Heading3"/>
        <w:spacing w:before="160" w:after="60"/>
      </w:pPr>
      <w:r>
        <w:rPr>
          <w:b/>
          <w:bCs/>
          <w:color w:val="A78BFA"/>
          <w:sz w:val="21"/>
          <w:szCs w:val="21"/>
          <w:rFonts w:ascii="Calibri" w:cs="Calibri" w:eastAsia="Calibri" w:hAnsi="Calibri"/>
        </w:rPr>
        <w:t xml:space="preserve">Key Objectives</w:t>
      </w:r>
    </w:p>
    <w:p>
      <w:pPr>
        <w:pStyle w:val="ListParagraph"/>
        <w:numPr>
          <w:ilvl w:val="0"/>
          <w:numId w:val="2"/>
        </w:numPr>
        <w:spacing w:before="0" w:after="60" w:line="280" w:lineRule="auto"/>
      </w:pPr>
      <w:r>
        <w:rPr>
          <w:color w:val="1A0533"/>
          <w:sz w:val="21"/>
          <w:szCs w:val="21"/>
          <w:rFonts w:ascii="Calibri" w:cs="Calibri" w:eastAsia="Calibri" w:hAnsi="Calibri"/>
        </w:rPr>
        <w:t xml:space="preserve">Launch the ShopEase platform to live customers within 6 months of project kickoff.</w:t>
      </w:r>
    </w:p>
    <w:p>
      <w:pPr>
        <w:pStyle w:val="ListParagraph"/>
        <w:numPr>
          <w:ilvl w:val="0"/>
          <w:numId w:val="2"/>
        </w:numPr>
        <w:spacing w:before="0" w:after="60" w:line="280" w:lineRule="auto"/>
      </w:pPr>
      <w:r>
        <w:rPr>
          <w:color w:val="1A0533"/>
          <w:sz w:val="21"/>
          <w:szCs w:val="21"/>
          <w:rFonts w:ascii="Calibri" w:cs="Calibri" w:eastAsia="Calibri" w:hAnsi="Calibri"/>
        </w:rPr>
        <w:t xml:space="preserve">Scale the active product catalog from 8,000 to 25,000 SKUs by onboarding vendor partners through the dedicated Vendor Portal.</w:t>
      </w:r>
    </w:p>
    <w:p>
      <w:pPr>
        <w:pStyle w:val="ListParagraph"/>
        <w:numPr>
          <w:ilvl w:val="0"/>
          <w:numId w:val="2"/>
        </w:numPr>
        <w:spacing w:before="0" w:after="60" w:line="280" w:lineRule="auto"/>
      </w:pPr>
      <w:r>
        <w:rPr>
          <w:color w:val="1A0533"/>
          <w:sz w:val="21"/>
          <w:szCs w:val="21"/>
          <w:rFonts w:ascii="Calibri" w:cs="Calibri" w:eastAsia="Calibri" w:hAnsi="Calibri"/>
        </w:rPr>
        <w:t xml:space="preserve">Support a minimum of 50,000 concurrent users during peak sale events with all pages loading within 3 seconds.</w:t>
      </w:r>
    </w:p>
    <w:p>
      <w:pPr>
        <w:pStyle w:val="ListParagraph"/>
        <w:numPr>
          <w:ilvl w:val="0"/>
          <w:numId w:val="2"/>
        </w:numPr>
        <w:spacing w:before="0" w:after="60" w:line="280" w:lineRule="auto"/>
      </w:pPr>
      <w:r>
        <w:rPr>
          <w:color w:val="1A0533"/>
          <w:sz w:val="21"/>
          <w:szCs w:val="21"/>
          <w:rFonts w:ascii="Calibri" w:cs="Calibri" w:eastAsia="Calibri" w:hAnsi="Calibri"/>
        </w:rPr>
        <w:t xml:space="preserve">Achieve full compliance with GDPR and the Indian Information Technology Act within the initial launch, with all customer data stored on India-based servers.</w:t>
      </w:r>
    </w:p>
    <w:p>
      <w:pPr>
        <w:pStyle w:val="ListParagraph"/>
        <w:numPr>
          <w:ilvl w:val="0"/>
          <w:numId w:val="2"/>
        </w:numPr>
        <w:spacing w:before="0" w:after="60" w:line="280" w:lineRule="auto"/>
      </w:pPr>
      <w:r>
        <w:rPr>
          <w:color w:val="1A0533"/>
          <w:sz w:val="21"/>
          <w:szCs w:val="21"/>
          <w:rFonts w:ascii="Calibri" w:cs="Calibri" w:eastAsia="Calibri" w:hAnsi="Calibri"/>
        </w:rPr>
        <w:t xml:space="preserve">Enable central admin to generate sales reports across regions, categories, and vendors within the first 30 days post-launch, providing actionable business intelligence from day one.</w:t>
      </w:r>
    </w:p>
    <w:p>
      <w:pPr>
        <w:pStyle w:val="Heading3"/>
        <w:spacing w:before="160" w:after="60"/>
      </w:pPr>
      <w:r>
        <w:rPr>
          <w:b/>
          <w:bCs/>
          <w:color w:val="A78BFA"/>
          <w:sz w:val="21"/>
          <w:szCs w:val="21"/>
          <w:rFonts w:ascii="Calibri" w:cs="Calibri" w:eastAsia="Calibri" w:hAnsi="Calibri"/>
        </w:rPr>
        <w:t xml:space="preserve">Expected Outcomes</w:t>
      </w:r>
    </w:p>
    <w:p>
      <w:pPr>
        <w:spacing w:before="0" w:after="120" w:line="310" w:lineRule="auto"/>
      </w:pPr>
      <w:r>
        <w:rPr>
          <w:color w:val="1A0533"/>
          <w:sz w:val="21"/>
          <w:szCs w:val="21"/>
          <w:rFonts w:ascii="Calibri" w:cs="Calibri" w:eastAsia="Calibri" w:hAnsi="Calibri"/>
        </w:rPr>
        <w:t xml:space="preserve">Six months after launch, RetailCorp will have a fully operational digital sales channel generating measurable online revenue, with real-time inventory accuracy driven by SAP integration eliminating the risk of overselling. Executive leadership will have access to live business performance dashboards — including sales trends, regional performance, and cart abandonment analytics — enabling data-driven decisions that were previously impossible. With a scalable foundation in place, RetailCorp will be positioned to grow its vendor network, expand its SKU catalog, and compete directly in the Indian e-commerce market with confidence.</w:t>
      </w:r>
    </w:p>
    <w:p>
      <w:pPr>
        <w:spacing w:before="160" w:after="0"/>
      </w:pPr>
      <w:r>
        <w:rPr>
          <w:i/>
          <w:iCs/>
          <w:color w:val="A78BFA"/>
          <w:sz w:val="15"/>
          <w:szCs w:val="15"/>
          <w:rFonts w:ascii="Calibri" w:cs="Calibri" w:eastAsia="Calibri" w:hAnsi="Calibri"/>
        </w:rPr>
        <w:t xml:space="preserve">[ Quality: 80%  ·  Requirements used: 70 ]</w:t>
      </w:r>
    </w:p>
    <w:p>
      <w:r>
        <w:br w:type="page"/>
      </w:r>
    </w:p>
    <w:p>
      <w:pPr>
        <w:pStyle w:val="Heading1"/>
        <w:pBdr>
          <w:bottom w:val="single" w:color="C4B5FD" w:sz="3" w:space="1"/>
        </w:pBdr>
        <w:spacing w:before="320" w:after="120"/>
      </w:pPr>
      <w:r>
        <w:rPr>
          <w:b/>
          <w:bCs/>
          <w:color w:val="4C1D95"/>
          <w:sz w:val="28"/>
          <w:szCs w:val="28"/>
          <w:rFonts w:ascii="Calibri" w:cs="Calibri" w:eastAsia="Calibri" w:hAnsi="Calibri"/>
        </w:rPr>
        <w:t xml:space="preserve">Business Context and Background</w:t>
      </w:r>
    </w:p>
    <w:p>
      <w:pPr>
        <w:pStyle w:val="Heading3"/>
        <w:spacing w:before="160" w:after="60"/>
      </w:pPr>
      <w:r>
        <w:rPr>
          <w:b/>
          <w:bCs/>
          <w:color w:val="A78BFA"/>
          <w:sz w:val="21"/>
          <w:szCs w:val="21"/>
          <w:rFonts w:ascii="Calibri" w:cs="Calibri" w:eastAsia="Calibri" w:hAnsi="Calibri"/>
        </w:rPr>
        <w:t xml:space="preserve">Current State</w:t>
      </w:r>
    </w:p>
    <w:p>
      <w:pPr>
        <w:spacing w:before="0" w:after="120" w:line="310" w:lineRule="auto"/>
      </w:pPr>
      <w:r>
        <w:rPr>
          <w:color w:val="1A0533"/>
          <w:sz w:val="21"/>
          <w:szCs w:val="21"/>
          <w:rFonts w:ascii="Calibri" w:cs="Calibri" w:eastAsia="Calibri" w:hAnsi="Calibri"/>
        </w:rPr>
        <w:t xml:space="preserve">RetailCorp India Pvt. Ltd. is a mid-size Indian retail chain currently operating without a dedicated e-commerce platform, managing its product catalog, inventory, and sales operations primarily through its existing SAP ERP system. The business carries approximately 8,000 active SKUs across its physical store network, with store managers handling regional orders and returns through manual or fragmented processes rather than a unified digital interface. Vendor partners currently lack a self-service mechanism to manage their own inventory and product listings, requiring RetailCorp's internal teams to act as intermediaries for catalog updates and stock management. Customer-facing sales are conducted through physical retail channels, with no structured digital pathway for browsing, purchasing, or accessing financing options such as No-Cost EMI.</w:t>
      </w:r>
    </w:p>
    <w:p>
      <w:pPr>
        <w:pStyle w:val="Heading3"/>
        <w:spacing w:before="160" w:after="60"/>
      </w:pPr>
      <w:r>
        <w:rPr>
          <w:b/>
          <w:bCs/>
          <w:color w:val="A78BFA"/>
          <w:sz w:val="21"/>
          <w:szCs w:val="21"/>
          <w:rFonts w:ascii="Calibri" w:cs="Calibri" w:eastAsia="Calibri" w:hAnsi="Calibri"/>
        </w:rPr>
        <w:t xml:space="preserve">Business Problem or Opportunity</w:t>
      </w:r>
    </w:p>
    <w:p>
      <w:pPr>
        <w:spacing w:before="0" w:after="120" w:line="310" w:lineRule="auto"/>
      </w:pPr>
      <w:r>
        <w:rPr>
          <w:color w:val="1A0533"/>
          <w:sz w:val="21"/>
          <w:szCs w:val="21"/>
          <w:rFonts w:ascii="Calibri" w:cs="Calibri" w:eastAsia="Calibri" w:hAnsi="Calibri"/>
        </w:rPr>
        <w:t xml:space="preserve">RetailCorp has identified a significant and time-sensitive opportunity to extend its retail presence into e-commerce through ShopEase, a purpose-built platform designed to serve both domestic Indian customers and the NRI diaspora. The absence of a digital sales channel means RetailCorp is currently unable to capture online demand, offer flexible payment options such as Bajaj Finance-powered No-Cost EMI arrangements, or scale its product offering beyond its current 8,000 SKUs — a catalog expected to grow to approximately 25,000 SKUs once vendor partners are onboarded. With an average order value of approximately ₹15,000 INR, the inability to offer structured EMI payment options represents a direct barrier to purchase conversion, particularly for higher-value transactions. Additionally, RetailCorp has no current capability to track Cart Abandonment Analytics or run targeted email and SMS marketing campaigns, limiting its ability to recover lost sales or engage customers post-visit.</w:t>
      </w:r>
    </w:p>
    <w:p>
      <w:pPr>
        <w:pStyle w:val="Heading3"/>
        <w:spacing w:before="160" w:after="60"/>
      </w:pPr>
      <w:r>
        <w:rPr>
          <w:b/>
          <w:bCs/>
          <w:color w:val="A78BFA"/>
          <w:sz w:val="21"/>
          <w:szCs w:val="21"/>
          <w:rFonts w:ascii="Calibri" w:cs="Calibri" w:eastAsia="Calibri" w:hAnsi="Calibri"/>
        </w:rPr>
        <w:t xml:space="preserve">Strategic Drivers</w:t>
      </w:r>
    </w:p>
    <w:p>
      <w:pPr>
        <w:spacing w:before="0" w:after="120" w:line="310" w:lineRule="auto"/>
      </w:pPr>
      <w:r>
        <w:rPr>
          <w:color w:val="1A0533"/>
          <w:sz w:val="21"/>
          <w:szCs w:val="21"/>
          <w:rFonts w:ascii="Calibri" w:cs="Calibri" w:eastAsia="Calibri" w:hAnsi="Calibri"/>
        </w:rPr>
        <w:t xml:space="preserve">RetailCorp's leadership, under the direction of CEO Sunita Agarwal, has committed to launching ShopEase within a firm six-month window from project commencement, reflecting the urgency of establishing a competitive digital presence in India's rapidly growing e-commerce market. The platform must simultaneously satisfy dual regulatory obligations — compliance with the Indian Information Technology Act for domestic operations and GDPR compliance to protect the data privacy rights of NRI customers — making this a strategically complex initiative that requires disciplined execution from the outset. The planned onboarding of vendor partners through a dedicated Vendor Portal represents a further strategic lever, enabling RetailCorp to multiply its addressable product range more than threefold without proportional increases in internal inventory investment.</w:t>
      </w:r>
    </w:p>
    <w:p>
      <w:pPr>
        <w:pStyle w:val="Heading3"/>
        <w:spacing w:before="160" w:after="60"/>
      </w:pPr>
      <w:r>
        <w:rPr>
          <w:b/>
          <w:bCs/>
          <w:color w:val="A78BFA"/>
          <w:sz w:val="21"/>
          <w:szCs w:val="21"/>
          <w:rFonts w:ascii="Calibri" w:cs="Calibri" w:eastAsia="Calibri" w:hAnsi="Calibri"/>
        </w:rPr>
        <w:t xml:space="preserve">Cost of Inaction</w:t>
      </w:r>
    </w:p>
    <w:p>
      <w:pPr>
        <w:spacing w:before="0" w:after="120" w:line="310" w:lineRule="auto"/>
      </w:pPr>
      <w:r>
        <w:rPr>
          <w:color w:val="1A0533"/>
          <w:sz w:val="21"/>
          <w:szCs w:val="21"/>
          <w:rFonts w:ascii="Calibri" w:cs="Calibri" w:eastAsia="Calibri" w:hAnsi="Calibri"/>
        </w:rPr>
        <w:t xml:space="preserve">If ShopEase is not delivered, RetailCorp will continue to forfeit online revenue to competitors who already offer digital purchasing, EMI financing, and vendor-driven catalog depth — a disadvantage that compounds with each month the platform remains unbuilt. Beyond lost revenue, RetailCorp faces increasing regulatory exposure as NRI customer data handling without a compliant digital infrastructure creates material risk under both the Indian IT Act and GDPR, with potential penalties and reputational damage that could undermine the broader retail business.</w:t>
      </w:r>
    </w:p>
    <w:p>
      <w:pPr>
        <w:spacing w:before="160" w:after="0"/>
      </w:pPr>
      <w:r>
        <w:rPr>
          <w:i/>
          <w:iCs/>
          <w:color w:val="A78BFA"/>
          <w:sz w:val="15"/>
          <w:szCs w:val="15"/>
          <w:rFonts w:ascii="Calibri" w:cs="Calibri" w:eastAsia="Calibri" w:hAnsi="Calibri"/>
        </w:rPr>
        <w:t xml:space="preserve">[ Quality: 50%  ·  Requirements used: 18 ]</w:t>
      </w:r>
    </w:p>
    <w:p>
      <w:r>
        <w:br w:type="page"/>
      </w:r>
    </w:p>
    <w:p>
      <w:pPr>
        <w:pStyle w:val="Heading1"/>
        <w:pBdr>
          <w:bottom w:val="single" w:color="C4B5FD" w:sz="3" w:space="1"/>
        </w:pBdr>
        <w:spacing w:before="320" w:after="120"/>
      </w:pPr>
      <w:r>
        <w:rPr>
          <w:b/>
          <w:bCs/>
          <w:color w:val="4C1D95"/>
          <w:sz w:val="28"/>
          <w:szCs w:val="28"/>
          <w:rFonts w:ascii="Calibri" w:cs="Calibri" w:eastAsia="Calibri" w:hAnsi="Calibri"/>
        </w:rPr>
        <w:t xml:space="preserve">Functional Requirements</w:t>
      </w:r>
    </w:p>
    <w:p>
      <w:pPr>
        <w:pStyle w:val="Heading1"/>
        <w:pBdr>
          <w:bottom w:val="single" w:color="C4B5FD" w:sz="3" w:space="1"/>
        </w:pBdr>
        <w:spacing w:before="320" w:after="120"/>
      </w:pPr>
      <w:r>
        <w:rPr>
          <w:b/>
          <w:bCs/>
          <w:color w:val="4C1D95"/>
          <w:sz w:val="28"/>
          <w:szCs w:val="28"/>
          <w:rFonts w:ascii="Calibri" w:cs="Calibri" w:eastAsia="Calibri" w:hAnsi="Calibri"/>
        </w:rPr>
        <w:t xml:space="preserve">4. Functional Requirements</w:t>
      </w:r>
    </w:p>
    <w:p>
      <w:pPr>
        <w:spacing w:before="0" w:after="120" w:line="310" w:lineRule="auto"/>
      </w:pPr>
      <w:r>
        <w:rPr>
          <w:color w:val="1A0533"/>
          <w:sz w:val="21"/>
          <w:szCs w:val="21"/>
          <w:rFonts w:ascii="Calibri" w:cs="Calibri" w:eastAsia="Calibri" w:hAnsi="Calibri"/>
        </w:rPr>
        <w:t xml:space="preserve">This section defines all functional requirements for the ShopEase platform, grouped by module. Each requirement uses "The system SHALL" language and is accompanied by specific, testable acceptance criteria. These requirements represent the complete functional scope agreed upon between RetailCorp and the development team.</w:t>
      </w:r>
    </w:p>
    <w:p>
      <w:pPr>
        <w:pBdr>
          <w:bottom w:val="single" w:color="C4B5FD" w:sz="4" w:space="1"/>
        </w:pBdr>
        <w:spacing w:before="80" w:after="80"/>
      </w:pPr>
      <w:r>
        <w:rPr>
          <w:rFonts w:ascii="Calibri" w:cs="Calibri" w:eastAsia="Calibri" w:hAnsi="Calibri"/>
        </w:rPr>
      </w:r>
    </w:p>
    <w:p>
      <w:pPr>
        <w:pStyle w:val="Heading2"/>
        <w:pBdr>
          <w:left w:val="single" w:color="5B21B6" w:sz="14" w:space="6"/>
        </w:pBdr>
        <w:spacing w:before="240" w:after="80"/>
      </w:pPr>
      <w:r>
        <w:rPr>
          <w:b/>
          <w:bCs/>
          <w:color w:val="7C3AED"/>
          <w:sz w:val="24"/>
          <w:szCs w:val="24"/>
          <w:rFonts w:ascii="Calibri" w:cs="Calibri" w:eastAsia="Calibri" w:hAnsi="Calibri"/>
        </w:rPr>
        <w:t xml:space="preserve">4.1 Authentication &amp; User Management</w:t>
      </w:r>
    </w:p>
    <w:p>
      <w:pPr>
        <w:spacing w:before="0" w:after="120" w:line="310" w:lineRule="auto"/>
      </w:pPr>
      <w:r>
        <w:rPr>
          <w:color w:val="1A0533"/>
          <w:sz w:val="21"/>
          <w:szCs w:val="21"/>
          <w:rFonts w:ascii="Calibri" w:cs="Calibri" w:eastAsia="Calibri" w:hAnsi="Calibri"/>
        </w:rPr>
        <w:t xml:space="preserve">This module governs how customers, vendors, store managers, and Central Admin users register, authenticate, and access the ShopEase platform. Secure and flexible authentication is foundational to all other platform functions, ensuring the right users access the right capabilities.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3931"/>
        <w:gridCol w:w="2059"/>
        <w:gridCol w:w="2434"/>
      </w:tblGrid>
      <w:tr>
        <w:trPr>
          <w:cantSplit/>
        </w:trPr>
        <w:tc>
          <w:tcPr>
            <w:tcW w:type="dxa" w:w="936"/>
            <w:tcBorders>
              <w:top w:val="none" w:color="FFFFFF" w:sz="0"/>
              <w:left w:val="none" w:color="FFFFFF" w:sz="0"/>
              <w:bottom w:val="single" w:color="7C3AED" w:sz="6" w:space="1"/>
              <w:right w:val="none" w:color="FFFFFF" w:sz="0"/>
            </w:tcBorders>
            <w:shd w:fill="4C1D95" w:val="clear"/>
            <w:tcMar>
              <w:top w:type="dxa" w:w="80"/>
              <w:left w:type="dxa" w:w="120"/>
              <w:bottom w:type="dxa" w:w="80"/>
              <w:right w:type="dxa" w:w="120"/>
            </w:tcMar>
            <w:vAlign w:val="center"/>
          </w:tcPr>
          <w:p>
            <w:pPr>
              <w:spacing w:before="0" w:after="0"/>
              <w:jc w:val="left"/>
            </w:pPr>
            <w:r>
              <w:rPr>
                <w:b/>
                <w:bCs/>
                <w:color w:val="FFFFFF"/>
                <w:sz w:val="19"/>
                <w:szCs w:val="19"/>
                <w:rFonts w:ascii="Calibri" w:cs="Calibri" w:eastAsia="Calibri" w:hAnsi="Calibri"/>
              </w:rPr>
              <w:t xml:space="preserve">FR-ID</w:t>
            </w:r>
          </w:p>
        </w:tc>
        <w:tc>
          <w:tcPr>
            <w:tcW w:type="dxa" w:w="3931"/>
            <w:tcBorders>
              <w:top w:val="none" w:color="FFFFFF" w:sz="0"/>
              <w:left w:val="none" w:color="FFFFFF" w:sz="0"/>
              <w:bottom w:val="single" w:color="7C3AED" w:sz="6" w:space="1"/>
              <w:right w:val="none" w:color="FFFFFF" w:sz="0"/>
            </w:tcBorders>
            <w:shd w:fill="4C1D95" w:val="clear"/>
            <w:tcMar>
              <w:top w:type="dxa" w:w="80"/>
              <w:left w:type="dxa" w:w="120"/>
              <w:bottom w:type="dxa" w:w="80"/>
              <w:right w:type="dxa" w:w="120"/>
            </w:tcMar>
            <w:vAlign w:val="center"/>
          </w:tcPr>
          <w:p>
            <w:pPr>
              <w:spacing w:before="0" w:after="0"/>
              <w:jc w:val="left"/>
            </w:pPr>
            <w:r>
              <w:rPr>
                <w:b/>
                <w:bCs/>
                <w:color w:val="FFFFFF"/>
                <w:sz w:val="19"/>
                <w:szCs w:val="19"/>
                <w:rFonts w:ascii="Calibri" w:cs="Calibri" w:eastAsia="Calibri" w:hAnsi="Calibri"/>
              </w:rPr>
              <w:t xml:space="preserve">Requirement</w:t>
            </w:r>
          </w:p>
        </w:tc>
        <w:tc>
          <w:tcPr>
            <w:tcW w:type="dxa" w:w="2059"/>
            <w:tcBorders>
              <w:top w:val="none" w:color="FFFFFF" w:sz="0"/>
              <w:left w:val="none" w:color="FFFFFF" w:sz="0"/>
              <w:bottom w:val="single" w:color="7C3AED" w:sz="6" w:space="1"/>
              <w:right w:val="none" w:color="FFFFFF" w:sz="0"/>
            </w:tcBorders>
            <w:shd w:fill="4C1D95" w:val="clear"/>
            <w:tcMar>
              <w:top w:type="dxa" w:w="80"/>
              <w:left w:type="dxa" w:w="120"/>
              <w:bottom w:type="dxa" w:w="80"/>
              <w:right w:type="dxa" w:w="120"/>
            </w:tcMar>
            <w:vAlign w:val="center"/>
          </w:tcPr>
          <w:p>
            <w:pPr>
              <w:spacing w:before="0" w:after="0"/>
              <w:jc w:val="left"/>
            </w:pPr>
            <w:r>
              <w:rPr>
                <w:b/>
                <w:bCs/>
                <w:color w:val="FFFFFF"/>
                <w:sz w:val="19"/>
                <w:szCs w:val="19"/>
                <w:rFonts w:ascii="Calibri" w:cs="Calibri" w:eastAsia="Calibri" w:hAnsi="Calibri"/>
              </w:rPr>
              <w:t xml:space="preserve">Priority</w:t>
            </w:r>
          </w:p>
        </w:tc>
        <w:tc>
          <w:tcPr>
            <w:tcW w:type="dxa" w:w="2434"/>
            <w:tcBorders>
              <w:top w:val="none" w:color="FFFFFF" w:sz="0"/>
              <w:left w:val="none" w:color="FFFFFF" w:sz="0"/>
              <w:bottom w:val="single" w:color="7C3AED" w:sz="6" w:space="1"/>
              <w:right w:val="none" w:color="FFFFFF" w:sz="0"/>
            </w:tcBorders>
            <w:shd w:fill="4C1D95" w:val="clear"/>
            <w:tcMar>
              <w:top w:type="dxa" w:w="80"/>
              <w:left w:type="dxa" w:w="120"/>
              <w:bottom w:type="dxa" w:w="80"/>
              <w:right w:type="dxa" w:w="120"/>
            </w:tcMar>
            <w:vAlign w:val="center"/>
          </w:tcPr>
          <w:p>
            <w:pPr>
              <w:spacing w:before="0" w:after="0"/>
              <w:jc w:val="left"/>
            </w:pPr>
            <w:r>
              <w:rPr>
                <w:b/>
                <w:bCs/>
                <w:color w:val="FFFFFF"/>
                <w:sz w:val="19"/>
                <w:szCs w:val="19"/>
                <w:rFonts w:ascii="Calibri" w:cs="Calibri" w:eastAsia="Calibri" w:hAnsi="Calibri"/>
              </w:rPr>
              <w:t xml:space="preserve">Acceptance Criteria</w:t>
            </w:r>
          </w:p>
        </w:tc>
      </w:tr>
      <w:tr>
        <w:trPr>
          <w:cantSplit/>
        </w:trPr>
        <w:tc>
          <w:tcPr>
            <w:tcW w:type="dxa" w:w="936"/>
            <w:tcBorders>
              <w:top w:val="none" w:color="FFFFFF" w:sz="0"/>
              <w:left w:val="none" w:color="FFFFFF" w:sz="0"/>
              <w:bottom w:val="none" w:color="FFFFFF" w:sz="0"/>
              <w:right w:val="none" w:color="FFFFFF" w:sz="0"/>
            </w:tcBorders>
            <w:shd w:fill="EDE9FE"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FR-001</w:t>
            </w:r>
          </w:p>
        </w:tc>
        <w:tc>
          <w:tcPr>
            <w:tcW w:type="dxa" w:w="3931"/>
            <w:tcBorders>
              <w:top w:val="none" w:color="FFFFFF" w:sz="0"/>
              <w:left w:val="none" w:color="FFFFFF" w:sz="0"/>
              <w:bottom w:val="none" w:color="FFFFFF" w:sz="0"/>
              <w:right w:val="none" w:color="FFFFFF" w:sz="0"/>
            </w:tcBorders>
            <w:shd w:fill="EDE9FE"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The system SHALL allow new customers to register using a valid email address or mobile number.</w:t>
            </w:r>
          </w:p>
        </w:tc>
        <w:tc>
          <w:tcPr>
            <w:tcW w:type="dxa" w:w="2059"/>
            <w:tcBorders>
              <w:top w:val="none" w:color="FFFFFF" w:sz="0"/>
              <w:left w:val="none" w:color="FFFFFF" w:sz="0"/>
              <w:bottom w:val="none" w:color="FFFFFF" w:sz="0"/>
              <w:right w:val="none" w:color="FFFFFF" w:sz="0"/>
            </w:tcBorders>
            <w:shd w:fill="EDE9FE"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Must Have</w:t>
            </w:r>
          </w:p>
        </w:tc>
        <w:tc>
          <w:tcPr>
            <w:tcW w:type="dxa" w:w="2434"/>
            <w:tcBorders>
              <w:top w:val="none" w:color="FFFFFF" w:sz="0"/>
              <w:left w:val="none" w:color="FFFFFF" w:sz="0"/>
              <w:bottom w:val="none" w:color="FFFFFF" w:sz="0"/>
              <w:right w:val="none" w:color="FFFFFF" w:sz="0"/>
            </w:tcBorders>
            <w:shd w:fill="EDE9FE"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Customer successfully registers with either a valid email or mobile number and receives a confirmation message via the chosen channel.</w:t>
            </w:r>
          </w:p>
        </w:tc>
      </w:tr>
      <w:tr>
        <w:trPr>
          <w:cantSplit/>
        </w:trPr>
        <w:tc>
          <w:tcPr>
            <w:tcW w:type="dxa" w:w="936"/>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FR-002</w:t>
            </w:r>
          </w:p>
        </w:tc>
        <w:tc>
          <w:tcPr>
            <w:tcW w:type="dxa" w:w="3931"/>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The system SHALL allow registered customers to log in via email/password combination or OTP sent to their registered mobile number.</w:t>
            </w:r>
          </w:p>
        </w:tc>
        <w:tc>
          <w:tcPr>
            <w:tcW w:type="dxa" w:w="2059"/>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Must Have</w:t>
            </w:r>
          </w:p>
        </w:tc>
        <w:tc>
          <w:tcPr>
            <w:tcW w:type="dxa" w:w="243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Customer can log in successfully using either method; invalid credentials or expired OTP are rejected with an appropriate error message.</w:t>
            </w:r>
          </w:p>
        </w:tc>
      </w:tr>
    </w:tbl>
    <w:p>
      <w:pPr>
        <w:spacing w:before="0" w:after="160"/>
      </w:pPr>
      <w:r>
        <w:t xml:space="preserve"/>
      </w:r>
    </w:p>
    <w:p>
      <w:pPr>
        <w:pBdr>
          <w:bottom w:val="single" w:color="C4B5FD" w:sz="4" w:space="1"/>
        </w:pBdr>
        <w:spacing w:before="80" w:after="80"/>
      </w:pPr>
      <w:r>
        <w:rPr>
          <w:rFonts w:ascii="Calibri" w:cs="Calibri" w:eastAsia="Calibri" w:hAnsi="Calibri"/>
        </w:rPr>
      </w:r>
    </w:p>
    <w:p>
      <w:pPr>
        <w:pStyle w:val="Heading2"/>
        <w:pBdr>
          <w:left w:val="single" w:color="5B21B6" w:sz="14" w:space="6"/>
        </w:pBdr>
        <w:spacing w:before="240" w:after="80"/>
      </w:pPr>
      <w:r>
        <w:rPr>
          <w:b/>
          <w:bCs/>
          <w:color w:val="7C3AED"/>
          <w:sz w:val="24"/>
          <w:szCs w:val="24"/>
          <w:rFonts w:ascii="Calibri" w:cs="Calibri" w:eastAsia="Calibri" w:hAnsi="Calibri"/>
        </w:rPr>
        <w:t xml:space="preserve">4.2 Product Catalogue</w:t>
      </w:r>
    </w:p>
    <w:p>
      <w:pPr>
        <w:spacing w:before="0" w:after="120" w:line="310" w:lineRule="auto"/>
      </w:pPr>
      <w:r>
        <w:rPr>
          <w:color w:val="1A0533"/>
          <w:sz w:val="21"/>
          <w:szCs w:val="21"/>
          <w:rFonts w:ascii="Calibri" w:cs="Calibri" w:eastAsia="Calibri" w:hAnsi="Calibri"/>
        </w:rPr>
        <w:t xml:space="preserve">The Product Catalogue module manages the creation, synchronisation, and presentation of all product data on ShopEase. It integrates directly with RetailCorp's SAP ERP system to ensure product information and inventory levels remain accurate and up to date across the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3931"/>
        <w:gridCol w:w="2059"/>
        <w:gridCol w:w="2434"/>
      </w:tblGrid>
      <w:tr>
        <w:trPr>
          <w:cantSplit/>
        </w:trPr>
        <w:tc>
          <w:tcPr>
            <w:tcW w:type="dxa" w:w="936"/>
            <w:tcBorders>
              <w:top w:val="none" w:color="FFFFFF" w:sz="0"/>
              <w:left w:val="none" w:color="FFFFFF" w:sz="0"/>
              <w:bottom w:val="single" w:color="7C3AED" w:sz="6" w:space="1"/>
              <w:right w:val="none" w:color="FFFFFF" w:sz="0"/>
            </w:tcBorders>
            <w:shd w:fill="4C1D95" w:val="clear"/>
            <w:tcMar>
              <w:top w:type="dxa" w:w="80"/>
              <w:left w:type="dxa" w:w="120"/>
              <w:bottom w:type="dxa" w:w="80"/>
              <w:right w:type="dxa" w:w="120"/>
            </w:tcMar>
            <w:vAlign w:val="center"/>
          </w:tcPr>
          <w:p>
            <w:pPr>
              <w:spacing w:before="0" w:after="0"/>
              <w:jc w:val="left"/>
            </w:pPr>
            <w:r>
              <w:rPr>
                <w:b/>
                <w:bCs/>
                <w:color w:val="FFFFFF"/>
                <w:sz w:val="19"/>
                <w:szCs w:val="19"/>
                <w:rFonts w:ascii="Calibri" w:cs="Calibri" w:eastAsia="Calibri" w:hAnsi="Calibri"/>
              </w:rPr>
              <w:t xml:space="preserve">FR-ID</w:t>
            </w:r>
          </w:p>
        </w:tc>
        <w:tc>
          <w:tcPr>
            <w:tcW w:type="dxa" w:w="3931"/>
            <w:tcBorders>
              <w:top w:val="none" w:color="FFFFFF" w:sz="0"/>
              <w:left w:val="none" w:color="FFFFFF" w:sz="0"/>
              <w:bottom w:val="single" w:color="7C3AED" w:sz="6" w:space="1"/>
              <w:right w:val="none" w:color="FFFFFF" w:sz="0"/>
            </w:tcBorders>
            <w:shd w:fill="4C1D95" w:val="clear"/>
            <w:tcMar>
              <w:top w:type="dxa" w:w="80"/>
              <w:left w:type="dxa" w:w="120"/>
              <w:bottom w:type="dxa" w:w="80"/>
              <w:right w:type="dxa" w:w="120"/>
            </w:tcMar>
            <w:vAlign w:val="center"/>
          </w:tcPr>
          <w:p>
            <w:pPr>
              <w:spacing w:before="0" w:after="0"/>
              <w:jc w:val="left"/>
            </w:pPr>
            <w:r>
              <w:rPr>
                <w:b/>
                <w:bCs/>
                <w:color w:val="FFFFFF"/>
                <w:sz w:val="19"/>
                <w:szCs w:val="19"/>
                <w:rFonts w:ascii="Calibri" w:cs="Calibri" w:eastAsia="Calibri" w:hAnsi="Calibri"/>
              </w:rPr>
              <w:t xml:space="preserve">Requirement</w:t>
            </w:r>
          </w:p>
        </w:tc>
        <w:tc>
          <w:tcPr>
            <w:tcW w:type="dxa" w:w="2059"/>
            <w:tcBorders>
              <w:top w:val="none" w:color="FFFFFF" w:sz="0"/>
              <w:left w:val="none" w:color="FFFFFF" w:sz="0"/>
              <w:bottom w:val="single" w:color="7C3AED" w:sz="6" w:space="1"/>
              <w:right w:val="none" w:color="FFFFFF" w:sz="0"/>
            </w:tcBorders>
            <w:shd w:fill="4C1D95" w:val="clear"/>
            <w:tcMar>
              <w:top w:type="dxa" w:w="80"/>
              <w:left w:type="dxa" w:w="120"/>
              <w:bottom w:type="dxa" w:w="80"/>
              <w:right w:type="dxa" w:w="120"/>
            </w:tcMar>
            <w:vAlign w:val="center"/>
          </w:tcPr>
          <w:p>
            <w:pPr>
              <w:spacing w:before="0" w:after="0"/>
              <w:jc w:val="left"/>
            </w:pPr>
            <w:r>
              <w:rPr>
                <w:b/>
                <w:bCs/>
                <w:color w:val="FFFFFF"/>
                <w:sz w:val="19"/>
                <w:szCs w:val="19"/>
                <w:rFonts w:ascii="Calibri" w:cs="Calibri" w:eastAsia="Calibri" w:hAnsi="Calibri"/>
              </w:rPr>
              <w:t xml:space="preserve">Priority</w:t>
            </w:r>
          </w:p>
        </w:tc>
        <w:tc>
          <w:tcPr>
            <w:tcW w:type="dxa" w:w="2434"/>
            <w:tcBorders>
              <w:top w:val="none" w:color="FFFFFF" w:sz="0"/>
              <w:left w:val="none" w:color="FFFFFF" w:sz="0"/>
              <w:bottom w:val="single" w:color="7C3AED" w:sz="6" w:space="1"/>
              <w:right w:val="none" w:color="FFFFFF" w:sz="0"/>
            </w:tcBorders>
            <w:shd w:fill="4C1D95" w:val="clear"/>
            <w:tcMar>
              <w:top w:type="dxa" w:w="80"/>
              <w:left w:type="dxa" w:w="120"/>
              <w:bottom w:type="dxa" w:w="80"/>
              <w:right w:type="dxa" w:w="120"/>
            </w:tcMar>
            <w:vAlign w:val="center"/>
          </w:tcPr>
          <w:p>
            <w:pPr>
              <w:spacing w:before="0" w:after="0"/>
              <w:jc w:val="left"/>
            </w:pPr>
            <w:r>
              <w:rPr>
                <w:b/>
                <w:bCs/>
                <w:color w:val="FFFFFF"/>
                <w:sz w:val="19"/>
                <w:szCs w:val="19"/>
                <w:rFonts w:ascii="Calibri" w:cs="Calibri" w:eastAsia="Calibri" w:hAnsi="Calibri"/>
              </w:rPr>
              <w:t xml:space="preserve">Acceptance Criteria</w:t>
            </w:r>
          </w:p>
        </w:tc>
      </w:tr>
      <w:tr>
        <w:trPr>
          <w:cantSplit/>
        </w:trPr>
        <w:tc>
          <w:tcPr>
            <w:tcW w:type="dxa" w:w="936"/>
            <w:tcBorders>
              <w:top w:val="none" w:color="FFFFFF" w:sz="0"/>
              <w:left w:val="none" w:color="FFFFFF" w:sz="0"/>
              <w:bottom w:val="none" w:color="FFFFFF" w:sz="0"/>
              <w:right w:val="none" w:color="FFFFFF" w:sz="0"/>
            </w:tcBorders>
            <w:shd w:fill="EDE9FE"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FR-003</w:t>
            </w:r>
          </w:p>
        </w:tc>
        <w:tc>
          <w:tcPr>
            <w:tcW w:type="dxa" w:w="3931"/>
            <w:tcBorders>
              <w:top w:val="none" w:color="FFFFFF" w:sz="0"/>
              <w:left w:val="none" w:color="FFFFFF" w:sz="0"/>
              <w:bottom w:val="none" w:color="FFFFFF" w:sz="0"/>
              <w:right w:val="none" w:color="FFFFFF" w:sz="0"/>
            </w:tcBorders>
            <w:shd w:fill="EDE9FE"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The system SHALL allow Central Admin to add, edit, and deactivate products in the catalogue.</w:t>
            </w:r>
          </w:p>
        </w:tc>
        <w:tc>
          <w:tcPr>
            <w:tcW w:type="dxa" w:w="2059"/>
            <w:tcBorders>
              <w:top w:val="none" w:color="FFFFFF" w:sz="0"/>
              <w:left w:val="none" w:color="FFFFFF" w:sz="0"/>
              <w:bottom w:val="none" w:color="FFFFFF" w:sz="0"/>
              <w:right w:val="none" w:color="FFFFFF" w:sz="0"/>
            </w:tcBorders>
            <w:shd w:fill="EDE9FE"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Must Have</w:t>
            </w:r>
          </w:p>
        </w:tc>
        <w:tc>
          <w:tcPr>
            <w:tcW w:type="dxa" w:w="2434"/>
            <w:tcBorders>
              <w:top w:val="none" w:color="FFFFFF" w:sz="0"/>
              <w:left w:val="none" w:color="FFFFFF" w:sz="0"/>
              <w:bottom w:val="none" w:color="FFFFFF" w:sz="0"/>
              <w:right w:val="none" w:color="FFFFFF" w:sz="0"/>
            </w:tcBorders>
            <w:shd w:fill="EDE9FE"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Admin can create a new product, update its details, and deactivate it so it no longer appears to customers on the storefront.</w:t>
            </w:r>
          </w:p>
        </w:tc>
      </w:tr>
      <w:tr>
        <w:trPr>
          <w:cantSplit/>
        </w:trPr>
        <w:tc>
          <w:tcPr>
            <w:tcW w:type="dxa" w:w="936"/>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FR-004</w:t>
            </w:r>
          </w:p>
        </w:tc>
        <w:tc>
          <w:tcPr>
            <w:tcW w:type="dxa" w:w="3931"/>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The system SHALL allow Central Admin to set and update product prices and discount values.</w:t>
            </w:r>
          </w:p>
        </w:tc>
        <w:tc>
          <w:tcPr>
            <w:tcW w:type="dxa" w:w="2059"/>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Must Have</w:t>
            </w:r>
          </w:p>
        </w:tc>
        <w:tc>
          <w:tcPr>
            <w:tcW w:type="dxa" w:w="243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Updated price or discount is reflected on the product detail page immediately after the admin saves changes.</w:t>
            </w:r>
          </w:p>
        </w:tc>
      </w:tr>
      <w:tr>
        <w:trPr>
          <w:cantSplit/>
        </w:trPr>
        <w:tc>
          <w:tcPr>
            <w:tcW w:type="dxa" w:w="936"/>
            <w:tcBorders>
              <w:top w:val="none" w:color="FFFFFF" w:sz="0"/>
              <w:left w:val="none" w:color="FFFFFF" w:sz="0"/>
              <w:bottom w:val="none" w:color="FFFFFF" w:sz="0"/>
              <w:right w:val="none" w:color="FFFFFF" w:sz="0"/>
            </w:tcBorders>
            <w:shd w:fill="EDE9FE"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FR-005</w:t>
            </w:r>
          </w:p>
        </w:tc>
        <w:tc>
          <w:tcPr>
            <w:tcW w:type="dxa" w:w="3931"/>
            <w:tcBorders>
              <w:top w:val="none" w:color="FFFFFF" w:sz="0"/>
              <w:left w:val="none" w:color="FFFFFF" w:sz="0"/>
              <w:bottom w:val="none" w:color="FFFFFF" w:sz="0"/>
              <w:right w:val="none" w:color="FFFFFF" w:sz="0"/>
            </w:tcBorders>
            <w:shd w:fill="EDE9FE"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The system SHALL display detailed product information on each product page, including images, specifications, price, and customer reviews.</w:t>
            </w:r>
          </w:p>
        </w:tc>
        <w:tc>
          <w:tcPr>
            <w:tcW w:type="dxa" w:w="2059"/>
            <w:tcBorders>
              <w:top w:val="none" w:color="FFFFFF" w:sz="0"/>
              <w:left w:val="none" w:color="FFFFFF" w:sz="0"/>
              <w:bottom w:val="none" w:color="FFFFFF" w:sz="0"/>
              <w:right w:val="none" w:color="FFFFFF" w:sz="0"/>
            </w:tcBorders>
            <w:shd w:fill="EDE9FE"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Must Have</w:t>
            </w:r>
          </w:p>
        </w:tc>
        <w:tc>
          <w:tcPr>
            <w:tcW w:type="dxa" w:w="2434"/>
            <w:tcBorders>
              <w:top w:val="none" w:color="FFFFFF" w:sz="0"/>
              <w:left w:val="none" w:color="FFFFFF" w:sz="0"/>
              <w:bottom w:val="none" w:color="FFFFFF" w:sz="0"/>
              <w:right w:val="none" w:color="FFFFFF" w:sz="0"/>
            </w:tcBorders>
            <w:shd w:fill="EDE9FE"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Product detail page renders all four content types — images, description/specifications, price, and reviews — without error.</w:t>
            </w:r>
          </w:p>
        </w:tc>
      </w:tr>
      <w:tr>
        <w:trPr>
          <w:cantSplit/>
        </w:trPr>
        <w:tc>
          <w:tcPr>
            <w:tcW w:type="dxa" w:w="936"/>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FR-006</w:t>
            </w:r>
          </w:p>
        </w:tc>
        <w:tc>
          <w:tcPr>
            <w:tcW w:type="dxa" w:w="3931"/>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The system SHALL integrate with SAP ERP to migrate and synchronise product catalogue data into the platform.</w:t>
            </w:r>
          </w:p>
        </w:tc>
        <w:tc>
          <w:tcPr>
            <w:tcW w:type="dxa" w:w="2059"/>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Must Have</w:t>
            </w:r>
          </w:p>
        </w:tc>
        <w:tc>
          <w:tcPr>
            <w:tcW w:type="dxa" w:w="243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Product data from SAP is successfully imported and visible in the ShopEase catalogue following initial migration.</w:t>
            </w:r>
          </w:p>
        </w:tc>
      </w:tr>
      <w:tr>
        <w:trPr>
          <w:cantSplit/>
        </w:trPr>
        <w:tc>
          <w:tcPr>
            <w:tcW w:type="dxa" w:w="936"/>
            <w:tcBorders>
              <w:top w:val="none" w:color="FFFFFF" w:sz="0"/>
              <w:left w:val="none" w:color="FFFFFF" w:sz="0"/>
              <w:bottom w:val="none" w:color="FFFFFF" w:sz="0"/>
              <w:right w:val="none" w:color="FFFFFF" w:sz="0"/>
            </w:tcBorders>
            <w:shd w:fill="EDE9FE"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FR-007</w:t>
            </w:r>
          </w:p>
        </w:tc>
        <w:tc>
          <w:tcPr>
            <w:tcW w:type="dxa" w:w="3931"/>
            <w:tcBorders>
              <w:top w:val="none" w:color="FFFFFF" w:sz="0"/>
              <w:left w:val="none" w:color="FFFFFF" w:sz="0"/>
              <w:bottom w:val="none" w:color="FFFFFF" w:sz="0"/>
              <w:right w:val="none" w:color="FFFFFF" w:sz="0"/>
            </w:tcBorders>
            <w:shd w:fill="EDE9FE"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The system SHALL sync inventory levels with SAP ERP in real time.</w:t>
            </w:r>
          </w:p>
        </w:tc>
        <w:tc>
          <w:tcPr>
            <w:tcW w:type="dxa" w:w="2059"/>
            <w:tcBorders>
              <w:top w:val="none" w:color="FFFFFF" w:sz="0"/>
              <w:left w:val="none" w:color="FFFFFF" w:sz="0"/>
              <w:bottom w:val="none" w:color="FFFFFF" w:sz="0"/>
              <w:right w:val="none" w:color="FFFFFF" w:sz="0"/>
            </w:tcBorders>
            <w:shd w:fill="EDE9FE"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Must Have</w:t>
            </w:r>
          </w:p>
        </w:tc>
        <w:tc>
          <w:tcPr>
            <w:tcW w:type="dxa" w:w="2434"/>
            <w:tcBorders>
              <w:top w:val="none" w:color="FFFFFF" w:sz="0"/>
              <w:left w:val="none" w:color="FFFFFF" w:sz="0"/>
              <w:bottom w:val="none" w:color="FFFFFF" w:sz="0"/>
              <w:right w:val="none" w:color="FFFFFF" w:sz="0"/>
            </w:tcBorders>
            <w:shd w:fill="EDE9FE"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Out-of-stock status is reflected on the platform within 60 seconds of an inventory update occurring in SAP.</w:t>
            </w:r>
          </w:p>
        </w:tc>
      </w:tr>
      <w:tr>
        <w:trPr>
          <w:cantSplit/>
        </w:trPr>
        <w:tc>
          <w:tcPr>
            <w:tcW w:type="dxa" w:w="936"/>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FR-008</w:t>
            </w:r>
          </w:p>
        </w:tc>
        <w:tc>
          <w:tcPr>
            <w:tcW w:type="dxa" w:w="3931"/>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The system SHALL sync product information from SAP ERP via a daily batch process.</w:t>
            </w:r>
          </w:p>
        </w:tc>
        <w:tc>
          <w:tcPr>
            <w:tcW w:type="dxa" w:w="2059"/>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Must Have</w:t>
            </w:r>
          </w:p>
        </w:tc>
        <w:tc>
          <w:tcPr>
            <w:tcW w:type="dxa" w:w="243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The product information batch sync from SAP completes successfully once every 24 hours with no data loss or duplication.</w:t>
            </w:r>
          </w:p>
        </w:tc>
      </w:tr>
    </w:tbl>
    <w:p>
      <w:pPr>
        <w:spacing w:before="0" w:after="160"/>
      </w:pPr>
      <w:r>
        <w:t xml:space="preserve"/>
      </w:r>
    </w:p>
    <w:p>
      <w:pPr>
        <w:spacing w:before="0" w:after="120" w:line="310" w:lineRule="auto"/>
      </w:pPr>
      <w:r>
        <w:rPr>
          <w:color w:val="1A0533"/>
          <w:sz w:val="21"/>
          <w:szCs w:val="21"/>
          <w:rFonts w:ascii="Calibri" w:cs="Calibri" w:eastAsia="Calibri" w:hAnsi="Calibri"/>
        </w:rPr>
        <w:t xml:space="preserve">&gt; </w:t>
      </w:r>
      <w:r>
        <w:rPr>
          <w:b/>
          <w:bCs/>
          <w:color w:val="1A0533"/>
          <w:sz w:val="21"/>
          <w:szCs w:val="21"/>
          <w:rFonts w:ascii="Calibri" w:cs="Calibri" w:eastAsia="Calibri" w:hAnsi="Calibri"/>
        </w:rPr>
        <w:t xml:space="preserve">Note on FR-006 / FR-007 / FR-008:</w:t>
      </w:r>
      <w:r>
        <w:rPr>
          <w:color w:val="1A0533"/>
          <w:sz w:val="21"/>
          <w:szCs w:val="21"/>
          <w:rFonts w:ascii="Calibri" w:cs="Calibri" w:eastAsia="Calibri" w:hAnsi="Calibri"/>
        </w:rPr>
        <w:t xml:space="preserve"> Two distinct integration patterns are in use — real-time inventory sync (≤60 seconds) and daily batch product information sync. These must be treated as separate integration pipelines in the technical design to avoid conflicts.</w:t>
      </w:r>
    </w:p>
    <w:p>
      <w:pPr>
        <w:pBdr>
          <w:bottom w:val="single" w:color="C4B5FD" w:sz="4" w:space="1"/>
        </w:pBdr>
        <w:spacing w:before="80" w:after="80"/>
      </w:pPr>
      <w:r>
        <w:rPr>
          <w:rFonts w:ascii="Calibri" w:cs="Calibri" w:eastAsia="Calibri" w:hAnsi="Calibri"/>
        </w:rPr>
      </w:r>
    </w:p>
    <w:p>
      <w:pPr>
        <w:pStyle w:val="Heading2"/>
        <w:pBdr>
          <w:left w:val="single" w:color="5B21B6" w:sz="14" w:space="6"/>
        </w:pBdr>
        <w:spacing w:before="240" w:after="80"/>
      </w:pPr>
      <w:r>
        <w:rPr>
          <w:b/>
          <w:bCs/>
          <w:color w:val="7C3AED"/>
          <w:sz w:val="24"/>
          <w:szCs w:val="24"/>
          <w:rFonts w:ascii="Calibri" w:cs="Calibri" w:eastAsia="Calibri" w:hAnsi="Calibri"/>
        </w:rPr>
        <w:t xml:space="preserve">4.3 Search &amp; Discovery</w:t>
      </w:r>
    </w:p>
    <w:p>
      <w:pPr>
        <w:spacing w:before="0" w:after="120" w:line="310" w:lineRule="auto"/>
      </w:pPr>
      <w:r>
        <w:rPr>
          <w:color w:val="1A0533"/>
          <w:sz w:val="21"/>
          <w:szCs w:val="21"/>
          <w:rFonts w:ascii="Calibri" w:cs="Calibri" w:eastAsia="Calibri" w:hAnsi="Calibri"/>
        </w:rPr>
        <w:t xml:space="preserve">The Search &amp; Discovery module enables customers to efficiently locate products on ShopEase through keyword search, category browsing, and result filtering. This module directly impacts conversion rates and is a critical component of the customer shopping experience.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3931"/>
        <w:gridCol w:w="2059"/>
        <w:gridCol w:w="2434"/>
      </w:tblGrid>
      <w:tr>
        <w:trPr>
          <w:cantSplit/>
        </w:trPr>
        <w:tc>
          <w:tcPr>
            <w:tcW w:type="dxa" w:w="936"/>
            <w:tcBorders>
              <w:top w:val="none" w:color="FFFFFF" w:sz="0"/>
              <w:left w:val="none" w:color="FFFFFF" w:sz="0"/>
              <w:bottom w:val="single" w:color="7C3AED" w:sz="6" w:space="1"/>
              <w:right w:val="none" w:color="FFFFFF" w:sz="0"/>
            </w:tcBorders>
            <w:shd w:fill="4C1D95" w:val="clear"/>
            <w:tcMar>
              <w:top w:type="dxa" w:w="80"/>
              <w:left w:type="dxa" w:w="120"/>
              <w:bottom w:type="dxa" w:w="80"/>
              <w:right w:type="dxa" w:w="120"/>
            </w:tcMar>
            <w:vAlign w:val="center"/>
          </w:tcPr>
          <w:p>
            <w:pPr>
              <w:spacing w:before="0" w:after="0"/>
              <w:jc w:val="left"/>
            </w:pPr>
            <w:r>
              <w:rPr>
                <w:b/>
                <w:bCs/>
                <w:color w:val="FFFFFF"/>
                <w:sz w:val="19"/>
                <w:szCs w:val="19"/>
                <w:rFonts w:ascii="Calibri" w:cs="Calibri" w:eastAsia="Calibri" w:hAnsi="Calibri"/>
              </w:rPr>
              <w:t xml:space="preserve">FR-ID</w:t>
            </w:r>
          </w:p>
        </w:tc>
        <w:tc>
          <w:tcPr>
            <w:tcW w:type="dxa" w:w="3931"/>
            <w:tcBorders>
              <w:top w:val="none" w:color="FFFFFF" w:sz="0"/>
              <w:left w:val="none" w:color="FFFFFF" w:sz="0"/>
              <w:bottom w:val="single" w:color="7C3AED" w:sz="6" w:space="1"/>
              <w:right w:val="none" w:color="FFFFFF" w:sz="0"/>
            </w:tcBorders>
            <w:shd w:fill="4C1D95" w:val="clear"/>
            <w:tcMar>
              <w:top w:type="dxa" w:w="80"/>
              <w:left w:type="dxa" w:w="120"/>
              <w:bottom w:type="dxa" w:w="80"/>
              <w:right w:type="dxa" w:w="120"/>
            </w:tcMar>
            <w:vAlign w:val="center"/>
          </w:tcPr>
          <w:p>
            <w:pPr>
              <w:spacing w:before="0" w:after="0"/>
              <w:jc w:val="left"/>
            </w:pPr>
            <w:r>
              <w:rPr>
                <w:b/>
                <w:bCs/>
                <w:color w:val="FFFFFF"/>
                <w:sz w:val="19"/>
                <w:szCs w:val="19"/>
                <w:rFonts w:ascii="Calibri" w:cs="Calibri" w:eastAsia="Calibri" w:hAnsi="Calibri"/>
              </w:rPr>
              <w:t xml:space="preserve">Requirement</w:t>
            </w:r>
          </w:p>
        </w:tc>
        <w:tc>
          <w:tcPr>
            <w:tcW w:type="dxa" w:w="2059"/>
            <w:tcBorders>
              <w:top w:val="none" w:color="FFFFFF" w:sz="0"/>
              <w:left w:val="none" w:color="FFFFFF" w:sz="0"/>
              <w:bottom w:val="single" w:color="7C3AED" w:sz="6" w:space="1"/>
              <w:right w:val="none" w:color="FFFFFF" w:sz="0"/>
            </w:tcBorders>
            <w:shd w:fill="4C1D95" w:val="clear"/>
            <w:tcMar>
              <w:top w:type="dxa" w:w="80"/>
              <w:left w:type="dxa" w:w="120"/>
              <w:bottom w:type="dxa" w:w="80"/>
              <w:right w:type="dxa" w:w="120"/>
            </w:tcMar>
            <w:vAlign w:val="center"/>
          </w:tcPr>
          <w:p>
            <w:pPr>
              <w:spacing w:before="0" w:after="0"/>
              <w:jc w:val="left"/>
            </w:pPr>
            <w:r>
              <w:rPr>
                <w:b/>
                <w:bCs/>
                <w:color w:val="FFFFFF"/>
                <w:sz w:val="19"/>
                <w:szCs w:val="19"/>
                <w:rFonts w:ascii="Calibri" w:cs="Calibri" w:eastAsia="Calibri" w:hAnsi="Calibri"/>
              </w:rPr>
              <w:t xml:space="preserve">Priority</w:t>
            </w:r>
          </w:p>
        </w:tc>
        <w:tc>
          <w:tcPr>
            <w:tcW w:type="dxa" w:w="2434"/>
            <w:tcBorders>
              <w:top w:val="none" w:color="FFFFFF" w:sz="0"/>
              <w:left w:val="none" w:color="FFFFFF" w:sz="0"/>
              <w:bottom w:val="single" w:color="7C3AED" w:sz="6" w:space="1"/>
              <w:right w:val="none" w:color="FFFFFF" w:sz="0"/>
            </w:tcBorders>
            <w:shd w:fill="4C1D95" w:val="clear"/>
            <w:tcMar>
              <w:top w:type="dxa" w:w="80"/>
              <w:left w:type="dxa" w:w="120"/>
              <w:bottom w:type="dxa" w:w="80"/>
              <w:right w:type="dxa" w:w="120"/>
            </w:tcMar>
            <w:vAlign w:val="center"/>
          </w:tcPr>
          <w:p>
            <w:pPr>
              <w:spacing w:before="0" w:after="0"/>
              <w:jc w:val="left"/>
            </w:pPr>
            <w:r>
              <w:rPr>
                <w:b/>
                <w:bCs/>
                <w:color w:val="FFFFFF"/>
                <w:sz w:val="19"/>
                <w:szCs w:val="19"/>
                <w:rFonts w:ascii="Calibri" w:cs="Calibri" w:eastAsia="Calibri" w:hAnsi="Calibri"/>
              </w:rPr>
              <w:t xml:space="preserve">Acceptance Criteria</w:t>
            </w:r>
          </w:p>
        </w:tc>
      </w:tr>
      <w:tr>
        <w:trPr>
          <w:cantSplit/>
        </w:trPr>
        <w:tc>
          <w:tcPr>
            <w:tcW w:type="dxa" w:w="936"/>
            <w:tcBorders>
              <w:top w:val="none" w:color="FFFFFF" w:sz="0"/>
              <w:left w:val="none" w:color="FFFFFF" w:sz="0"/>
              <w:bottom w:val="none" w:color="FFFFFF" w:sz="0"/>
              <w:right w:val="none" w:color="FFFFFF" w:sz="0"/>
            </w:tcBorders>
            <w:shd w:fill="EDE9FE"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FR-009</w:t>
            </w:r>
          </w:p>
        </w:tc>
        <w:tc>
          <w:tcPr>
            <w:tcW w:type="dxa" w:w="3931"/>
            <w:tcBorders>
              <w:top w:val="none" w:color="FFFFFF" w:sz="0"/>
              <w:left w:val="none" w:color="FFFFFF" w:sz="0"/>
              <w:bottom w:val="none" w:color="FFFFFF" w:sz="0"/>
              <w:right w:val="none" w:color="FFFFFF" w:sz="0"/>
            </w:tcBorders>
            <w:shd w:fill="EDE9FE"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The system SHALL allow customers to search for products by product name, brand, or category.</w:t>
            </w:r>
          </w:p>
        </w:tc>
        <w:tc>
          <w:tcPr>
            <w:tcW w:type="dxa" w:w="2059"/>
            <w:tcBorders>
              <w:top w:val="none" w:color="FFFFFF" w:sz="0"/>
              <w:left w:val="none" w:color="FFFFFF" w:sz="0"/>
              <w:bottom w:val="none" w:color="FFFFFF" w:sz="0"/>
              <w:right w:val="none" w:color="FFFFFF" w:sz="0"/>
            </w:tcBorders>
            <w:shd w:fill="EDE9FE"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Must Have</w:t>
            </w:r>
          </w:p>
        </w:tc>
        <w:tc>
          <w:tcPr>
            <w:tcW w:type="dxa" w:w="2434"/>
            <w:tcBorders>
              <w:top w:val="none" w:color="FFFFFF" w:sz="0"/>
              <w:left w:val="none" w:color="FFFFFF" w:sz="0"/>
              <w:bottom w:val="none" w:color="FFFFFF" w:sz="0"/>
              <w:right w:val="none" w:color="FFFFFF" w:sz="0"/>
            </w:tcBorders>
            <w:shd w:fill="EDE9FE"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Search returns relevant, non-empty results when queried by each of the three supported dimensions independently.</w:t>
            </w:r>
          </w:p>
        </w:tc>
      </w:tr>
      <w:tr>
        <w:trPr>
          <w:cantSplit/>
        </w:trPr>
        <w:tc>
          <w:tcPr>
            <w:tcW w:type="dxa" w:w="936"/>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FR-010</w:t>
            </w:r>
          </w:p>
        </w:tc>
        <w:tc>
          <w:tcPr>
            <w:tcW w:type="dxa" w:w="3931"/>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The system SHALL allow customers to filter search results by price range, brand, ratings, and estimated delivery time.</w:t>
            </w:r>
          </w:p>
        </w:tc>
        <w:tc>
          <w:tcPr>
            <w:tcW w:type="dxa" w:w="2059"/>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Must Have</w:t>
            </w:r>
          </w:p>
        </w:tc>
        <w:tc>
          <w:tcPr>
            <w:tcW w:type="dxa" w:w="243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Applying any single filter or combination of filters updates the displayed results to show only matching products.</w:t>
            </w:r>
          </w:p>
        </w:tc>
      </w:tr>
      <w:tr>
        <w:trPr>
          <w:cantSplit/>
        </w:trPr>
        <w:tc>
          <w:tcPr>
            <w:tcW w:type="dxa" w:w="936"/>
            <w:tcBorders>
              <w:top w:val="none" w:color="FFFFFF" w:sz="0"/>
              <w:left w:val="none" w:color="FFFFFF" w:sz="0"/>
              <w:bottom w:val="none" w:color="FFFFFF" w:sz="0"/>
              <w:right w:val="none" w:color="FFFFFF" w:sz="0"/>
            </w:tcBorders>
            <w:shd w:fill="EDE9FE"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FR-011</w:t>
            </w:r>
          </w:p>
        </w:tc>
        <w:tc>
          <w:tcPr>
            <w:tcW w:type="dxa" w:w="3931"/>
            <w:tcBorders>
              <w:top w:val="none" w:color="FFFFFF" w:sz="0"/>
              <w:left w:val="none" w:color="FFFFFF" w:sz="0"/>
              <w:bottom w:val="none" w:color="FFFFFF" w:sz="0"/>
              <w:right w:val="none" w:color="FFFFFF" w:sz="0"/>
            </w:tcBorders>
            <w:shd w:fill="EDE9FE"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The system SHALL allow customers to save products to a personal wishlist for later purchase.</w:t>
            </w:r>
          </w:p>
        </w:tc>
        <w:tc>
          <w:tcPr>
            <w:tcW w:type="dxa" w:w="2059"/>
            <w:tcBorders>
              <w:top w:val="none" w:color="FFFFFF" w:sz="0"/>
              <w:left w:val="none" w:color="FFFFFF" w:sz="0"/>
              <w:bottom w:val="none" w:color="FFFFFF" w:sz="0"/>
              <w:right w:val="none" w:color="FFFFFF" w:sz="0"/>
            </w:tcBorders>
            <w:shd w:fill="EDE9FE"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Must Have</w:t>
            </w:r>
          </w:p>
        </w:tc>
        <w:tc>
          <w:tcPr>
            <w:tcW w:type="dxa" w:w="2434"/>
            <w:tcBorders>
              <w:top w:val="none" w:color="FFFFFF" w:sz="0"/>
              <w:left w:val="none" w:color="FFFFFF" w:sz="0"/>
              <w:bottom w:val="none" w:color="FFFFFF" w:sz="0"/>
              <w:right w:val="none" w:color="FFFFFF" w:sz="0"/>
            </w:tcBorders>
            <w:shd w:fill="EDE9FE"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Customer can add a product to their wishlist and retrieve all saved items in a subsequent login session.</w:t>
            </w:r>
          </w:p>
        </w:tc>
      </w:tr>
    </w:tbl>
    <w:p>
      <w:pPr>
        <w:spacing w:before="0" w:after="160"/>
      </w:pPr>
      <w:r>
        <w:t xml:space="preserve"/>
      </w:r>
    </w:p>
    <w:p>
      <w:pPr>
        <w:pBdr>
          <w:bottom w:val="single" w:color="C4B5FD" w:sz="4" w:space="1"/>
        </w:pBdr>
        <w:spacing w:before="80" w:after="80"/>
      </w:pPr>
      <w:r>
        <w:rPr>
          <w:rFonts w:ascii="Calibri" w:cs="Calibri" w:eastAsia="Calibri" w:hAnsi="Calibri"/>
        </w:rPr>
      </w:r>
    </w:p>
    <w:p>
      <w:pPr>
        <w:pStyle w:val="Heading2"/>
        <w:pBdr>
          <w:left w:val="single" w:color="5B21B6" w:sz="14" w:space="6"/>
        </w:pBdr>
        <w:spacing w:before="240" w:after="80"/>
      </w:pPr>
      <w:r>
        <w:rPr>
          <w:b/>
          <w:bCs/>
          <w:color w:val="7C3AED"/>
          <w:sz w:val="24"/>
          <w:szCs w:val="24"/>
          <w:rFonts w:ascii="Calibri" w:cs="Calibri" w:eastAsia="Calibri" w:hAnsi="Calibri"/>
        </w:rPr>
        <w:t xml:space="preserve">4.4 Shopping Cart &amp; Checkout</w:t>
      </w:r>
    </w:p>
    <w:p>
      <w:pPr>
        <w:spacing w:before="0" w:after="120" w:line="310" w:lineRule="auto"/>
      </w:pPr>
      <w:r>
        <w:rPr>
          <w:color w:val="1A0533"/>
          <w:sz w:val="21"/>
          <w:szCs w:val="21"/>
          <w:rFonts w:ascii="Calibri" w:cs="Calibri" w:eastAsia="Calibri" w:hAnsi="Calibri"/>
        </w:rPr>
        <w:t xml:space="preserve">This module covers the end-to-end process of adding products to a cart, managing the cart, and completing the checkout flow including address selection. A seamless cart and checkout experience is essential to minimising drop-off and maximising completed orders on ShopEase.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3931"/>
        <w:gridCol w:w="2059"/>
        <w:gridCol w:w="2434"/>
      </w:tblGrid>
      <w:tr>
        <w:trPr>
          <w:cantSplit/>
        </w:trPr>
        <w:tc>
          <w:tcPr>
            <w:tcW w:type="dxa" w:w="936"/>
            <w:tcBorders>
              <w:top w:val="none" w:color="FFFFFF" w:sz="0"/>
              <w:left w:val="none" w:color="FFFFFF" w:sz="0"/>
              <w:bottom w:val="single" w:color="7C3AED" w:sz="6" w:space="1"/>
              <w:right w:val="none" w:color="FFFFFF" w:sz="0"/>
            </w:tcBorders>
            <w:shd w:fill="4C1D95" w:val="clear"/>
            <w:tcMar>
              <w:top w:type="dxa" w:w="80"/>
              <w:left w:type="dxa" w:w="120"/>
              <w:bottom w:type="dxa" w:w="80"/>
              <w:right w:type="dxa" w:w="120"/>
            </w:tcMar>
            <w:vAlign w:val="center"/>
          </w:tcPr>
          <w:p>
            <w:pPr>
              <w:spacing w:before="0" w:after="0"/>
              <w:jc w:val="left"/>
            </w:pPr>
            <w:r>
              <w:rPr>
                <w:b/>
                <w:bCs/>
                <w:color w:val="FFFFFF"/>
                <w:sz w:val="19"/>
                <w:szCs w:val="19"/>
                <w:rFonts w:ascii="Calibri" w:cs="Calibri" w:eastAsia="Calibri" w:hAnsi="Calibri"/>
              </w:rPr>
              <w:t xml:space="preserve">FR-ID</w:t>
            </w:r>
          </w:p>
        </w:tc>
        <w:tc>
          <w:tcPr>
            <w:tcW w:type="dxa" w:w="3931"/>
            <w:tcBorders>
              <w:top w:val="none" w:color="FFFFFF" w:sz="0"/>
              <w:left w:val="none" w:color="FFFFFF" w:sz="0"/>
              <w:bottom w:val="single" w:color="7C3AED" w:sz="6" w:space="1"/>
              <w:right w:val="none" w:color="FFFFFF" w:sz="0"/>
            </w:tcBorders>
            <w:shd w:fill="4C1D95" w:val="clear"/>
            <w:tcMar>
              <w:top w:type="dxa" w:w="80"/>
              <w:left w:type="dxa" w:w="120"/>
              <w:bottom w:type="dxa" w:w="80"/>
              <w:right w:type="dxa" w:w="120"/>
            </w:tcMar>
            <w:vAlign w:val="center"/>
          </w:tcPr>
          <w:p>
            <w:pPr>
              <w:spacing w:before="0" w:after="0"/>
              <w:jc w:val="left"/>
            </w:pPr>
            <w:r>
              <w:rPr>
                <w:b/>
                <w:bCs/>
                <w:color w:val="FFFFFF"/>
                <w:sz w:val="19"/>
                <w:szCs w:val="19"/>
                <w:rFonts w:ascii="Calibri" w:cs="Calibri" w:eastAsia="Calibri" w:hAnsi="Calibri"/>
              </w:rPr>
              <w:t xml:space="preserve">Requirement</w:t>
            </w:r>
          </w:p>
        </w:tc>
        <w:tc>
          <w:tcPr>
            <w:tcW w:type="dxa" w:w="2059"/>
            <w:tcBorders>
              <w:top w:val="none" w:color="FFFFFF" w:sz="0"/>
              <w:left w:val="none" w:color="FFFFFF" w:sz="0"/>
              <w:bottom w:val="single" w:color="7C3AED" w:sz="6" w:space="1"/>
              <w:right w:val="none" w:color="FFFFFF" w:sz="0"/>
            </w:tcBorders>
            <w:shd w:fill="4C1D95" w:val="clear"/>
            <w:tcMar>
              <w:top w:type="dxa" w:w="80"/>
              <w:left w:type="dxa" w:w="120"/>
              <w:bottom w:type="dxa" w:w="80"/>
              <w:right w:type="dxa" w:w="120"/>
            </w:tcMar>
            <w:vAlign w:val="center"/>
          </w:tcPr>
          <w:p>
            <w:pPr>
              <w:spacing w:before="0" w:after="0"/>
              <w:jc w:val="left"/>
            </w:pPr>
            <w:r>
              <w:rPr>
                <w:b/>
                <w:bCs/>
                <w:color w:val="FFFFFF"/>
                <w:sz w:val="19"/>
                <w:szCs w:val="19"/>
                <w:rFonts w:ascii="Calibri" w:cs="Calibri" w:eastAsia="Calibri" w:hAnsi="Calibri"/>
              </w:rPr>
              <w:t xml:space="preserve">Priority</w:t>
            </w:r>
          </w:p>
        </w:tc>
        <w:tc>
          <w:tcPr>
            <w:tcW w:type="dxa" w:w="2434"/>
            <w:tcBorders>
              <w:top w:val="none" w:color="FFFFFF" w:sz="0"/>
              <w:left w:val="none" w:color="FFFFFF" w:sz="0"/>
              <w:bottom w:val="single" w:color="7C3AED" w:sz="6" w:space="1"/>
              <w:right w:val="none" w:color="FFFFFF" w:sz="0"/>
            </w:tcBorders>
            <w:shd w:fill="4C1D95" w:val="clear"/>
            <w:tcMar>
              <w:top w:type="dxa" w:w="80"/>
              <w:left w:type="dxa" w:w="120"/>
              <w:bottom w:type="dxa" w:w="80"/>
              <w:right w:type="dxa" w:w="120"/>
            </w:tcMar>
            <w:vAlign w:val="center"/>
          </w:tcPr>
          <w:p>
            <w:pPr>
              <w:spacing w:before="0" w:after="0"/>
              <w:jc w:val="left"/>
            </w:pPr>
            <w:r>
              <w:rPr>
                <w:b/>
                <w:bCs/>
                <w:color w:val="FFFFFF"/>
                <w:sz w:val="19"/>
                <w:szCs w:val="19"/>
                <w:rFonts w:ascii="Calibri" w:cs="Calibri" w:eastAsia="Calibri" w:hAnsi="Calibri"/>
              </w:rPr>
              <w:t xml:space="preserve">Acceptance Criteria</w:t>
            </w:r>
          </w:p>
        </w:tc>
      </w:tr>
      <w:tr>
        <w:trPr>
          <w:cantSplit/>
        </w:trPr>
        <w:tc>
          <w:tcPr>
            <w:tcW w:type="dxa" w:w="936"/>
            <w:tcBorders>
              <w:top w:val="none" w:color="FFFFFF" w:sz="0"/>
              <w:left w:val="none" w:color="FFFFFF" w:sz="0"/>
              <w:bottom w:val="none" w:color="FFFFFF" w:sz="0"/>
              <w:right w:val="none" w:color="FFFFFF" w:sz="0"/>
            </w:tcBorders>
            <w:shd w:fill="EDE9FE"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FR-012</w:t>
            </w:r>
          </w:p>
        </w:tc>
        <w:tc>
          <w:tcPr>
            <w:tcW w:type="dxa" w:w="3931"/>
            <w:tcBorders>
              <w:top w:val="none" w:color="FFFFFF" w:sz="0"/>
              <w:left w:val="none" w:color="FFFFFF" w:sz="0"/>
              <w:bottom w:val="none" w:color="FFFFFF" w:sz="0"/>
              <w:right w:val="none" w:color="FFFFFF" w:sz="0"/>
            </w:tcBorders>
            <w:shd w:fill="EDE9FE"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The system SHALL allow customers to add one or more products to a shopping cart.</w:t>
            </w:r>
          </w:p>
        </w:tc>
        <w:tc>
          <w:tcPr>
            <w:tcW w:type="dxa" w:w="2059"/>
            <w:tcBorders>
              <w:top w:val="none" w:color="FFFFFF" w:sz="0"/>
              <w:left w:val="none" w:color="FFFFFF" w:sz="0"/>
              <w:bottom w:val="none" w:color="FFFFFF" w:sz="0"/>
              <w:right w:val="none" w:color="FFFFFF" w:sz="0"/>
            </w:tcBorders>
            <w:shd w:fill="EDE9FE"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Must Have</w:t>
            </w:r>
          </w:p>
        </w:tc>
        <w:tc>
          <w:tcPr>
            <w:tcW w:type="dxa" w:w="2434"/>
            <w:tcBorders>
              <w:top w:val="none" w:color="FFFFFF" w:sz="0"/>
              <w:left w:val="none" w:color="FFFFFF" w:sz="0"/>
              <w:bottom w:val="none" w:color="FFFFFF" w:sz="0"/>
              <w:right w:val="none" w:color="FFFFFF" w:sz="0"/>
            </w:tcBorders>
            <w:shd w:fill="EDE9FE"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Selected products appear in the cart with correct SKU, quantities, and prices reflected accurately.</w:t>
            </w:r>
          </w:p>
        </w:tc>
      </w:tr>
      <w:tr>
        <w:trPr>
          <w:cantSplit/>
        </w:trPr>
        <w:tc>
          <w:tcPr>
            <w:tcW w:type="dxa" w:w="936"/>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FR-013</w:t>
            </w:r>
          </w:p>
        </w:tc>
        <w:tc>
          <w:tcPr>
            <w:tcW w:type="dxa" w:w="3931"/>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The system SHALL allow customers to add a new delivery address and select it as the active delivery address during checkout.</w:t>
            </w:r>
          </w:p>
        </w:tc>
        <w:tc>
          <w:tcPr>
            <w:tcW w:type="dxa" w:w="2059"/>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Must Have</w:t>
            </w:r>
          </w:p>
        </w:tc>
        <w:tc>
          <w:tcPr>
            <w:tcW w:type="dxa" w:w="243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Customer can save a new address and successfully designate it as the delivery address before placing an order.</w:t>
            </w:r>
          </w:p>
        </w:tc>
      </w:tr>
    </w:tbl>
    <w:p>
      <w:pPr>
        <w:spacing w:before="0" w:after="160"/>
      </w:pPr>
      <w:r>
        <w:t xml:space="preserve"/>
      </w:r>
    </w:p>
    <w:p>
      <w:pPr>
        <w:pBdr>
          <w:bottom w:val="single" w:color="C4B5FD" w:sz="4" w:space="1"/>
        </w:pBdr>
        <w:spacing w:before="80" w:after="80"/>
      </w:pPr>
      <w:r>
        <w:rPr>
          <w:rFonts w:ascii="Calibri" w:cs="Calibri" w:eastAsia="Calibri" w:hAnsi="Calibri"/>
        </w:rPr>
      </w:r>
    </w:p>
    <w:p>
      <w:pPr>
        <w:pStyle w:val="Heading2"/>
        <w:pBdr>
          <w:left w:val="single" w:color="5B21B6" w:sz="14" w:space="6"/>
        </w:pBdr>
        <w:spacing w:before="240" w:after="80"/>
      </w:pPr>
      <w:r>
        <w:rPr>
          <w:b/>
          <w:bCs/>
          <w:color w:val="7C3AED"/>
          <w:sz w:val="24"/>
          <w:szCs w:val="24"/>
          <w:rFonts w:ascii="Calibri" w:cs="Calibri" w:eastAsia="Calibri" w:hAnsi="Calibri"/>
        </w:rPr>
        <w:t xml:space="preserve">4.5 Payment Processing</w:t>
      </w:r>
    </w:p>
    <w:p>
      <w:pPr>
        <w:spacing w:before="0" w:after="120" w:line="310" w:lineRule="auto"/>
      </w:pPr>
      <w:r>
        <w:rPr>
          <w:color w:val="1A0533"/>
          <w:sz w:val="21"/>
          <w:szCs w:val="21"/>
          <w:rFonts w:ascii="Calibri" w:cs="Calibri" w:eastAsia="Calibri" w:hAnsi="Calibri"/>
        </w:rPr>
        <w:t xml:space="preserve">The Payment Processing module handles all transaction types supported at ShopEase checkout, including standard payment methods and EMI financing options. Supporting a broad range of payment methods — including No-Cost EMI via Bajaj Finance API — is critical to serving RetailCorp's diverse Indian customer 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3931"/>
        <w:gridCol w:w="2059"/>
        <w:gridCol w:w="2434"/>
      </w:tblGrid>
      <w:tr>
        <w:trPr>
          <w:cantSplit/>
        </w:trPr>
        <w:tc>
          <w:tcPr>
            <w:tcW w:type="dxa" w:w="936"/>
            <w:tcBorders>
              <w:top w:val="none" w:color="FFFFFF" w:sz="0"/>
              <w:left w:val="none" w:color="FFFFFF" w:sz="0"/>
              <w:bottom w:val="single" w:color="7C3AED" w:sz="6" w:space="1"/>
              <w:right w:val="none" w:color="FFFFFF" w:sz="0"/>
            </w:tcBorders>
            <w:shd w:fill="4C1D95" w:val="clear"/>
            <w:tcMar>
              <w:top w:type="dxa" w:w="80"/>
              <w:left w:type="dxa" w:w="120"/>
              <w:bottom w:type="dxa" w:w="80"/>
              <w:right w:type="dxa" w:w="120"/>
            </w:tcMar>
            <w:vAlign w:val="center"/>
          </w:tcPr>
          <w:p>
            <w:pPr>
              <w:spacing w:before="0" w:after="0"/>
              <w:jc w:val="left"/>
            </w:pPr>
            <w:r>
              <w:rPr>
                <w:b/>
                <w:bCs/>
                <w:color w:val="FFFFFF"/>
                <w:sz w:val="19"/>
                <w:szCs w:val="19"/>
                <w:rFonts w:ascii="Calibri" w:cs="Calibri" w:eastAsia="Calibri" w:hAnsi="Calibri"/>
              </w:rPr>
              <w:t xml:space="preserve">FR-ID</w:t>
            </w:r>
          </w:p>
        </w:tc>
        <w:tc>
          <w:tcPr>
            <w:tcW w:type="dxa" w:w="3931"/>
            <w:tcBorders>
              <w:top w:val="none" w:color="FFFFFF" w:sz="0"/>
              <w:left w:val="none" w:color="FFFFFF" w:sz="0"/>
              <w:bottom w:val="single" w:color="7C3AED" w:sz="6" w:space="1"/>
              <w:right w:val="none" w:color="FFFFFF" w:sz="0"/>
            </w:tcBorders>
            <w:shd w:fill="4C1D95" w:val="clear"/>
            <w:tcMar>
              <w:top w:type="dxa" w:w="80"/>
              <w:left w:type="dxa" w:w="120"/>
              <w:bottom w:type="dxa" w:w="80"/>
              <w:right w:type="dxa" w:w="120"/>
            </w:tcMar>
            <w:vAlign w:val="center"/>
          </w:tcPr>
          <w:p>
            <w:pPr>
              <w:spacing w:before="0" w:after="0"/>
              <w:jc w:val="left"/>
            </w:pPr>
            <w:r>
              <w:rPr>
                <w:b/>
                <w:bCs/>
                <w:color w:val="FFFFFF"/>
                <w:sz w:val="19"/>
                <w:szCs w:val="19"/>
                <w:rFonts w:ascii="Calibri" w:cs="Calibri" w:eastAsia="Calibri" w:hAnsi="Calibri"/>
              </w:rPr>
              <w:t xml:space="preserve">Requirement</w:t>
            </w:r>
          </w:p>
        </w:tc>
        <w:tc>
          <w:tcPr>
            <w:tcW w:type="dxa" w:w="2059"/>
            <w:tcBorders>
              <w:top w:val="none" w:color="FFFFFF" w:sz="0"/>
              <w:left w:val="none" w:color="FFFFFF" w:sz="0"/>
              <w:bottom w:val="single" w:color="7C3AED" w:sz="6" w:space="1"/>
              <w:right w:val="none" w:color="FFFFFF" w:sz="0"/>
            </w:tcBorders>
            <w:shd w:fill="4C1D95" w:val="clear"/>
            <w:tcMar>
              <w:top w:type="dxa" w:w="80"/>
              <w:left w:type="dxa" w:w="120"/>
              <w:bottom w:type="dxa" w:w="80"/>
              <w:right w:type="dxa" w:w="120"/>
            </w:tcMar>
            <w:vAlign w:val="center"/>
          </w:tcPr>
          <w:p>
            <w:pPr>
              <w:spacing w:before="0" w:after="0"/>
              <w:jc w:val="left"/>
            </w:pPr>
            <w:r>
              <w:rPr>
                <w:b/>
                <w:bCs/>
                <w:color w:val="FFFFFF"/>
                <w:sz w:val="19"/>
                <w:szCs w:val="19"/>
                <w:rFonts w:ascii="Calibri" w:cs="Calibri" w:eastAsia="Calibri" w:hAnsi="Calibri"/>
              </w:rPr>
              <w:t xml:space="preserve">Priority</w:t>
            </w:r>
          </w:p>
        </w:tc>
        <w:tc>
          <w:tcPr>
            <w:tcW w:type="dxa" w:w="2434"/>
            <w:tcBorders>
              <w:top w:val="none" w:color="FFFFFF" w:sz="0"/>
              <w:left w:val="none" w:color="FFFFFF" w:sz="0"/>
              <w:bottom w:val="single" w:color="7C3AED" w:sz="6" w:space="1"/>
              <w:right w:val="none" w:color="FFFFFF" w:sz="0"/>
            </w:tcBorders>
            <w:shd w:fill="4C1D95" w:val="clear"/>
            <w:tcMar>
              <w:top w:type="dxa" w:w="80"/>
              <w:left w:type="dxa" w:w="120"/>
              <w:bottom w:type="dxa" w:w="80"/>
              <w:right w:type="dxa" w:w="120"/>
            </w:tcMar>
            <w:vAlign w:val="center"/>
          </w:tcPr>
          <w:p>
            <w:pPr>
              <w:spacing w:before="0" w:after="0"/>
              <w:jc w:val="left"/>
            </w:pPr>
            <w:r>
              <w:rPr>
                <w:b/>
                <w:bCs/>
                <w:color w:val="FFFFFF"/>
                <w:sz w:val="19"/>
                <w:szCs w:val="19"/>
                <w:rFonts w:ascii="Calibri" w:cs="Calibri" w:eastAsia="Calibri" w:hAnsi="Calibri"/>
              </w:rPr>
              <w:t xml:space="preserve">Acceptance Criteria</w:t>
            </w:r>
          </w:p>
        </w:tc>
      </w:tr>
      <w:tr>
        <w:trPr>
          <w:cantSplit/>
        </w:trPr>
        <w:tc>
          <w:tcPr>
            <w:tcW w:type="dxa" w:w="936"/>
            <w:tcBorders>
              <w:top w:val="none" w:color="FFFFFF" w:sz="0"/>
              <w:left w:val="none" w:color="FFFFFF" w:sz="0"/>
              <w:bottom w:val="none" w:color="FFFFFF" w:sz="0"/>
              <w:right w:val="none" w:color="FFFFFF" w:sz="0"/>
            </w:tcBorders>
            <w:shd w:fill="EDE9FE"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FR-014</w:t>
            </w:r>
          </w:p>
        </w:tc>
        <w:tc>
          <w:tcPr>
            <w:tcW w:type="dxa" w:w="3931"/>
            <w:tcBorders>
              <w:top w:val="none" w:color="FFFFFF" w:sz="0"/>
              <w:left w:val="none" w:color="FFFFFF" w:sz="0"/>
              <w:bottom w:val="none" w:color="FFFFFF" w:sz="0"/>
              <w:right w:val="none" w:color="FFFFFF" w:sz="0"/>
            </w:tcBorders>
            <w:shd w:fill="EDE9FE"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The system SHALL support payment via credit card, debit card, UPI, and net banking at checkout.</w:t>
            </w:r>
          </w:p>
        </w:tc>
        <w:tc>
          <w:tcPr>
            <w:tcW w:type="dxa" w:w="2059"/>
            <w:tcBorders>
              <w:top w:val="none" w:color="FFFFFF" w:sz="0"/>
              <w:left w:val="none" w:color="FFFFFF" w:sz="0"/>
              <w:bottom w:val="none" w:color="FFFFFF" w:sz="0"/>
              <w:right w:val="none" w:color="FFFFFF" w:sz="0"/>
            </w:tcBorders>
            <w:shd w:fill="EDE9FE"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Must Have</w:t>
            </w:r>
          </w:p>
        </w:tc>
        <w:tc>
          <w:tcPr>
            <w:tcW w:type="dxa" w:w="2434"/>
            <w:tcBorders>
              <w:top w:val="none" w:color="FFFFFF" w:sz="0"/>
              <w:left w:val="none" w:color="FFFFFF" w:sz="0"/>
              <w:bottom w:val="none" w:color="FFFFFF" w:sz="0"/>
              <w:right w:val="none" w:color="FFFFFF" w:sz="0"/>
            </w:tcBorders>
            <w:shd w:fill="EDE9FE"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All four payment methods are available at checkout and successfully process a test transaction end to end.</w:t>
            </w:r>
          </w:p>
        </w:tc>
      </w:tr>
      <w:tr>
        <w:trPr>
          <w:cantSplit/>
        </w:trPr>
        <w:tc>
          <w:tcPr>
            <w:tcW w:type="dxa" w:w="936"/>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FR-015</w:t>
            </w:r>
          </w:p>
        </w:tc>
        <w:tc>
          <w:tcPr>
            <w:tcW w:type="dxa" w:w="3931"/>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The system SHALL support a credit card EMI payment option at checkout.</w:t>
            </w:r>
          </w:p>
        </w:tc>
        <w:tc>
          <w:tcPr>
            <w:tcW w:type="dxa" w:w="2059"/>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Must Have</w:t>
            </w:r>
          </w:p>
        </w:tc>
        <w:tc>
          <w:tcPr>
            <w:tcW w:type="dxa" w:w="243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Credit card EMI option is presented to the customer at checkout and a transaction using this method completes successfully.</w:t>
            </w:r>
          </w:p>
        </w:tc>
      </w:tr>
      <w:tr>
        <w:trPr>
          <w:cantSplit/>
        </w:trPr>
        <w:tc>
          <w:tcPr>
            <w:tcW w:type="dxa" w:w="936"/>
            <w:tcBorders>
              <w:top w:val="none" w:color="FFFFFF" w:sz="0"/>
              <w:left w:val="none" w:color="FFFFFF" w:sz="0"/>
              <w:bottom w:val="none" w:color="FFFFFF" w:sz="0"/>
              <w:right w:val="none" w:color="FFFFFF" w:sz="0"/>
            </w:tcBorders>
            <w:shd w:fill="EDE9FE"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FR-016</w:t>
            </w:r>
          </w:p>
        </w:tc>
        <w:tc>
          <w:tcPr>
            <w:tcW w:type="dxa" w:w="3931"/>
            <w:tcBorders>
              <w:top w:val="none" w:color="FFFFFF" w:sz="0"/>
              <w:left w:val="none" w:color="FFFFFF" w:sz="0"/>
              <w:bottom w:val="none" w:color="FFFFFF" w:sz="0"/>
              <w:right w:val="none" w:color="FFFFFF" w:sz="0"/>
            </w:tcBorders>
            <w:shd w:fill="EDE9FE"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The system SHALL integrate with the Bajaj Finance API to offer a No-Cost EMI financing option at checkout.</w:t>
            </w:r>
          </w:p>
        </w:tc>
        <w:tc>
          <w:tcPr>
            <w:tcW w:type="dxa" w:w="2059"/>
            <w:tcBorders>
              <w:top w:val="none" w:color="FFFFFF" w:sz="0"/>
              <w:left w:val="none" w:color="FFFFFF" w:sz="0"/>
              <w:bottom w:val="none" w:color="FFFFFF" w:sz="0"/>
              <w:right w:val="none" w:color="FFFFFF" w:sz="0"/>
            </w:tcBorders>
            <w:shd w:fill="EDE9FE"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Must Have</w:t>
            </w:r>
          </w:p>
        </w:tc>
        <w:tc>
          <w:tcPr>
            <w:tcW w:type="dxa" w:w="2434"/>
            <w:tcBorders>
              <w:top w:val="none" w:color="FFFFFF" w:sz="0"/>
              <w:left w:val="none" w:color="FFFFFF" w:sz="0"/>
              <w:bottom w:val="none" w:color="FFFFFF" w:sz="0"/>
              <w:right w:val="none" w:color="FFFFFF" w:sz="0"/>
            </w:tcBorders>
            <w:shd w:fill="EDE9FE"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The Bajaj Finance No-Cost EMI option is displayed at checkout and a transaction using this method completes successfully via the API.</w:t>
            </w:r>
          </w:p>
        </w:tc>
      </w:tr>
    </w:tbl>
    <w:p>
      <w:pPr>
        <w:spacing w:before="0" w:after="160"/>
      </w:pPr>
      <w:r>
        <w:t xml:space="preserve"/>
      </w:r>
    </w:p>
    <w:p>
      <w:pPr>
        <w:spacing w:before="0" w:after="120" w:line="310" w:lineRule="auto"/>
      </w:pPr>
      <w:r>
        <w:rPr>
          <w:color w:val="1A0533"/>
          <w:sz w:val="21"/>
          <w:szCs w:val="21"/>
          <w:rFonts w:ascii="Calibri" w:cs="Calibri" w:eastAsia="Calibri" w:hAnsi="Calibri"/>
        </w:rPr>
        <w:t xml:space="preserve">&gt; </w:t>
      </w:r>
      <w:r>
        <w:rPr>
          <w:b/>
          <w:bCs/>
          <w:color w:val="1A0533"/>
          <w:sz w:val="21"/>
          <w:szCs w:val="21"/>
          <w:rFonts w:ascii="Calibri" w:cs="Calibri" w:eastAsia="Calibri" w:hAnsi="Calibri"/>
        </w:rPr>
        <w:t xml:space="preserve">Note on FR-016:</w:t>
      </w:r>
      <w:r>
        <w:rPr>
          <w:color w:val="1A0533"/>
          <w:sz w:val="21"/>
          <w:szCs w:val="21"/>
          <w:rFonts w:ascii="Calibri" w:cs="Calibri" w:eastAsia="Calibri" w:hAnsi="Calibri"/>
        </w:rPr>
        <w:t xml:space="preserve"> ZestMoney has been identified as a pending financing partner for No-Cost EMI. ZestMoney integration is out of scope for the initial release and will be addressed in a future phase once the partnership is confirmed.</w:t>
      </w:r>
    </w:p>
    <w:p>
      <w:pPr>
        <w:pBdr>
          <w:bottom w:val="single" w:color="C4B5FD" w:sz="4" w:space="1"/>
        </w:pBdr>
        <w:spacing w:before="80" w:after="80"/>
      </w:pPr>
      <w:r>
        <w:rPr>
          <w:rFonts w:ascii="Calibri" w:cs="Calibri" w:eastAsia="Calibri" w:hAnsi="Calibri"/>
        </w:rPr>
      </w:r>
    </w:p>
    <w:p>
      <w:pPr>
        <w:pStyle w:val="Heading2"/>
        <w:pBdr>
          <w:left w:val="single" w:color="5B21B6" w:sz="14" w:space="6"/>
        </w:pBdr>
        <w:spacing w:before="240" w:after="80"/>
      </w:pPr>
      <w:r>
        <w:rPr>
          <w:b/>
          <w:bCs/>
          <w:color w:val="7C3AED"/>
          <w:sz w:val="24"/>
          <w:szCs w:val="24"/>
          <w:rFonts w:ascii="Calibri" w:cs="Calibri" w:eastAsia="Calibri" w:hAnsi="Calibri"/>
        </w:rPr>
        <w:t xml:space="preserve">4.6 Order Management &amp; Tracking</w:t>
      </w:r>
    </w:p>
    <w:p>
      <w:pPr>
        <w:spacing w:before="0" w:after="120" w:line="310" w:lineRule="auto"/>
      </w:pPr>
      <w:r>
        <w:rPr>
          <w:color w:val="1A0533"/>
          <w:sz w:val="21"/>
          <w:szCs w:val="21"/>
          <w:rFonts w:ascii="Calibri" w:cs="Calibri" w:eastAsia="Calibri" w:hAnsi="Calibri"/>
        </w:rPr>
        <w:t xml:space="preserve">This module manages the full lifecycle of a customer order from placement through to fulfilment visibility. Real-time tracking powered by the Delhivery API ensures customers remain informed at every stage of their delivery without leaving the ShopEase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3931"/>
        <w:gridCol w:w="2059"/>
        <w:gridCol w:w="2434"/>
      </w:tblGrid>
      <w:tr>
        <w:trPr>
          <w:cantSplit/>
        </w:trPr>
        <w:tc>
          <w:tcPr>
            <w:tcW w:type="dxa" w:w="936"/>
            <w:tcBorders>
              <w:top w:val="none" w:color="FFFFFF" w:sz="0"/>
              <w:left w:val="none" w:color="FFFFFF" w:sz="0"/>
              <w:bottom w:val="single" w:color="7C3AED" w:sz="6" w:space="1"/>
              <w:right w:val="none" w:color="FFFFFF" w:sz="0"/>
            </w:tcBorders>
            <w:shd w:fill="4C1D95" w:val="clear"/>
            <w:tcMar>
              <w:top w:type="dxa" w:w="80"/>
              <w:left w:type="dxa" w:w="120"/>
              <w:bottom w:type="dxa" w:w="80"/>
              <w:right w:type="dxa" w:w="120"/>
            </w:tcMar>
            <w:vAlign w:val="center"/>
          </w:tcPr>
          <w:p>
            <w:pPr>
              <w:spacing w:before="0" w:after="0"/>
              <w:jc w:val="left"/>
            </w:pPr>
            <w:r>
              <w:rPr>
                <w:b/>
                <w:bCs/>
                <w:color w:val="FFFFFF"/>
                <w:sz w:val="19"/>
                <w:szCs w:val="19"/>
                <w:rFonts w:ascii="Calibri" w:cs="Calibri" w:eastAsia="Calibri" w:hAnsi="Calibri"/>
              </w:rPr>
              <w:t xml:space="preserve">FR-ID</w:t>
            </w:r>
          </w:p>
        </w:tc>
        <w:tc>
          <w:tcPr>
            <w:tcW w:type="dxa" w:w="3931"/>
            <w:tcBorders>
              <w:top w:val="none" w:color="FFFFFF" w:sz="0"/>
              <w:left w:val="none" w:color="FFFFFF" w:sz="0"/>
              <w:bottom w:val="single" w:color="7C3AED" w:sz="6" w:space="1"/>
              <w:right w:val="none" w:color="FFFFFF" w:sz="0"/>
            </w:tcBorders>
            <w:shd w:fill="4C1D95" w:val="clear"/>
            <w:tcMar>
              <w:top w:type="dxa" w:w="80"/>
              <w:left w:type="dxa" w:w="120"/>
              <w:bottom w:type="dxa" w:w="80"/>
              <w:right w:type="dxa" w:w="120"/>
            </w:tcMar>
            <w:vAlign w:val="center"/>
          </w:tcPr>
          <w:p>
            <w:pPr>
              <w:spacing w:before="0" w:after="0"/>
              <w:jc w:val="left"/>
            </w:pPr>
            <w:r>
              <w:rPr>
                <w:b/>
                <w:bCs/>
                <w:color w:val="FFFFFF"/>
                <w:sz w:val="19"/>
                <w:szCs w:val="19"/>
                <w:rFonts w:ascii="Calibri" w:cs="Calibri" w:eastAsia="Calibri" w:hAnsi="Calibri"/>
              </w:rPr>
              <w:t xml:space="preserve">Requirement</w:t>
            </w:r>
          </w:p>
        </w:tc>
        <w:tc>
          <w:tcPr>
            <w:tcW w:type="dxa" w:w="2059"/>
            <w:tcBorders>
              <w:top w:val="none" w:color="FFFFFF" w:sz="0"/>
              <w:left w:val="none" w:color="FFFFFF" w:sz="0"/>
              <w:bottom w:val="single" w:color="7C3AED" w:sz="6" w:space="1"/>
              <w:right w:val="none" w:color="FFFFFF" w:sz="0"/>
            </w:tcBorders>
            <w:shd w:fill="4C1D95" w:val="clear"/>
            <w:tcMar>
              <w:top w:type="dxa" w:w="80"/>
              <w:left w:type="dxa" w:w="120"/>
              <w:bottom w:type="dxa" w:w="80"/>
              <w:right w:type="dxa" w:w="120"/>
            </w:tcMar>
            <w:vAlign w:val="center"/>
          </w:tcPr>
          <w:p>
            <w:pPr>
              <w:spacing w:before="0" w:after="0"/>
              <w:jc w:val="left"/>
            </w:pPr>
            <w:r>
              <w:rPr>
                <w:b/>
                <w:bCs/>
                <w:color w:val="FFFFFF"/>
                <w:sz w:val="19"/>
                <w:szCs w:val="19"/>
                <w:rFonts w:ascii="Calibri" w:cs="Calibri" w:eastAsia="Calibri" w:hAnsi="Calibri"/>
              </w:rPr>
              <w:t xml:space="preserve">Priority</w:t>
            </w:r>
          </w:p>
        </w:tc>
        <w:tc>
          <w:tcPr>
            <w:tcW w:type="dxa" w:w="2434"/>
            <w:tcBorders>
              <w:top w:val="none" w:color="FFFFFF" w:sz="0"/>
              <w:left w:val="none" w:color="FFFFFF" w:sz="0"/>
              <w:bottom w:val="single" w:color="7C3AED" w:sz="6" w:space="1"/>
              <w:right w:val="none" w:color="FFFFFF" w:sz="0"/>
            </w:tcBorders>
            <w:shd w:fill="4C1D95" w:val="clear"/>
            <w:tcMar>
              <w:top w:type="dxa" w:w="80"/>
              <w:left w:type="dxa" w:w="120"/>
              <w:bottom w:type="dxa" w:w="80"/>
              <w:right w:type="dxa" w:w="120"/>
            </w:tcMar>
            <w:vAlign w:val="center"/>
          </w:tcPr>
          <w:p>
            <w:pPr>
              <w:spacing w:before="0" w:after="0"/>
              <w:jc w:val="left"/>
            </w:pPr>
            <w:r>
              <w:rPr>
                <w:b/>
                <w:bCs/>
                <w:color w:val="FFFFFF"/>
                <w:sz w:val="19"/>
                <w:szCs w:val="19"/>
                <w:rFonts w:ascii="Calibri" w:cs="Calibri" w:eastAsia="Calibri" w:hAnsi="Calibri"/>
              </w:rPr>
              <w:t xml:space="preserve">Acceptance Criteria</w:t>
            </w:r>
          </w:p>
        </w:tc>
      </w:tr>
      <w:tr>
        <w:trPr>
          <w:cantSplit/>
        </w:trPr>
        <w:tc>
          <w:tcPr>
            <w:tcW w:type="dxa" w:w="936"/>
            <w:tcBorders>
              <w:top w:val="none" w:color="FFFFFF" w:sz="0"/>
              <w:left w:val="none" w:color="FFFFFF" w:sz="0"/>
              <w:bottom w:val="none" w:color="FFFFFF" w:sz="0"/>
              <w:right w:val="none" w:color="FFFFFF" w:sz="0"/>
            </w:tcBorders>
            <w:shd w:fill="EDE9FE"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FR-017</w:t>
            </w:r>
          </w:p>
        </w:tc>
        <w:tc>
          <w:tcPr>
            <w:tcW w:type="dxa" w:w="3931"/>
            <w:tcBorders>
              <w:top w:val="none" w:color="FFFFFF" w:sz="0"/>
              <w:left w:val="none" w:color="FFFFFF" w:sz="0"/>
              <w:bottom w:val="none" w:color="FFFFFF" w:sz="0"/>
              <w:right w:val="none" w:color="FFFFFF" w:sz="0"/>
            </w:tcBorders>
            <w:shd w:fill="EDE9FE"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The system SHALL integrate with the Delhivery API to calculate shipping rates at checkout and provide post-order tracking data.</w:t>
            </w:r>
          </w:p>
        </w:tc>
        <w:tc>
          <w:tcPr>
            <w:tcW w:type="dxa" w:w="2059"/>
            <w:tcBorders>
              <w:top w:val="none" w:color="FFFFFF" w:sz="0"/>
              <w:left w:val="none" w:color="FFFFFF" w:sz="0"/>
              <w:bottom w:val="none" w:color="FFFFFF" w:sz="0"/>
              <w:right w:val="none" w:color="FFFFFF" w:sz="0"/>
            </w:tcBorders>
            <w:shd w:fill="EDE9FE"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Must Have</w:t>
            </w:r>
          </w:p>
        </w:tc>
        <w:tc>
          <w:tcPr>
            <w:tcW w:type="dxa" w:w="2434"/>
            <w:tcBorders>
              <w:top w:val="none" w:color="FFFFFF" w:sz="0"/>
              <w:left w:val="none" w:color="FFFFFF" w:sz="0"/>
              <w:bottom w:val="none" w:color="FFFFFF" w:sz="0"/>
              <w:right w:val="none" w:color="FFFFFF" w:sz="0"/>
            </w:tcBorders>
            <w:shd w:fill="EDE9FE"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Delhivery-calculated shipping rates are displayed before order confirmation, and tracking data is accessible on the order detail page after dispatch.</w:t>
            </w:r>
          </w:p>
        </w:tc>
      </w:tr>
      <w:tr>
        <w:trPr>
          <w:cantSplit/>
        </w:trPr>
        <w:tc>
          <w:tcPr>
            <w:tcW w:type="dxa" w:w="936"/>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FR-018</w:t>
            </w:r>
          </w:p>
        </w:tc>
        <w:tc>
          <w:tcPr>
            <w:tcW w:type="dxa" w:w="3931"/>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The system SHALL provide customers with real-time order tracking on their order detail page within the platform.</w:t>
            </w:r>
          </w:p>
        </w:tc>
        <w:tc>
          <w:tcPr>
            <w:tcW w:type="dxa" w:w="2059"/>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Must Have</w:t>
            </w:r>
          </w:p>
        </w:tc>
        <w:tc>
          <w:tcPr>
            <w:tcW w:type="dxa" w:w="243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Customer can view live shipment status and estimated delivery time for a placed order without being redirected to an external site.</w:t>
            </w:r>
          </w:p>
        </w:tc>
      </w:tr>
    </w:tbl>
    <w:p>
      <w:pPr>
        <w:spacing w:before="0" w:after="160"/>
      </w:pPr>
      <w:r>
        <w:t xml:space="preserve"/>
      </w:r>
    </w:p>
    <w:p>
      <w:pPr>
        <w:pBdr>
          <w:bottom w:val="single" w:color="C4B5FD" w:sz="4" w:space="1"/>
        </w:pBdr>
        <w:spacing w:before="80" w:after="80"/>
      </w:pPr>
      <w:r>
        <w:rPr>
          <w:rFonts w:ascii="Calibri" w:cs="Calibri" w:eastAsia="Calibri" w:hAnsi="Calibri"/>
        </w:rPr>
      </w:r>
    </w:p>
    <w:p>
      <w:pPr>
        <w:pStyle w:val="Heading2"/>
        <w:pBdr>
          <w:left w:val="single" w:color="5B21B6" w:sz="14" w:space="6"/>
        </w:pBdr>
        <w:spacing w:before="240" w:after="80"/>
      </w:pPr>
      <w:r>
        <w:rPr>
          <w:b/>
          <w:bCs/>
          <w:color w:val="7C3AED"/>
          <w:sz w:val="24"/>
          <w:szCs w:val="24"/>
          <w:rFonts w:ascii="Calibri" w:cs="Calibri" w:eastAsia="Calibri" w:hAnsi="Calibri"/>
        </w:rPr>
        <w:t xml:space="preserve">4.7 Returns &amp; Refunds</w:t>
      </w:r>
    </w:p>
    <w:p>
      <w:pPr>
        <w:spacing w:before="0" w:after="120" w:line="310" w:lineRule="auto"/>
      </w:pPr>
      <w:r>
        <w:rPr>
          <w:color w:val="1A0533"/>
          <w:sz w:val="21"/>
          <w:szCs w:val="21"/>
          <w:rFonts w:ascii="Calibri" w:cs="Calibri" w:eastAsia="Calibri" w:hAnsi="Calibri"/>
        </w:rPr>
        <w:t xml:space="preserve">The Returns &amp; Refunds module enables customers to initiate return requests for delivered products and allows store managers to process those returns within their region. Efficient returns handling is essential to customer trust and satisfaction for RetailCorp.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3931"/>
        <w:gridCol w:w="2059"/>
        <w:gridCol w:w="2434"/>
      </w:tblGrid>
      <w:tr>
        <w:trPr>
          <w:cantSplit/>
        </w:trPr>
        <w:tc>
          <w:tcPr>
            <w:tcW w:type="dxa" w:w="936"/>
            <w:tcBorders>
              <w:top w:val="none" w:color="FFFFFF" w:sz="0"/>
              <w:left w:val="none" w:color="FFFFFF" w:sz="0"/>
              <w:bottom w:val="single" w:color="7C3AED" w:sz="6" w:space="1"/>
              <w:right w:val="none" w:color="FFFFFF" w:sz="0"/>
            </w:tcBorders>
            <w:shd w:fill="4C1D95" w:val="clear"/>
            <w:tcMar>
              <w:top w:type="dxa" w:w="80"/>
              <w:left w:type="dxa" w:w="120"/>
              <w:bottom w:type="dxa" w:w="80"/>
              <w:right w:type="dxa" w:w="120"/>
            </w:tcMar>
            <w:vAlign w:val="center"/>
          </w:tcPr>
          <w:p>
            <w:pPr>
              <w:spacing w:before="0" w:after="0"/>
              <w:jc w:val="left"/>
            </w:pPr>
            <w:r>
              <w:rPr>
                <w:b/>
                <w:bCs/>
                <w:color w:val="FFFFFF"/>
                <w:sz w:val="19"/>
                <w:szCs w:val="19"/>
                <w:rFonts w:ascii="Calibri" w:cs="Calibri" w:eastAsia="Calibri" w:hAnsi="Calibri"/>
              </w:rPr>
              <w:t xml:space="preserve">FR-ID</w:t>
            </w:r>
          </w:p>
        </w:tc>
        <w:tc>
          <w:tcPr>
            <w:tcW w:type="dxa" w:w="3931"/>
            <w:tcBorders>
              <w:top w:val="none" w:color="FFFFFF" w:sz="0"/>
              <w:left w:val="none" w:color="FFFFFF" w:sz="0"/>
              <w:bottom w:val="single" w:color="7C3AED" w:sz="6" w:space="1"/>
              <w:right w:val="none" w:color="FFFFFF" w:sz="0"/>
            </w:tcBorders>
            <w:shd w:fill="4C1D95" w:val="clear"/>
            <w:tcMar>
              <w:top w:type="dxa" w:w="80"/>
              <w:left w:type="dxa" w:w="120"/>
              <w:bottom w:type="dxa" w:w="80"/>
              <w:right w:type="dxa" w:w="120"/>
            </w:tcMar>
            <w:vAlign w:val="center"/>
          </w:tcPr>
          <w:p>
            <w:pPr>
              <w:spacing w:before="0" w:after="0"/>
              <w:jc w:val="left"/>
            </w:pPr>
            <w:r>
              <w:rPr>
                <w:b/>
                <w:bCs/>
                <w:color w:val="FFFFFF"/>
                <w:sz w:val="19"/>
                <w:szCs w:val="19"/>
                <w:rFonts w:ascii="Calibri" w:cs="Calibri" w:eastAsia="Calibri" w:hAnsi="Calibri"/>
              </w:rPr>
              <w:t xml:space="preserve">Requirement</w:t>
            </w:r>
          </w:p>
        </w:tc>
        <w:tc>
          <w:tcPr>
            <w:tcW w:type="dxa" w:w="2059"/>
            <w:tcBorders>
              <w:top w:val="none" w:color="FFFFFF" w:sz="0"/>
              <w:left w:val="none" w:color="FFFFFF" w:sz="0"/>
              <w:bottom w:val="single" w:color="7C3AED" w:sz="6" w:space="1"/>
              <w:right w:val="none" w:color="FFFFFF" w:sz="0"/>
            </w:tcBorders>
            <w:shd w:fill="4C1D95" w:val="clear"/>
            <w:tcMar>
              <w:top w:type="dxa" w:w="80"/>
              <w:left w:type="dxa" w:w="120"/>
              <w:bottom w:type="dxa" w:w="80"/>
              <w:right w:type="dxa" w:w="120"/>
            </w:tcMar>
            <w:vAlign w:val="center"/>
          </w:tcPr>
          <w:p>
            <w:pPr>
              <w:spacing w:before="0" w:after="0"/>
              <w:jc w:val="left"/>
            </w:pPr>
            <w:r>
              <w:rPr>
                <w:b/>
                <w:bCs/>
                <w:color w:val="FFFFFF"/>
                <w:sz w:val="19"/>
                <w:szCs w:val="19"/>
                <w:rFonts w:ascii="Calibri" w:cs="Calibri" w:eastAsia="Calibri" w:hAnsi="Calibri"/>
              </w:rPr>
              <w:t xml:space="preserve">Priority</w:t>
            </w:r>
          </w:p>
        </w:tc>
        <w:tc>
          <w:tcPr>
            <w:tcW w:type="dxa" w:w="2434"/>
            <w:tcBorders>
              <w:top w:val="none" w:color="FFFFFF" w:sz="0"/>
              <w:left w:val="none" w:color="FFFFFF" w:sz="0"/>
              <w:bottom w:val="single" w:color="7C3AED" w:sz="6" w:space="1"/>
              <w:right w:val="none" w:color="FFFFFF" w:sz="0"/>
            </w:tcBorders>
            <w:shd w:fill="4C1D95" w:val="clear"/>
            <w:tcMar>
              <w:top w:type="dxa" w:w="80"/>
              <w:left w:type="dxa" w:w="120"/>
              <w:bottom w:type="dxa" w:w="80"/>
              <w:right w:type="dxa" w:w="120"/>
            </w:tcMar>
            <w:vAlign w:val="center"/>
          </w:tcPr>
          <w:p>
            <w:pPr>
              <w:spacing w:before="0" w:after="0"/>
              <w:jc w:val="left"/>
            </w:pPr>
            <w:r>
              <w:rPr>
                <w:b/>
                <w:bCs/>
                <w:color w:val="FFFFFF"/>
                <w:sz w:val="19"/>
                <w:szCs w:val="19"/>
                <w:rFonts w:ascii="Calibri" w:cs="Calibri" w:eastAsia="Calibri" w:hAnsi="Calibri"/>
              </w:rPr>
              <w:t xml:space="preserve">Acceptance Criteria</w:t>
            </w:r>
          </w:p>
        </w:tc>
      </w:tr>
      <w:tr>
        <w:trPr>
          <w:cantSplit/>
        </w:trPr>
        <w:tc>
          <w:tcPr>
            <w:tcW w:type="dxa" w:w="936"/>
            <w:tcBorders>
              <w:top w:val="none" w:color="FFFFFF" w:sz="0"/>
              <w:left w:val="none" w:color="FFFFFF" w:sz="0"/>
              <w:bottom w:val="none" w:color="FFFFFF" w:sz="0"/>
              <w:right w:val="none" w:color="FFFFFF" w:sz="0"/>
            </w:tcBorders>
            <w:shd w:fill="EDE9FE"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FR-019</w:t>
            </w:r>
          </w:p>
        </w:tc>
        <w:tc>
          <w:tcPr>
            <w:tcW w:type="dxa" w:w="3931"/>
            <w:tcBorders>
              <w:top w:val="none" w:color="FFFFFF" w:sz="0"/>
              <w:left w:val="none" w:color="FFFFFF" w:sz="0"/>
              <w:bottom w:val="none" w:color="FFFFFF" w:sz="0"/>
              <w:right w:val="none" w:color="FFFFFF" w:sz="0"/>
            </w:tcBorders>
            <w:shd w:fill="EDE9FE"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The system SHALL allow customers to initiate a return request for a delivered product, including a reason for return.</w:t>
            </w:r>
          </w:p>
        </w:tc>
        <w:tc>
          <w:tcPr>
            <w:tcW w:type="dxa" w:w="2059"/>
            <w:tcBorders>
              <w:top w:val="none" w:color="FFFFFF" w:sz="0"/>
              <w:left w:val="none" w:color="FFFFFF" w:sz="0"/>
              <w:bottom w:val="none" w:color="FFFFFF" w:sz="0"/>
              <w:right w:val="none" w:color="FFFFFF" w:sz="0"/>
            </w:tcBorders>
            <w:shd w:fill="EDE9FE"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Must Have</w:t>
            </w:r>
          </w:p>
        </w:tc>
        <w:tc>
          <w:tcPr>
            <w:tcW w:type="dxa" w:w="2434"/>
            <w:tcBorders>
              <w:top w:val="none" w:color="FFFFFF" w:sz="0"/>
              <w:left w:val="none" w:color="FFFFFF" w:sz="0"/>
              <w:bottom w:val="none" w:color="FFFFFF" w:sz="0"/>
              <w:right w:val="none" w:color="FFFFFF" w:sz="0"/>
            </w:tcBorders>
            <w:shd w:fill="EDE9FE"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Customer can submit a return request with a stated reason, and the system responds with a unique return reference number as acknowledgement.</w:t>
            </w:r>
          </w:p>
        </w:tc>
      </w:tr>
      <w:tr>
        <w:trPr>
          <w:cantSplit/>
        </w:trPr>
        <w:tc>
          <w:tcPr>
            <w:tcW w:type="dxa" w:w="936"/>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FR-020</w:t>
            </w:r>
          </w:p>
        </w:tc>
        <w:tc>
          <w:tcPr>
            <w:tcW w:type="dxa" w:w="3931"/>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The system SHALL allow store managers to initiate and process return requests from their management portal.</w:t>
            </w:r>
          </w:p>
        </w:tc>
        <w:tc>
          <w:tcPr>
            <w:tcW w:type="dxa" w:w="2059"/>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Must Have</w:t>
            </w:r>
          </w:p>
        </w:tc>
        <w:tc>
          <w:tcPr>
            <w:tcW w:type="dxa" w:w="243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Store manager can view, initiate, and update the status of return requests associated with their assigned region.</w:t>
            </w:r>
          </w:p>
        </w:tc>
      </w:tr>
    </w:tbl>
    <w:p>
      <w:pPr>
        <w:spacing w:before="0" w:after="160"/>
      </w:pPr>
      <w:r>
        <w:t xml:space="preserve"/>
      </w:r>
    </w:p>
    <w:p>
      <w:pPr>
        <w:spacing w:before="160" w:after="0"/>
      </w:pPr>
      <w:r>
        <w:rPr>
          <w:i/>
          <w:iCs/>
          <w:color w:val="A78BFA"/>
          <w:sz w:val="15"/>
          <w:szCs w:val="15"/>
          <w:rFonts w:ascii="Calibri" w:cs="Calibri" w:eastAsia="Calibri" w:hAnsi="Calibri"/>
        </w:rPr>
        <w:t xml:space="preserve">[ Quality: 90%  ·  Requirements used: 45 ]</w:t>
      </w:r>
    </w:p>
    <w:p>
      <w:r>
        <w:br w:type="page"/>
      </w:r>
    </w:p>
    <w:p>
      <w:pPr>
        <w:pStyle w:val="Heading1"/>
        <w:pBdr>
          <w:bottom w:val="single" w:color="C4B5FD" w:sz="3" w:space="1"/>
        </w:pBdr>
        <w:spacing w:before="320" w:after="120"/>
      </w:pPr>
      <w:r>
        <w:rPr>
          <w:b/>
          <w:bCs/>
          <w:color w:val="4C1D95"/>
          <w:sz w:val="28"/>
          <w:szCs w:val="28"/>
          <w:rFonts w:ascii="Calibri" w:cs="Calibri" w:eastAsia="Calibri" w:hAnsi="Calibri"/>
        </w:rPr>
        <w:t xml:space="preserve">Business Rules</w:t>
      </w:r>
    </w:p>
    <w:p>
      <w:pPr>
        <w:pStyle w:val="Heading3"/>
        <w:spacing w:before="160" w:after="60"/>
      </w:pPr>
      <w:r>
        <w:rPr>
          <w:b/>
          <w:bCs/>
          <w:color w:val="A78BFA"/>
          <w:sz w:val="21"/>
          <w:szCs w:val="21"/>
          <w:rFonts w:ascii="Calibri" w:cs="Calibri" w:eastAsia="Calibri" w:hAnsi="Calibri"/>
        </w:rPr>
        <w:t xml:space="preserve">Introduction</w:t>
      </w:r>
    </w:p>
    <w:p>
      <w:pPr>
        <w:spacing w:before="0" w:after="120" w:line="310" w:lineRule="auto"/>
      </w:pPr>
      <w:r>
        <w:rPr>
          <w:color w:val="1A0533"/>
          <w:sz w:val="21"/>
          <w:szCs w:val="21"/>
          <w:rFonts w:ascii="Calibri" w:cs="Calibri" w:eastAsia="Calibri" w:hAnsi="Calibri"/>
        </w:rPr>
        <w:t xml:space="preserve">Business rules define the policies, constraints, and conditions that govern how ShopEase behaves across its core operational domains. For RetailCorp India Pvt, these rules are critical because the platform integrates multiple third-party systems — including SAP ERP, Bajaj Finance API, and Delhivery API — where inconsistent or ambiguous logic could result in pricing errors, inventory mismatches, or compliance violations. Adherence to these rules ensures that ShopEase operates as a controlled, trustworthy retail environment for both customers and vendor partners.</w:t>
      </w:r>
    </w:p>
    <w:p>
      <w:pPr>
        <w:pBdr>
          <w:bottom w:val="single" w:color="C4B5FD" w:sz="4" w:space="1"/>
        </w:pBdr>
        <w:spacing w:before="80" w:after="80"/>
      </w:pPr>
      <w:r>
        <w:rPr>
          <w:rFonts w:ascii="Calibri" w:cs="Calibri" w:eastAsia="Calibri" w:hAnsi="Calibri"/>
        </w:rPr>
      </w:r>
    </w:p>
    <w:p>
      <w:pPr>
        <w:pStyle w:val="Heading3"/>
        <w:spacing w:before="160" w:after="60"/>
      </w:pPr>
      <w:r>
        <w:rPr>
          <w:b/>
          <w:bCs/>
          <w:color w:val="A78BFA"/>
          <w:sz w:val="21"/>
          <w:szCs w:val="21"/>
          <w:rFonts w:ascii="Calibri" w:cs="Calibri" w:eastAsia="Calibri" w:hAnsi="Calibri"/>
        </w:rPr>
        <w:t xml:space="preserve">Business Rules by Domain</w:t>
      </w:r>
    </w:p>
    <w:p>
      <w:pPr>
        <w:pStyle w:val="Heading3"/>
        <w:spacing w:before="160" w:after="60"/>
      </w:pPr>
      <w:r>
        <w:rPr>
          <w:b/>
          <w:bCs/>
          <w:color w:val="A78BFA"/>
          <w:sz w:val="21"/>
          <w:szCs w:val="21"/>
          <w:rFonts w:ascii="Calibri" w:cs="Calibri" w:eastAsia="Calibri" w:hAnsi="Calibri"/>
        </w:rPr>
        <w:t xml:space="preserve">Pricing &amp; Discounting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4"/>
        <w:gridCol w:w="4680"/>
        <w:gridCol w:w="3276"/>
      </w:tblGrid>
      <w:tr>
        <w:trPr>
          <w:cantSplit/>
        </w:trPr>
        <w:tc>
          <w:tcPr>
            <w:tcW w:type="dxa" w:w="1404"/>
            <w:tcBorders>
              <w:top w:val="none" w:color="FFFFFF" w:sz="0"/>
              <w:left w:val="none" w:color="FFFFFF" w:sz="0"/>
              <w:bottom w:val="single" w:color="7C3AED" w:sz="6" w:space="1"/>
              <w:right w:val="none" w:color="FFFFFF" w:sz="0"/>
            </w:tcBorders>
            <w:shd w:fill="4C1D95" w:val="clear"/>
            <w:tcMar>
              <w:top w:type="dxa" w:w="80"/>
              <w:left w:type="dxa" w:w="120"/>
              <w:bottom w:type="dxa" w:w="80"/>
              <w:right w:type="dxa" w:w="120"/>
            </w:tcMar>
            <w:vAlign w:val="center"/>
          </w:tcPr>
          <w:p>
            <w:pPr>
              <w:spacing w:before="0" w:after="0"/>
              <w:jc w:val="left"/>
            </w:pPr>
            <w:r>
              <w:rPr>
                <w:b/>
                <w:bCs/>
                <w:color w:val="FFFFFF"/>
                <w:sz w:val="19"/>
                <w:szCs w:val="19"/>
                <w:rFonts w:ascii="Calibri" w:cs="Calibri" w:eastAsia="Calibri" w:hAnsi="Calibri"/>
              </w:rPr>
              <w:t xml:space="preserve">BR-ID</w:t>
            </w:r>
          </w:p>
        </w:tc>
        <w:tc>
          <w:tcPr>
            <w:tcW w:type="dxa" w:w="4680"/>
            <w:tcBorders>
              <w:top w:val="none" w:color="FFFFFF" w:sz="0"/>
              <w:left w:val="none" w:color="FFFFFF" w:sz="0"/>
              <w:bottom w:val="single" w:color="7C3AED" w:sz="6" w:space="1"/>
              <w:right w:val="none" w:color="FFFFFF" w:sz="0"/>
            </w:tcBorders>
            <w:shd w:fill="4C1D95" w:val="clear"/>
            <w:tcMar>
              <w:top w:type="dxa" w:w="80"/>
              <w:left w:type="dxa" w:w="120"/>
              <w:bottom w:type="dxa" w:w="80"/>
              <w:right w:type="dxa" w:w="120"/>
            </w:tcMar>
            <w:vAlign w:val="center"/>
          </w:tcPr>
          <w:p>
            <w:pPr>
              <w:spacing w:before="0" w:after="0"/>
              <w:jc w:val="left"/>
            </w:pPr>
            <w:r>
              <w:rPr>
                <w:b/>
                <w:bCs/>
                <w:color w:val="FFFFFF"/>
                <w:sz w:val="19"/>
                <w:szCs w:val="19"/>
                <w:rFonts w:ascii="Calibri" w:cs="Calibri" w:eastAsia="Calibri" w:hAnsi="Calibri"/>
              </w:rPr>
              <w:t xml:space="preserve">Rule</w:t>
            </w:r>
          </w:p>
        </w:tc>
        <w:tc>
          <w:tcPr>
            <w:tcW w:type="dxa" w:w="3276"/>
            <w:tcBorders>
              <w:top w:val="none" w:color="FFFFFF" w:sz="0"/>
              <w:left w:val="none" w:color="FFFFFF" w:sz="0"/>
              <w:bottom w:val="single" w:color="7C3AED" w:sz="6" w:space="1"/>
              <w:right w:val="none" w:color="FFFFFF" w:sz="0"/>
            </w:tcBorders>
            <w:shd w:fill="4C1D95" w:val="clear"/>
            <w:tcMar>
              <w:top w:type="dxa" w:w="80"/>
              <w:left w:type="dxa" w:w="120"/>
              <w:bottom w:type="dxa" w:w="80"/>
              <w:right w:type="dxa" w:w="120"/>
            </w:tcMar>
            <w:vAlign w:val="center"/>
          </w:tcPr>
          <w:p>
            <w:pPr>
              <w:spacing w:before="0" w:after="0"/>
              <w:jc w:val="left"/>
            </w:pPr>
            <w:r>
              <w:rPr>
                <w:b/>
                <w:bCs/>
                <w:color w:val="FFFFFF"/>
                <w:sz w:val="19"/>
                <w:szCs w:val="19"/>
                <w:rFonts w:ascii="Calibri" w:cs="Calibri" w:eastAsia="Calibri" w:hAnsi="Calibri"/>
              </w:rPr>
              <w:t xml:space="preserve">Rationale</w:t>
            </w:r>
          </w:p>
        </w:tc>
      </w:tr>
      <w:tr>
        <w:trPr>
          <w:cantSplit/>
        </w:trPr>
        <w:tc>
          <w:tcPr>
            <w:tcW w:type="dxa" w:w="1404"/>
            <w:tcBorders>
              <w:top w:val="none" w:color="FFFFFF" w:sz="0"/>
              <w:left w:val="none" w:color="FFFFFF" w:sz="0"/>
              <w:bottom w:val="none" w:color="FFFFFF" w:sz="0"/>
              <w:right w:val="none" w:color="FFFFFF" w:sz="0"/>
            </w:tcBorders>
            <w:shd w:fill="EDE9FE"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BR-001</w:t>
            </w:r>
          </w:p>
        </w:tc>
        <w:tc>
          <w:tcPr>
            <w:tcW w:type="dxa" w:w="4680"/>
            <w:tcBorders>
              <w:top w:val="none" w:color="FFFFFF" w:sz="0"/>
              <w:left w:val="none" w:color="FFFFFF" w:sz="0"/>
              <w:bottom w:val="none" w:color="FFFFFF" w:sz="0"/>
              <w:right w:val="none" w:color="FFFFFF" w:sz="0"/>
            </w:tcBorders>
            <w:shd w:fill="EDE9FE"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Only RetailCorp Central Admin may create, modify, or approve product prices on ShopEase; vendors have read-only access to pricing fields in the Vendor Portal.</w:t>
            </w:r>
          </w:p>
        </w:tc>
        <w:tc>
          <w:tcPr>
            <w:tcW w:type="dxa" w:w="3276"/>
            <w:tcBorders>
              <w:top w:val="none" w:color="FFFFFF" w:sz="0"/>
              <w:left w:val="none" w:color="FFFFFF" w:sz="0"/>
              <w:bottom w:val="none" w:color="FFFFFF" w:sz="0"/>
              <w:right w:val="none" w:color="FFFFFF" w:sz="0"/>
            </w:tcBorders>
            <w:shd w:fill="EDE9FE"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Prevents unauthorized price manipulation and ensures RetailCorp maintains full commercial control over its margins.</w:t>
            </w:r>
          </w:p>
        </w:tc>
      </w:tr>
      <w:tr>
        <w:trPr>
          <w:cantSplit/>
        </w:trPr>
        <w:tc>
          <w:tcPr>
            <w:tcW w:type="dxa" w:w="140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BR-002</w:t>
            </w:r>
          </w:p>
        </w:tc>
        <w:tc>
          <w:tcPr>
            <w:tcW w:type="dxa" w:w="468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A discount may not reduce a product's selling price below its defined cost floor as recorded in SAP ERP.</w:t>
            </w:r>
          </w:p>
        </w:tc>
        <w:tc>
          <w:tcPr>
            <w:tcW w:type="dxa" w:w="3276"/>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Protects RetailCorp from inadvertently selling products at a loss due to misconfigured promotions.</w:t>
            </w:r>
          </w:p>
        </w:tc>
      </w:tr>
      <w:tr>
        <w:trPr>
          <w:cantSplit/>
        </w:trPr>
        <w:tc>
          <w:tcPr>
            <w:tcW w:type="dxa" w:w="1404"/>
            <w:tcBorders>
              <w:top w:val="none" w:color="FFFFFF" w:sz="0"/>
              <w:left w:val="none" w:color="FFFFFF" w:sz="0"/>
              <w:bottom w:val="none" w:color="FFFFFF" w:sz="0"/>
              <w:right w:val="none" w:color="FFFFFF" w:sz="0"/>
            </w:tcBorders>
            <w:shd w:fill="EDE9FE"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BR-003</w:t>
            </w:r>
          </w:p>
        </w:tc>
        <w:tc>
          <w:tcPr>
            <w:tcW w:type="dxa" w:w="4680"/>
            <w:tcBorders>
              <w:top w:val="none" w:color="FFFFFF" w:sz="0"/>
              <w:left w:val="none" w:color="FFFFFF" w:sz="0"/>
              <w:bottom w:val="none" w:color="FFFFFF" w:sz="0"/>
              <w:right w:val="none" w:color="FFFFFF" w:sz="0"/>
            </w:tcBorders>
            <w:shd w:fill="EDE9FE"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Promotional discounts must have a defined start date and end date; open-ended discounts are not permitted.</w:t>
            </w:r>
          </w:p>
        </w:tc>
        <w:tc>
          <w:tcPr>
            <w:tcW w:type="dxa" w:w="3276"/>
            <w:tcBorders>
              <w:top w:val="none" w:color="FFFFFF" w:sz="0"/>
              <w:left w:val="none" w:color="FFFFFF" w:sz="0"/>
              <w:bottom w:val="none" w:color="FFFFFF" w:sz="0"/>
              <w:right w:val="none" w:color="FFFFFF" w:sz="0"/>
            </w:tcBorders>
            <w:shd w:fill="EDE9FE"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Ensures pricing campaigns are time-bound and prevents stale discounts from persisting unintentionally on the platform.</w:t>
            </w:r>
          </w:p>
        </w:tc>
      </w:tr>
      <w:tr>
        <w:trPr>
          <w:cantSplit/>
        </w:trPr>
        <w:tc>
          <w:tcPr>
            <w:tcW w:type="dxa" w:w="140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BR-004</w:t>
            </w:r>
          </w:p>
        </w:tc>
        <w:tc>
          <w:tcPr>
            <w:tcW w:type="dxa" w:w="468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No-Cost EMI pricing must reflect the full product price; the interest component must be absorbed by RetailCorp or the financing partner and must never be passed to the customer.</w:t>
            </w:r>
          </w:p>
        </w:tc>
        <w:tc>
          <w:tcPr>
            <w:tcW w:type="dxa" w:w="3276"/>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Upholds the definition of No-Cost EMI and ensures regulatory and partner-agreement compliance.</w:t>
            </w:r>
          </w:p>
        </w:tc>
      </w:tr>
    </w:tbl>
    <w:p>
      <w:pPr>
        <w:spacing w:before="0" w:after="160"/>
      </w:pPr>
      <w:r>
        <w:t xml:space="preserve"/>
      </w:r>
    </w:p>
    <w:p>
      <w:pPr>
        <w:pBdr>
          <w:bottom w:val="single" w:color="C4B5FD" w:sz="4" w:space="1"/>
        </w:pBdr>
        <w:spacing w:before="80" w:after="80"/>
      </w:pPr>
      <w:r>
        <w:rPr>
          <w:rFonts w:ascii="Calibri" w:cs="Calibri" w:eastAsia="Calibri" w:hAnsi="Calibri"/>
        </w:rPr>
      </w:r>
    </w:p>
    <w:p>
      <w:pPr>
        <w:pStyle w:val="Heading3"/>
        <w:spacing w:before="160" w:after="60"/>
      </w:pPr>
      <w:r>
        <w:rPr>
          <w:b/>
          <w:bCs/>
          <w:color w:val="A78BFA"/>
          <w:sz w:val="21"/>
          <w:szCs w:val="21"/>
          <w:rFonts w:ascii="Calibri" w:cs="Calibri" w:eastAsia="Calibri" w:hAnsi="Calibri"/>
        </w:rPr>
        <w:t xml:space="preserve">Inventory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4"/>
        <w:gridCol w:w="4680"/>
        <w:gridCol w:w="3276"/>
      </w:tblGrid>
      <w:tr>
        <w:trPr>
          <w:cantSplit/>
        </w:trPr>
        <w:tc>
          <w:tcPr>
            <w:tcW w:type="dxa" w:w="1404"/>
            <w:tcBorders>
              <w:top w:val="none" w:color="FFFFFF" w:sz="0"/>
              <w:left w:val="none" w:color="FFFFFF" w:sz="0"/>
              <w:bottom w:val="single" w:color="7C3AED" w:sz="6" w:space="1"/>
              <w:right w:val="none" w:color="FFFFFF" w:sz="0"/>
            </w:tcBorders>
            <w:shd w:fill="4C1D95" w:val="clear"/>
            <w:tcMar>
              <w:top w:type="dxa" w:w="80"/>
              <w:left w:type="dxa" w:w="120"/>
              <w:bottom w:type="dxa" w:w="80"/>
              <w:right w:type="dxa" w:w="120"/>
            </w:tcMar>
            <w:vAlign w:val="center"/>
          </w:tcPr>
          <w:p>
            <w:pPr>
              <w:spacing w:before="0" w:after="0"/>
              <w:jc w:val="left"/>
            </w:pPr>
            <w:r>
              <w:rPr>
                <w:b/>
                <w:bCs/>
                <w:color w:val="FFFFFF"/>
                <w:sz w:val="19"/>
                <w:szCs w:val="19"/>
                <w:rFonts w:ascii="Calibri" w:cs="Calibri" w:eastAsia="Calibri" w:hAnsi="Calibri"/>
              </w:rPr>
              <w:t xml:space="preserve">BR-ID</w:t>
            </w:r>
          </w:p>
        </w:tc>
        <w:tc>
          <w:tcPr>
            <w:tcW w:type="dxa" w:w="4680"/>
            <w:tcBorders>
              <w:top w:val="none" w:color="FFFFFF" w:sz="0"/>
              <w:left w:val="none" w:color="FFFFFF" w:sz="0"/>
              <w:bottom w:val="single" w:color="7C3AED" w:sz="6" w:space="1"/>
              <w:right w:val="none" w:color="FFFFFF" w:sz="0"/>
            </w:tcBorders>
            <w:shd w:fill="4C1D95" w:val="clear"/>
            <w:tcMar>
              <w:top w:type="dxa" w:w="80"/>
              <w:left w:type="dxa" w:w="120"/>
              <w:bottom w:type="dxa" w:w="80"/>
              <w:right w:type="dxa" w:w="120"/>
            </w:tcMar>
            <w:vAlign w:val="center"/>
          </w:tcPr>
          <w:p>
            <w:pPr>
              <w:spacing w:before="0" w:after="0"/>
              <w:jc w:val="left"/>
            </w:pPr>
            <w:r>
              <w:rPr>
                <w:b/>
                <w:bCs/>
                <w:color w:val="FFFFFF"/>
                <w:sz w:val="19"/>
                <w:szCs w:val="19"/>
                <w:rFonts w:ascii="Calibri" w:cs="Calibri" w:eastAsia="Calibri" w:hAnsi="Calibri"/>
              </w:rPr>
              <w:t xml:space="preserve">Rule</w:t>
            </w:r>
          </w:p>
        </w:tc>
        <w:tc>
          <w:tcPr>
            <w:tcW w:type="dxa" w:w="3276"/>
            <w:tcBorders>
              <w:top w:val="none" w:color="FFFFFF" w:sz="0"/>
              <w:left w:val="none" w:color="FFFFFF" w:sz="0"/>
              <w:bottom w:val="single" w:color="7C3AED" w:sz="6" w:space="1"/>
              <w:right w:val="none" w:color="FFFFFF" w:sz="0"/>
            </w:tcBorders>
            <w:shd w:fill="4C1D95" w:val="clear"/>
            <w:tcMar>
              <w:top w:type="dxa" w:w="80"/>
              <w:left w:type="dxa" w:w="120"/>
              <w:bottom w:type="dxa" w:w="80"/>
              <w:right w:type="dxa" w:w="120"/>
            </w:tcMar>
            <w:vAlign w:val="center"/>
          </w:tcPr>
          <w:p>
            <w:pPr>
              <w:spacing w:before="0" w:after="0"/>
              <w:jc w:val="left"/>
            </w:pPr>
            <w:r>
              <w:rPr>
                <w:b/>
                <w:bCs/>
                <w:color w:val="FFFFFF"/>
                <w:sz w:val="19"/>
                <w:szCs w:val="19"/>
                <w:rFonts w:ascii="Calibri" w:cs="Calibri" w:eastAsia="Calibri" w:hAnsi="Calibri"/>
              </w:rPr>
              <w:t xml:space="preserve">Rationale</w:t>
            </w:r>
          </w:p>
        </w:tc>
      </w:tr>
      <w:tr>
        <w:trPr>
          <w:cantSplit/>
        </w:trPr>
        <w:tc>
          <w:tcPr>
            <w:tcW w:type="dxa" w:w="1404"/>
            <w:tcBorders>
              <w:top w:val="none" w:color="FFFFFF" w:sz="0"/>
              <w:left w:val="none" w:color="FFFFFF" w:sz="0"/>
              <w:bottom w:val="none" w:color="FFFFFF" w:sz="0"/>
              <w:right w:val="none" w:color="FFFFFF" w:sz="0"/>
            </w:tcBorders>
            <w:shd w:fill="EDE9FE"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BR-005</w:t>
            </w:r>
          </w:p>
        </w:tc>
        <w:tc>
          <w:tcPr>
            <w:tcW w:type="dxa" w:w="4680"/>
            <w:tcBorders>
              <w:top w:val="none" w:color="FFFFFF" w:sz="0"/>
              <w:left w:val="none" w:color="FFFFFF" w:sz="0"/>
              <w:bottom w:val="none" w:color="FFFFFF" w:sz="0"/>
              <w:right w:val="none" w:color="FFFFFF" w:sz="0"/>
            </w:tcBorders>
            <w:shd w:fill="EDE9FE"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A product SKU must not be displayed as available for purchase on ShopEase if its stock quantity in SAP ERP is zero or below.</w:t>
            </w:r>
          </w:p>
        </w:tc>
        <w:tc>
          <w:tcPr>
            <w:tcW w:type="dxa" w:w="3276"/>
            <w:tcBorders>
              <w:top w:val="none" w:color="FFFFFF" w:sz="0"/>
              <w:left w:val="none" w:color="FFFFFF" w:sz="0"/>
              <w:bottom w:val="none" w:color="FFFFFF" w:sz="0"/>
              <w:right w:val="none" w:color="FFFFFF" w:sz="0"/>
            </w:tcBorders>
            <w:shd w:fill="EDE9FE"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Prevents customer orders being placed for items that cannot be fulfilled, protecting customer experience and operational integrity.</w:t>
            </w:r>
          </w:p>
        </w:tc>
      </w:tr>
      <w:tr>
        <w:trPr>
          <w:cantSplit/>
        </w:trPr>
        <w:tc>
          <w:tcPr>
            <w:tcW w:type="dxa" w:w="140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BR-006</w:t>
            </w:r>
          </w:p>
        </w:tc>
        <w:tc>
          <w:tcPr>
            <w:tcW w:type="dxa" w:w="468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Inventory availability displayed on ShopEase must reflect the SAP ERP stock position within the agreed real-time synchronisation window; stale data beyond this window must trigger a system alert.</w:t>
            </w:r>
          </w:p>
        </w:tc>
        <w:tc>
          <w:tcPr>
            <w:tcW w:type="dxa" w:w="3276"/>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Ensures customers are never misled by outdated stock information.</w:t>
            </w:r>
          </w:p>
        </w:tc>
      </w:tr>
      <w:tr>
        <w:trPr>
          <w:cantSplit/>
        </w:trPr>
        <w:tc>
          <w:tcPr>
            <w:tcW w:type="dxa" w:w="1404"/>
            <w:tcBorders>
              <w:top w:val="none" w:color="FFFFFF" w:sz="0"/>
              <w:left w:val="none" w:color="FFFFFF" w:sz="0"/>
              <w:bottom w:val="none" w:color="FFFFFF" w:sz="0"/>
              <w:right w:val="none" w:color="FFFFFF" w:sz="0"/>
            </w:tcBorders>
            <w:shd w:fill="EDE9FE"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BR-007</w:t>
            </w:r>
          </w:p>
        </w:tc>
        <w:tc>
          <w:tcPr>
            <w:tcW w:type="dxa" w:w="4680"/>
            <w:tcBorders>
              <w:top w:val="none" w:color="FFFFFF" w:sz="0"/>
              <w:left w:val="none" w:color="FFFFFF" w:sz="0"/>
              <w:bottom w:val="none" w:color="FFFFFF" w:sz="0"/>
              <w:right w:val="none" w:color="FFFFFF" w:sz="0"/>
            </w:tcBorders>
            <w:shd w:fill="EDE9FE"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A SKU may only be listed on ShopEase after it has been assigned a valid product record in SAP ERP.</w:t>
            </w:r>
          </w:p>
        </w:tc>
        <w:tc>
          <w:tcPr>
            <w:tcW w:type="dxa" w:w="3276"/>
            <w:tcBorders>
              <w:top w:val="none" w:color="FFFFFF" w:sz="0"/>
              <w:left w:val="none" w:color="FFFFFF" w:sz="0"/>
              <w:bottom w:val="none" w:color="FFFFFF" w:sz="0"/>
              <w:right w:val="none" w:color="FFFFFF" w:sz="0"/>
            </w:tcBorders>
            <w:shd w:fill="EDE9FE"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Maintains data integrity between the platform and RetailCorp's master inventory system.</w:t>
            </w:r>
          </w:p>
        </w:tc>
      </w:tr>
    </w:tbl>
    <w:p>
      <w:pPr>
        <w:spacing w:before="0" w:after="160"/>
      </w:pPr>
      <w:r>
        <w:t xml:space="preserve"/>
      </w:r>
    </w:p>
    <w:p>
      <w:pPr>
        <w:pBdr>
          <w:bottom w:val="single" w:color="C4B5FD" w:sz="4" w:space="1"/>
        </w:pBdr>
        <w:spacing w:before="80" w:after="80"/>
      </w:pPr>
      <w:r>
        <w:rPr>
          <w:rFonts w:ascii="Calibri" w:cs="Calibri" w:eastAsia="Calibri" w:hAnsi="Calibri"/>
        </w:rPr>
      </w:r>
    </w:p>
    <w:p>
      <w:pPr>
        <w:pStyle w:val="Heading3"/>
        <w:spacing w:before="160" w:after="60"/>
      </w:pPr>
      <w:r>
        <w:rPr>
          <w:b/>
          <w:bCs/>
          <w:color w:val="A78BFA"/>
          <w:sz w:val="21"/>
          <w:szCs w:val="21"/>
          <w:rFonts w:ascii="Calibri" w:cs="Calibri" w:eastAsia="Calibri" w:hAnsi="Calibri"/>
        </w:rPr>
        <w:t xml:space="preserve">Payment &amp; EMI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4"/>
        <w:gridCol w:w="4680"/>
        <w:gridCol w:w="3276"/>
      </w:tblGrid>
      <w:tr>
        <w:trPr>
          <w:cantSplit/>
        </w:trPr>
        <w:tc>
          <w:tcPr>
            <w:tcW w:type="dxa" w:w="1404"/>
            <w:tcBorders>
              <w:top w:val="none" w:color="FFFFFF" w:sz="0"/>
              <w:left w:val="none" w:color="FFFFFF" w:sz="0"/>
              <w:bottom w:val="single" w:color="7C3AED" w:sz="6" w:space="1"/>
              <w:right w:val="none" w:color="FFFFFF" w:sz="0"/>
            </w:tcBorders>
            <w:shd w:fill="4C1D95" w:val="clear"/>
            <w:tcMar>
              <w:top w:type="dxa" w:w="80"/>
              <w:left w:type="dxa" w:w="120"/>
              <w:bottom w:type="dxa" w:w="80"/>
              <w:right w:type="dxa" w:w="120"/>
            </w:tcMar>
            <w:vAlign w:val="center"/>
          </w:tcPr>
          <w:p>
            <w:pPr>
              <w:spacing w:before="0" w:after="0"/>
              <w:jc w:val="left"/>
            </w:pPr>
            <w:r>
              <w:rPr>
                <w:b/>
                <w:bCs/>
                <w:color w:val="FFFFFF"/>
                <w:sz w:val="19"/>
                <w:szCs w:val="19"/>
                <w:rFonts w:ascii="Calibri" w:cs="Calibri" w:eastAsia="Calibri" w:hAnsi="Calibri"/>
              </w:rPr>
              <w:t xml:space="preserve">BR-ID</w:t>
            </w:r>
          </w:p>
        </w:tc>
        <w:tc>
          <w:tcPr>
            <w:tcW w:type="dxa" w:w="4680"/>
            <w:tcBorders>
              <w:top w:val="none" w:color="FFFFFF" w:sz="0"/>
              <w:left w:val="none" w:color="FFFFFF" w:sz="0"/>
              <w:bottom w:val="single" w:color="7C3AED" w:sz="6" w:space="1"/>
              <w:right w:val="none" w:color="FFFFFF" w:sz="0"/>
            </w:tcBorders>
            <w:shd w:fill="4C1D95" w:val="clear"/>
            <w:tcMar>
              <w:top w:type="dxa" w:w="80"/>
              <w:left w:type="dxa" w:w="120"/>
              <w:bottom w:type="dxa" w:w="80"/>
              <w:right w:type="dxa" w:w="120"/>
            </w:tcMar>
            <w:vAlign w:val="center"/>
          </w:tcPr>
          <w:p>
            <w:pPr>
              <w:spacing w:before="0" w:after="0"/>
              <w:jc w:val="left"/>
            </w:pPr>
            <w:r>
              <w:rPr>
                <w:b/>
                <w:bCs/>
                <w:color w:val="FFFFFF"/>
                <w:sz w:val="19"/>
                <w:szCs w:val="19"/>
                <w:rFonts w:ascii="Calibri" w:cs="Calibri" w:eastAsia="Calibri" w:hAnsi="Calibri"/>
              </w:rPr>
              <w:t xml:space="preserve">Rule</w:t>
            </w:r>
          </w:p>
        </w:tc>
        <w:tc>
          <w:tcPr>
            <w:tcW w:type="dxa" w:w="3276"/>
            <w:tcBorders>
              <w:top w:val="none" w:color="FFFFFF" w:sz="0"/>
              <w:left w:val="none" w:color="FFFFFF" w:sz="0"/>
              <w:bottom w:val="single" w:color="7C3AED" w:sz="6" w:space="1"/>
              <w:right w:val="none" w:color="FFFFFF" w:sz="0"/>
            </w:tcBorders>
            <w:shd w:fill="4C1D95" w:val="clear"/>
            <w:tcMar>
              <w:top w:type="dxa" w:w="80"/>
              <w:left w:type="dxa" w:w="120"/>
              <w:bottom w:type="dxa" w:w="80"/>
              <w:right w:type="dxa" w:w="120"/>
            </w:tcMar>
            <w:vAlign w:val="center"/>
          </w:tcPr>
          <w:p>
            <w:pPr>
              <w:spacing w:before="0" w:after="0"/>
              <w:jc w:val="left"/>
            </w:pPr>
            <w:r>
              <w:rPr>
                <w:b/>
                <w:bCs/>
                <w:color w:val="FFFFFF"/>
                <w:sz w:val="19"/>
                <w:szCs w:val="19"/>
                <w:rFonts w:ascii="Calibri" w:cs="Calibri" w:eastAsia="Calibri" w:hAnsi="Calibri"/>
              </w:rPr>
              <w:t xml:space="preserve">Rationale</w:t>
            </w:r>
          </w:p>
        </w:tc>
      </w:tr>
      <w:tr>
        <w:trPr>
          <w:cantSplit/>
        </w:trPr>
        <w:tc>
          <w:tcPr>
            <w:tcW w:type="dxa" w:w="1404"/>
            <w:tcBorders>
              <w:top w:val="none" w:color="FFFFFF" w:sz="0"/>
              <w:left w:val="none" w:color="FFFFFF" w:sz="0"/>
              <w:bottom w:val="none" w:color="FFFFFF" w:sz="0"/>
              <w:right w:val="none" w:color="FFFFFF" w:sz="0"/>
            </w:tcBorders>
            <w:shd w:fill="EDE9FE"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BR-008</w:t>
            </w:r>
          </w:p>
        </w:tc>
        <w:tc>
          <w:tcPr>
            <w:tcW w:type="dxa" w:w="4680"/>
            <w:tcBorders>
              <w:top w:val="none" w:color="FFFFFF" w:sz="0"/>
              <w:left w:val="none" w:color="FFFFFF" w:sz="0"/>
              <w:bottom w:val="none" w:color="FFFFFF" w:sz="0"/>
              <w:right w:val="none" w:color="FFFFFF" w:sz="0"/>
            </w:tcBorders>
            <w:shd w:fill="EDE9FE"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No-Cost EMI options must only be presented to customers for products and tenures explicitly approved and active under the Bajaj Finance API integration.</w:t>
            </w:r>
          </w:p>
        </w:tc>
        <w:tc>
          <w:tcPr>
            <w:tcW w:type="dxa" w:w="3276"/>
            <w:tcBorders>
              <w:top w:val="none" w:color="FFFFFF" w:sz="0"/>
              <w:left w:val="none" w:color="FFFFFF" w:sz="0"/>
              <w:bottom w:val="none" w:color="FFFFFF" w:sz="0"/>
              <w:right w:val="none" w:color="FFFFFF" w:sz="0"/>
            </w:tcBorders>
            <w:shd w:fill="EDE9FE"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Prevents offering financing terms that are not contractually supported, reducing financial and legal risk.</w:t>
            </w:r>
          </w:p>
        </w:tc>
      </w:tr>
      <w:tr>
        <w:trPr>
          <w:cantSplit/>
        </w:trPr>
        <w:tc>
          <w:tcPr>
            <w:tcW w:type="dxa" w:w="140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BR-009</w:t>
            </w:r>
          </w:p>
        </w:tc>
        <w:tc>
          <w:tcPr>
            <w:tcW w:type="dxa" w:w="468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ZestMoney must not be offered as a payment option until its integration has been formally tested, approved, and activated by Central Admin.</w:t>
            </w:r>
          </w:p>
        </w:tc>
        <w:tc>
          <w:tcPr>
            <w:tcW w:type="dxa" w:w="3276"/>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Ensures customers are not exposed to an unverified payment channel that could result in failed transactions.</w:t>
            </w:r>
          </w:p>
        </w:tc>
      </w:tr>
      <w:tr>
        <w:trPr>
          <w:cantSplit/>
        </w:trPr>
        <w:tc>
          <w:tcPr>
            <w:tcW w:type="dxa" w:w="1404"/>
            <w:tcBorders>
              <w:top w:val="none" w:color="FFFFFF" w:sz="0"/>
              <w:left w:val="none" w:color="FFFFFF" w:sz="0"/>
              <w:bottom w:val="none" w:color="FFFFFF" w:sz="0"/>
              <w:right w:val="none" w:color="FFFFFF" w:sz="0"/>
            </w:tcBorders>
            <w:shd w:fill="EDE9FE"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BR-010</w:t>
            </w:r>
          </w:p>
        </w:tc>
        <w:tc>
          <w:tcPr>
            <w:tcW w:type="dxa" w:w="4680"/>
            <w:tcBorders>
              <w:top w:val="none" w:color="FFFFFF" w:sz="0"/>
              <w:left w:val="none" w:color="FFFFFF" w:sz="0"/>
              <w:bottom w:val="none" w:color="FFFFFF" w:sz="0"/>
              <w:right w:val="none" w:color="FFFFFF" w:sz="0"/>
            </w:tcBorders>
            <w:shd w:fill="EDE9FE"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A customer order must not be confirmed until a successful payment authorisation response has been received from the relevant payment gateway or financing partner.</w:t>
            </w:r>
          </w:p>
        </w:tc>
        <w:tc>
          <w:tcPr>
            <w:tcW w:type="dxa" w:w="3276"/>
            <w:tcBorders>
              <w:top w:val="none" w:color="FFFFFF" w:sz="0"/>
              <w:left w:val="none" w:color="FFFFFF" w:sz="0"/>
              <w:bottom w:val="none" w:color="FFFFFF" w:sz="0"/>
              <w:right w:val="none" w:color="FFFFFF" w:sz="0"/>
            </w:tcBorders>
            <w:shd w:fill="EDE9FE"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Prevents order fulfilment being initiated without confirmed payment, protecting RetailCorp's revenue.</w:t>
            </w:r>
          </w:p>
        </w:tc>
      </w:tr>
    </w:tbl>
    <w:p>
      <w:pPr>
        <w:spacing w:before="0" w:after="160"/>
      </w:pPr>
      <w:r>
        <w:t xml:space="preserve"/>
      </w:r>
    </w:p>
    <w:p>
      <w:pPr>
        <w:pBdr>
          <w:bottom w:val="single" w:color="C4B5FD" w:sz="4" w:space="1"/>
        </w:pBdr>
        <w:spacing w:before="80" w:after="80"/>
      </w:pPr>
      <w:r>
        <w:rPr>
          <w:rFonts w:ascii="Calibri" w:cs="Calibri" w:eastAsia="Calibri" w:hAnsi="Calibri"/>
        </w:rPr>
      </w:r>
    </w:p>
    <w:p>
      <w:pPr>
        <w:pStyle w:val="Heading3"/>
        <w:spacing w:before="160" w:after="60"/>
      </w:pPr>
      <w:r>
        <w:rPr>
          <w:b/>
          <w:bCs/>
          <w:color w:val="A78BFA"/>
          <w:sz w:val="21"/>
          <w:szCs w:val="21"/>
          <w:rFonts w:ascii="Calibri" w:cs="Calibri" w:eastAsia="Calibri" w:hAnsi="Calibri"/>
        </w:rPr>
        <w:t xml:space="preserve">Returns &amp; Refunds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4"/>
        <w:gridCol w:w="4680"/>
        <w:gridCol w:w="3276"/>
      </w:tblGrid>
      <w:tr>
        <w:trPr>
          <w:cantSplit/>
        </w:trPr>
        <w:tc>
          <w:tcPr>
            <w:tcW w:type="dxa" w:w="1404"/>
            <w:tcBorders>
              <w:top w:val="none" w:color="FFFFFF" w:sz="0"/>
              <w:left w:val="none" w:color="FFFFFF" w:sz="0"/>
              <w:bottom w:val="single" w:color="7C3AED" w:sz="6" w:space="1"/>
              <w:right w:val="none" w:color="FFFFFF" w:sz="0"/>
            </w:tcBorders>
            <w:shd w:fill="4C1D95" w:val="clear"/>
            <w:tcMar>
              <w:top w:type="dxa" w:w="80"/>
              <w:left w:type="dxa" w:w="120"/>
              <w:bottom w:type="dxa" w:w="80"/>
              <w:right w:type="dxa" w:w="120"/>
            </w:tcMar>
            <w:vAlign w:val="center"/>
          </w:tcPr>
          <w:p>
            <w:pPr>
              <w:spacing w:before="0" w:after="0"/>
              <w:jc w:val="left"/>
            </w:pPr>
            <w:r>
              <w:rPr>
                <w:b/>
                <w:bCs/>
                <w:color w:val="FFFFFF"/>
                <w:sz w:val="19"/>
                <w:szCs w:val="19"/>
                <w:rFonts w:ascii="Calibri" w:cs="Calibri" w:eastAsia="Calibri" w:hAnsi="Calibri"/>
              </w:rPr>
              <w:t xml:space="preserve">BR-ID</w:t>
            </w:r>
          </w:p>
        </w:tc>
        <w:tc>
          <w:tcPr>
            <w:tcW w:type="dxa" w:w="4680"/>
            <w:tcBorders>
              <w:top w:val="none" w:color="FFFFFF" w:sz="0"/>
              <w:left w:val="none" w:color="FFFFFF" w:sz="0"/>
              <w:bottom w:val="single" w:color="7C3AED" w:sz="6" w:space="1"/>
              <w:right w:val="none" w:color="FFFFFF" w:sz="0"/>
            </w:tcBorders>
            <w:shd w:fill="4C1D95" w:val="clear"/>
            <w:tcMar>
              <w:top w:type="dxa" w:w="80"/>
              <w:left w:type="dxa" w:w="120"/>
              <w:bottom w:type="dxa" w:w="80"/>
              <w:right w:type="dxa" w:w="120"/>
            </w:tcMar>
            <w:vAlign w:val="center"/>
          </w:tcPr>
          <w:p>
            <w:pPr>
              <w:spacing w:before="0" w:after="0"/>
              <w:jc w:val="left"/>
            </w:pPr>
            <w:r>
              <w:rPr>
                <w:b/>
                <w:bCs/>
                <w:color w:val="FFFFFF"/>
                <w:sz w:val="19"/>
                <w:szCs w:val="19"/>
                <w:rFonts w:ascii="Calibri" w:cs="Calibri" w:eastAsia="Calibri" w:hAnsi="Calibri"/>
              </w:rPr>
              <w:t xml:space="preserve">Rule</w:t>
            </w:r>
          </w:p>
        </w:tc>
        <w:tc>
          <w:tcPr>
            <w:tcW w:type="dxa" w:w="3276"/>
            <w:tcBorders>
              <w:top w:val="none" w:color="FFFFFF" w:sz="0"/>
              <w:left w:val="none" w:color="FFFFFF" w:sz="0"/>
              <w:bottom w:val="single" w:color="7C3AED" w:sz="6" w:space="1"/>
              <w:right w:val="none" w:color="FFFFFF" w:sz="0"/>
            </w:tcBorders>
            <w:shd w:fill="4C1D95" w:val="clear"/>
            <w:tcMar>
              <w:top w:type="dxa" w:w="80"/>
              <w:left w:type="dxa" w:w="120"/>
              <w:bottom w:type="dxa" w:w="80"/>
              <w:right w:type="dxa" w:w="120"/>
            </w:tcMar>
            <w:vAlign w:val="center"/>
          </w:tcPr>
          <w:p>
            <w:pPr>
              <w:spacing w:before="0" w:after="0"/>
              <w:jc w:val="left"/>
            </w:pPr>
            <w:r>
              <w:rPr>
                <w:b/>
                <w:bCs/>
                <w:color w:val="FFFFFF"/>
                <w:sz w:val="19"/>
                <w:szCs w:val="19"/>
                <w:rFonts w:ascii="Calibri" w:cs="Calibri" w:eastAsia="Calibri" w:hAnsi="Calibri"/>
              </w:rPr>
              <w:t xml:space="preserve">Rationale</w:t>
            </w:r>
          </w:p>
        </w:tc>
      </w:tr>
      <w:tr>
        <w:trPr>
          <w:cantSplit/>
        </w:trPr>
        <w:tc>
          <w:tcPr>
            <w:tcW w:type="dxa" w:w="1404"/>
            <w:tcBorders>
              <w:top w:val="none" w:color="FFFFFF" w:sz="0"/>
              <w:left w:val="none" w:color="FFFFFF" w:sz="0"/>
              <w:bottom w:val="none" w:color="FFFFFF" w:sz="0"/>
              <w:right w:val="none" w:color="FFFFFF" w:sz="0"/>
            </w:tcBorders>
            <w:shd w:fill="EDE9FE"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BR-011</w:t>
            </w:r>
          </w:p>
        </w:tc>
        <w:tc>
          <w:tcPr>
            <w:tcW w:type="dxa" w:w="4680"/>
            <w:tcBorders>
              <w:top w:val="none" w:color="FFFFFF" w:sz="0"/>
              <w:left w:val="none" w:color="FFFFFF" w:sz="0"/>
              <w:bottom w:val="none" w:color="FFFFFF" w:sz="0"/>
              <w:right w:val="none" w:color="FFFFFF" w:sz="0"/>
            </w:tcBorders>
            <w:shd w:fill="EDE9FE"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A return request may only be initiated within the return eligibility window defined per product category by Central Admin.</w:t>
            </w:r>
          </w:p>
        </w:tc>
        <w:tc>
          <w:tcPr>
            <w:tcW w:type="dxa" w:w="3276"/>
            <w:tcBorders>
              <w:top w:val="none" w:color="FFFFFF" w:sz="0"/>
              <w:left w:val="none" w:color="FFFFFF" w:sz="0"/>
              <w:bottom w:val="none" w:color="FFFFFF" w:sz="0"/>
              <w:right w:val="none" w:color="FFFFFF" w:sz="0"/>
            </w:tcBorders>
            <w:shd w:fill="EDE9FE"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Standardises return policy enforcement and prevents fraudulent late-return claims.</w:t>
            </w:r>
          </w:p>
        </w:tc>
      </w:tr>
      <w:tr>
        <w:trPr>
          <w:cantSplit/>
        </w:trPr>
        <w:tc>
          <w:tcPr>
            <w:tcW w:type="dxa" w:w="140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BR-012</w:t>
            </w:r>
          </w:p>
        </w:tc>
        <w:tc>
          <w:tcPr>
            <w:tcW w:type="dxa" w:w="468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Refunds must be processed to the original payment instrument used at the time of purchase, unless an exception is explicitly approved by Central Admin.</w:t>
            </w:r>
          </w:p>
        </w:tc>
        <w:tc>
          <w:tcPr>
            <w:tcW w:type="dxa" w:w="3276"/>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Ensures financial traceability and reduces the risk of refund fraud.</w:t>
            </w:r>
          </w:p>
        </w:tc>
      </w:tr>
    </w:tbl>
    <w:p>
      <w:pPr>
        <w:spacing w:before="0" w:after="160"/>
      </w:pPr>
      <w:r>
        <w:t xml:space="preserve"/>
      </w:r>
    </w:p>
    <w:p>
      <w:pPr>
        <w:pBdr>
          <w:bottom w:val="single" w:color="C4B5FD" w:sz="4" w:space="1"/>
        </w:pBdr>
        <w:spacing w:before="80" w:after="80"/>
      </w:pPr>
      <w:r>
        <w:rPr>
          <w:rFonts w:ascii="Calibri" w:cs="Calibri" w:eastAsia="Calibri" w:hAnsi="Calibri"/>
        </w:rPr>
      </w:r>
    </w:p>
    <w:p>
      <w:pPr>
        <w:pStyle w:val="Heading3"/>
        <w:spacing w:before="160" w:after="60"/>
      </w:pPr>
      <w:r>
        <w:rPr>
          <w:b/>
          <w:bCs/>
          <w:color w:val="A78BFA"/>
          <w:sz w:val="21"/>
          <w:szCs w:val="21"/>
          <w:rFonts w:ascii="Calibri" w:cs="Calibri" w:eastAsia="Calibri" w:hAnsi="Calibri"/>
        </w:rPr>
        <w:t xml:space="preserve">Vendor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4"/>
        <w:gridCol w:w="4680"/>
        <w:gridCol w:w="3276"/>
      </w:tblGrid>
      <w:tr>
        <w:trPr>
          <w:cantSplit/>
        </w:trPr>
        <w:tc>
          <w:tcPr>
            <w:tcW w:type="dxa" w:w="1404"/>
            <w:tcBorders>
              <w:top w:val="none" w:color="FFFFFF" w:sz="0"/>
              <w:left w:val="none" w:color="FFFFFF" w:sz="0"/>
              <w:bottom w:val="single" w:color="7C3AED" w:sz="6" w:space="1"/>
              <w:right w:val="none" w:color="FFFFFF" w:sz="0"/>
            </w:tcBorders>
            <w:shd w:fill="4C1D95" w:val="clear"/>
            <w:tcMar>
              <w:top w:type="dxa" w:w="80"/>
              <w:left w:type="dxa" w:w="120"/>
              <w:bottom w:type="dxa" w:w="80"/>
              <w:right w:type="dxa" w:w="120"/>
            </w:tcMar>
            <w:vAlign w:val="center"/>
          </w:tcPr>
          <w:p>
            <w:pPr>
              <w:spacing w:before="0" w:after="0"/>
              <w:jc w:val="left"/>
            </w:pPr>
            <w:r>
              <w:rPr>
                <w:b/>
                <w:bCs/>
                <w:color w:val="FFFFFF"/>
                <w:sz w:val="19"/>
                <w:szCs w:val="19"/>
                <w:rFonts w:ascii="Calibri" w:cs="Calibri" w:eastAsia="Calibri" w:hAnsi="Calibri"/>
              </w:rPr>
              <w:t xml:space="preserve">BR-ID</w:t>
            </w:r>
          </w:p>
        </w:tc>
        <w:tc>
          <w:tcPr>
            <w:tcW w:type="dxa" w:w="4680"/>
            <w:tcBorders>
              <w:top w:val="none" w:color="FFFFFF" w:sz="0"/>
              <w:left w:val="none" w:color="FFFFFF" w:sz="0"/>
              <w:bottom w:val="single" w:color="7C3AED" w:sz="6" w:space="1"/>
              <w:right w:val="none" w:color="FFFFFF" w:sz="0"/>
            </w:tcBorders>
            <w:shd w:fill="4C1D95" w:val="clear"/>
            <w:tcMar>
              <w:top w:type="dxa" w:w="80"/>
              <w:left w:type="dxa" w:w="120"/>
              <w:bottom w:type="dxa" w:w="80"/>
              <w:right w:type="dxa" w:w="120"/>
            </w:tcMar>
            <w:vAlign w:val="center"/>
          </w:tcPr>
          <w:p>
            <w:pPr>
              <w:spacing w:before="0" w:after="0"/>
              <w:jc w:val="left"/>
            </w:pPr>
            <w:r>
              <w:rPr>
                <w:b/>
                <w:bCs/>
                <w:color w:val="FFFFFF"/>
                <w:sz w:val="19"/>
                <w:szCs w:val="19"/>
                <w:rFonts w:ascii="Calibri" w:cs="Calibri" w:eastAsia="Calibri" w:hAnsi="Calibri"/>
              </w:rPr>
              <w:t xml:space="preserve">Rule</w:t>
            </w:r>
          </w:p>
        </w:tc>
        <w:tc>
          <w:tcPr>
            <w:tcW w:type="dxa" w:w="3276"/>
            <w:tcBorders>
              <w:top w:val="none" w:color="FFFFFF" w:sz="0"/>
              <w:left w:val="none" w:color="FFFFFF" w:sz="0"/>
              <w:bottom w:val="single" w:color="7C3AED" w:sz="6" w:space="1"/>
              <w:right w:val="none" w:color="FFFFFF" w:sz="0"/>
            </w:tcBorders>
            <w:shd w:fill="4C1D95" w:val="clear"/>
            <w:tcMar>
              <w:top w:type="dxa" w:w="80"/>
              <w:left w:type="dxa" w:w="120"/>
              <w:bottom w:type="dxa" w:w="80"/>
              <w:right w:type="dxa" w:w="120"/>
            </w:tcMar>
            <w:vAlign w:val="center"/>
          </w:tcPr>
          <w:p>
            <w:pPr>
              <w:spacing w:before="0" w:after="0"/>
              <w:jc w:val="left"/>
            </w:pPr>
            <w:r>
              <w:rPr>
                <w:b/>
                <w:bCs/>
                <w:color w:val="FFFFFF"/>
                <w:sz w:val="19"/>
                <w:szCs w:val="19"/>
                <w:rFonts w:ascii="Calibri" w:cs="Calibri" w:eastAsia="Calibri" w:hAnsi="Calibri"/>
              </w:rPr>
              <w:t xml:space="preserve">Rationale</w:t>
            </w:r>
          </w:p>
        </w:tc>
      </w:tr>
      <w:tr>
        <w:trPr>
          <w:cantSplit/>
        </w:trPr>
        <w:tc>
          <w:tcPr>
            <w:tcW w:type="dxa" w:w="1404"/>
            <w:tcBorders>
              <w:top w:val="none" w:color="FFFFFF" w:sz="0"/>
              <w:left w:val="none" w:color="FFFFFF" w:sz="0"/>
              <w:bottom w:val="none" w:color="FFFFFF" w:sz="0"/>
              <w:right w:val="none" w:color="FFFFFF" w:sz="0"/>
            </w:tcBorders>
            <w:shd w:fill="EDE9FE"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BR-013</w:t>
            </w:r>
          </w:p>
        </w:tc>
        <w:tc>
          <w:tcPr>
            <w:tcW w:type="dxa" w:w="4680"/>
            <w:tcBorders>
              <w:top w:val="none" w:color="FFFFFF" w:sz="0"/>
              <w:left w:val="none" w:color="FFFFFF" w:sz="0"/>
              <w:bottom w:val="none" w:color="FFFFFF" w:sz="0"/>
              <w:right w:val="none" w:color="FFFFFF" w:sz="0"/>
            </w:tcBorders>
            <w:shd w:fill="EDE9FE"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A vendor account must be approved and activated by Central Admin before the vendor may access the Vendor Portal or submit product data.</w:t>
            </w:r>
          </w:p>
        </w:tc>
        <w:tc>
          <w:tcPr>
            <w:tcW w:type="dxa" w:w="3276"/>
            <w:tcBorders>
              <w:top w:val="none" w:color="FFFFFF" w:sz="0"/>
              <w:left w:val="none" w:color="FFFFFF" w:sz="0"/>
              <w:bottom w:val="none" w:color="FFFFFF" w:sz="0"/>
              <w:right w:val="none" w:color="FFFFFF" w:sz="0"/>
            </w:tcBorders>
            <w:shd w:fill="EDE9FE"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Ensures only vetted, authorised partners operate within the ShopEase ecosystem.</w:t>
            </w:r>
          </w:p>
        </w:tc>
      </w:tr>
      <w:tr>
        <w:trPr>
          <w:cantSplit/>
        </w:trPr>
        <w:tc>
          <w:tcPr>
            <w:tcW w:type="dxa" w:w="140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BR-014</w:t>
            </w:r>
          </w:p>
        </w:tc>
        <w:tc>
          <w:tcPr>
            <w:tcW w:type="dxa" w:w="468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Vendors may update product descriptions, images, and specifications via the Vendor Portal, but all such updates must be reviewed and approved by Central Admin before going live.</w:t>
            </w:r>
          </w:p>
        </w:tc>
        <w:tc>
          <w:tcPr>
            <w:tcW w:type="dxa" w:w="3276"/>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Maintains content quality and brand consistency while allowing vendors to contribute product information.</w:t>
            </w:r>
          </w:p>
        </w:tc>
      </w:tr>
    </w:tbl>
    <w:p>
      <w:pPr>
        <w:spacing w:before="0" w:after="160"/>
      </w:pPr>
      <w:r>
        <w:t xml:space="preserve"/>
      </w:r>
    </w:p>
    <w:p>
      <w:pPr>
        <w:pBdr>
          <w:bottom w:val="single" w:color="C4B5FD" w:sz="4" w:space="1"/>
        </w:pBdr>
        <w:spacing w:before="80" w:after="80"/>
      </w:pPr>
      <w:r>
        <w:rPr>
          <w:rFonts w:ascii="Calibri" w:cs="Calibri" w:eastAsia="Calibri" w:hAnsi="Calibri"/>
        </w:rPr>
      </w:r>
    </w:p>
    <w:p>
      <w:pPr>
        <w:pStyle w:val="Heading3"/>
        <w:spacing w:before="160" w:after="60"/>
      </w:pPr>
      <w:r>
        <w:rPr>
          <w:b/>
          <w:bCs/>
          <w:color w:val="A78BFA"/>
          <w:sz w:val="21"/>
          <w:szCs w:val="21"/>
          <w:rFonts w:ascii="Calibri" w:cs="Calibri" w:eastAsia="Calibri" w:hAnsi="Calibri"/>
        </w:rPr>
        <w:t xml:space="preserve">User Access &amp; Permissions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4"/>
        <w:gridCol w:w="4680"/>
        <w:gridCol w:w="3276"/>
      </w:tblGrid>
      <w:tr>
        <w:trPr>
          <w:cantSplit/>
        </w:trPr>
        <w:tc>
          <w:tcPr>
            <w:tcW w:type="dxa" w:w="1404"/>
            <w:tcBorders>
              <w:top w:val="none" w:color="FFFFFF" w:sz="0"/>
              <w:left w:val="none" w:color="FFFFFF" w:sz="0"/>
              <w:bottom w:val="single" w:color="7C3AED" w:sz="6" w:space="1"/>
              <w:right w:val="none" w:color="FFFFFF" w:sz="0"/>
            </w:tcBorders>
            <w:shd w:fill="4C1D95" w:val="clear"/>
            <w:tcMar>
              <w:top w:type="dxa" w:w="80"/>
              <w:left w:type="dxa" w:w="120"/>
              <w:bottom w:type="dxa" w:w="80"/>
              <w:right w:type="dxa" w:w="120"/>
            </w:tcMar>
            <w:vAlign w:val="center"/>
          </w:tcPr>
          <w:p>
            <w:pPr>
              <w:spacing w:before="0" w:after="0"/>
              <w:jc w:val="left"/>
            </w:pPr>
            <w:r>
              <w:rPr>
                <w:b/>
                <w:bCs/>
                <w:color w:val="FFFFFF"/>
                <w:sz w:val="19"/>
                <w:szCs w:val="19"/>
                <w:rFonts w:ascii="Calibri" w:cs="Calibri" w:eastAsia="Calibri" w:hAnsi="Calibri"/>
              </w:rPr>
              <w:t xml:space="preserve">BR-ID</w:t>
            </w:r>
          </w:p>
        </w:tc>
        <w:tc>
          <w:tcPr>
            <w:tcW w:type="dxa" w:w="4680"/>
            <w:tcBorders>
              <w:top w:val="none" w:color="FFFFFF" w:sz="0"/>
              <w:left w:val="none" w:color="FFFFFF" w:sz="0"/>
              <w:bottom w:val="single" w:color="7C3AED" w:sz="6" w:space="1"/>
              <w:right w:val="none" w:color="FFFFFF" w:sz="0"/>
            </w:tcBorders>
            <w:shd w:fill="4C1D95" w:val="clear"/>
            <w:tcMar>
              <w:top w:type="dxa" w:w="80"/>
              <w:left w:type="dxa" w:w="120"/>
              <w:bottom w:type="dxa" w:w="80"/>
              <w:right w:type="dxa" w:w="120"/>
            </w:tcMar>
            <w:vAlign w:val="center"/>
          </w:tcPr>
          <w:p>
            <w:pPr>
              <w:spacing w:before="0" w:after="0"/>
              <w:jc w:val="left"/>
            </w:pPr>
            <w:r>
              <w:rPr>
                <w:b/>
                <w:bCs/>
                <w:color w:val="FFFFFF"/>
                <w:sz w:val="19"/>
                <w:szCs w:val="19"/>
                <w:rFonts w:ascii="Calibri" w:cs="Calibri" w:eastAsia="Calibri" w:hAnsi="Calibri"/>
              </w:rPr>
              <w:t xml:space="preserve">Rule</w:t>
            </w:r>
          </w:p>
        </w:tc>
        <w:tc>
          <w:tcPr>
            <w:tcW w:type="dxa" w:w="3276"/>
            <w:tcBorders>
              <w:top w:val="none" w:color="FFFFFF" w:sz="0"/>
              <w:left w:val="none" w:color="FFFFFF" w:sz="0"/>
              <w:bottom w:val="single" w:color="7C3AED" w:sz="6" w:space="1"/>
              <w:right w:val="none" w:color="FFFFFF" w:sz="0"/>
            </w:tcBorders>
            <w:shd w:fill="4C1D95" w:val="clear"/>
            <w:tcMar>
              <w:top w:type="dxa" w:w="80"/>
              <w:left w:type="dxa" w:w="120"/>
              <w:bottom w:type="dxa" w:w="80"/>
              <w:right w:type="dxa" w:w="120"/>
            </w:tcMar>
            <w:vAlign w:val="center"/>
          </w:tcPr>
          <w:p>
            <w:pPr>
              <w:spacing w:before="0" w:after="0"/>
              <w:jc w:val="left"/>
            </w:pPr>
            <w:r>
              <w:rPr>
                <w:b/>
                <w:bCs/>
                <w:color w:val="FFFFFF"/>
                <w:sz w:val="19"/>
                <w:szCs w:val="19"/>
                <w:rFonts w:ascii="Calibri" w:cs="Calibri" w:eastAsia="Calibri" w:hAnsi="Calibri"/>
              </w:rPr>
              <w:t xml:space="preserve">Rationale</w:t>
            </w:r>
          </w:p>
        </w:tc>
      </w:tr>
      <w:tr>
        <w:trPr>
          <w:cantSplit/>
        </w:trPr>
        <w:tc>
          <w:tcPr>
            <w:tcW w:type="dxa" w:w="1404"/>
            <w:tcBorders>
              <w:top w:val="none" w:color="FFFFFF" w:sz="0"/>
              <w:left w:val="none" w:color="FFFFFF" w:sz="0"/>
              <w:bottom w:val="none" w:color="FFFFFF" w:sz="0"/>
              <w:right w:val="none" w:color="FFFFFF" w:sz="0"/>
            </w:tcBorders>
            <w:shd w:fill="EDE9FE"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BR-015</w:t>
            </w:r>
          </w:p>
        </w:tc>
        <w:tc>
          <w:tcPr>
            <w:tcW w:type="dxa" w:w="4680"/>
            <w:tcBorders>
              <w:top w:val="none" w:color="FFFFFF" w:sz="0"/>
              <w:left w:val="none" w:color="FFFFFF" w:sz="0"/>
              <w:bottom w:val="none" w:color="FFFFFF" w:sz="0"/>
              <w:right w:val="none" w:color="FFFFFF" w:sz="0"/>
            </w:tcBorders>
            <w:shd w:fill="EDE9FE"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Central Admin is the only role with authority to activate, deactivate, or modify user roles across the ShopEase platform.</w:t>
            </w:r>
          </w:p>
        </w:tc>
        <w:tc>
          <w:tcPr>
            <w:tcW w:type="dxa" w:w="3276"/>
            <w:tcBorders>
              <w:top w:val="none" w:color="FFFFFF" w:sz="0"/>
              <w:left w:val="none" w:color="FFFFFF" w:sz="0"/>
              <w:bottom w:val="none" w:color="FFFFFF" w:sz="0"/>
              <w:right w:val="none" w:color="FFFFFF" w:sz="0"/>
            </w:tcBorders>
            <w:shd w:fill="EDE9FE"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Prevents unauthorised privilege escalation and maintains a clear chain of access governance.</w:t>
            </w:r>
          </w:p>
        </w:tc>
      </w:tr>
      <w:tr>
        <w:trPr>
          <w:cantSplit/>
        </w:trPr>
        <w:tc>
          <w:tcPr>
            <w:tcW w:type="dxa" w:w="140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BR-016</w:t>
            </w:r>
          </w:p>
        </w:tc>
        <w:tc>
          <w:tcPr>
            <w:tcW w:type="dxa" w:w="468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Vendor Portal users must only have visibility into data pertaining to their own product catalogue and orders; cross-vendor data access is strictly prohibited.</w:t>
            </w:r>
          </w:p>
        </w:tc>
        <w:tc>
          <w:tcPr>
            <w:tcW w:type="dxa" w:w="3276"/>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Protects commercially sensitive information and ensures vendor data confidentiality.</w:t>
            </w:r>
          </w:p>
        </w:tc>
      </w:tr>
    </w:tbl>
    <w:p>
      <w:pPr>
        <w:spacing w:before="0" w:after="160"/>
      </w:pPr>
      <w:r>
        <w:t xml:space="preserve"/>
      </w:r>
    </w:p>
    <w:p>
      <w:pPr>
        <w:spacing w:before="160" w:after="0"/>
      </w:pPr>
      <w:r>
        <w:rPr>
          <w:i/>
          <w:iCs/>
          <w:color w:val="A78BFA"/>
          <w:sz w:val="15"/>
          <w:szCs w:val="15"/>
          <w:rFonts w:ascii="Calibri" w:cs="Calibri" w:eastAsia="Calibri" w:hAnsi="Calibri"/>
        </w:rPr>
        <w:t xml:space="preserve">[ Quality: 90%  ·  Requirements used: 3 ]</w:t>
      </w:r>
    </w:p>
    <w:p>
      <w:r>
        <w:br w:type="page"/>
      </w:r>
    </w:p>
    <w:p>
      <w:pPr>
        <w:pStyle w:val="Heading1"/>
        <w:pBdr>
          <w:bottom w:val="single" w:color="C4B5FD" w:sz="3" w:space="1"/>
        </w:pBdr>
        <w:spacing w:before="320" w:after="120"/>
      </w:pPr>
      <w:r>
        <w:rPr>
          <w:b/>
          <w:bCs/>
          <w:color w:val="4C1D95"/>
          <w:sz w:val="28"/>
          <w:szCs w:val="28"/>
          <w:rFonts w:ascii="Calibri" w:cs="Calibri" w:eastAsia="Calibri" w:hAnsi="Calibri"/>
        </w:rPr>
        <w:t xml:space="preserve">Risks</w:t>
      </w:r>
    </w:p>
    <w:p>
      <w:pPr>
        <w:pStyle w:val="Heading3"/>
        <w:spacing w:before="160" w:after="60"/>
      </w:pPr>
      <w:r>
        <w:rPr>
          <w:b/>
          <w:bCs/>
          <w:color w:val="A78BFA"/>
          <w:sz w:val="21"/>
          <w:szCs w:val="21"/>
          <w:rFonts w:ascii="Calibri" w:cs="Calibri" w:eastAsia="Calibri" w:hAnsi="Calibri"/>
        </w:rPr>
        <w:t xml:space="preserve">Introduction</w:t>
      </w:r>
    </w:p>
    <w:p>
      <w:pPr>
        <w:spacing w:before="0" w:after="120" w:line="310" w:lineRule="auto"/>
      </w:pPr>
      <w:r>
        <w:rPr>
          <w:color w:val="1A0533"/>
          <w:sz w:val="21"/>
          <w:szCs w:val="21"/>
          <w:rFonts w:ascii="Calibri" w:cs="Calibri" w:eastAsia="Calibri" w:hAnsi="Calibri"/>
        </w:rPr>
        <w:t xml:space="preserve">ShopEase carries a moderately high risk profile driven by an aggressive 6-month go-live constraint (TR-009), multiple third-party API dependencies with unconfirmed partnership statuses, and dual regulatory compliance obligations spanning both GDPR and the Indian IT Act. The project's reliance on several unvalidated assumptions — including SAP ERP data quality, ZestMoney partnership finalisation, and SKU catalog scalability — introduces compounding uncertainty that could affect both timeline and platform integrity. Proactive risk management and early validation of these assumptions are essential to keeping the project on track.</w:t>
      </w:r>
    </w:p>
    <w:p>
      <w:pPr>
        <w:spacing w:before="160" w:after="0"/>
      </w:pPr>
      <w:r>
        <w:rPr>
          <w:i/>
          <w:iCs/>
          <w:color w:val="A78BFA"/>
          <w:sz w:val="15"/>
          <w:szCs w:val="15"/>
          <w:rFonts w:ascii="Calibri" w:cs="Calibri" w:eastAsia="Calibri" w:hAnsi="Calibri"/>
        </w:rPr>
        <w:t xml:space="preserve">[ Quality: 40%  ·  Requirements used: 10 ]</w:t>
      </w:r>
    </w:p>
    <w:sectPr>
      <w:headerReference w:type="default" r:id="rId6"/>
      <w:footerReference w:type="default" r:id="rId7"/>
      <w:pgSz w:w="12240" w:h="15840" w:orient="portrait"/>
      <w:pgMar w:top="1200" w:right="1440" w:bottom="1200" w:left="1440" w:header="708" w:footer="708" w:gutter="0"/>
      <w:pgNumType w:start="2"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4B5FD" w:sz="4" w:space="1"/>
      </w:pBdr>
      <w:tabs>
        <w:tab w:val="right" w:pos="9360"/>
      </w:tabs>
      <w:spacing w:before="60" w:after="0"/>
    </w:pPr>
    <w:r>
      <w:rPr>
        <w:color w:val="A78BFA"/>
        <w:sz w:val="17"/>
        <w:szCs w:val="17"/>
        <w:rFonts w:ascii="Calibri" w:cs="Calibri" w:eastAsia="Calibri" w:hAnsi="Calibri"/>
      </w:rPr>
      <w:t xml:space="preserve">© 2026  Client 1  ·  Confidential</w:t>
    </w:r>
    <w:r>
      <w:rPr>
        <w:rFonts w:ascii="Calibri" w:cs="Calibri" w:eastAsia="Calibri" w:hAnsi="Calibri"/>
      </w:rPr>
      <w:t xml:space="preserve">	</w:t>
    </w:r>
    <w:r>
      <w:rPr>
        <w:color w:val="A78BFA"/>
        <w:sz w:val="17"/>
        <w:szCs w:val="17"/>
        <w:rFonts w:ascii="Calibri" w:cs="Calibri" w:eastAsia="Calibri" w:hAnsi="Calibri"/>
      </w:rPr>
      <w:t xml:space="preserve">Page </w:t>
    </w:r>
    <w:r>
      <w:rPr>
        <w:color w:val="A78BFA"/>
        <w:sz w:val="17"/>
        <w:szCs w:val="17"/>
        <w:rFonts w:ascii="Calibri" w:cs="Calibri" w:eastAsia="Calibri" w:hAnsi="Calibri"/>
      </w:rPr>
      <w:fldChar w:fldCharType="begin"/>
      <w:instrText xml:space="preserve">PAGE</w:instrText>
      <w:fldChar w:fldCharType="separate"/>
      <w:fldChar w:fldCharType="end"/>
    </w:r>
    <w:r>
      <w:rPr>
        <w:color w:val="A78BFA"/>
        <w:sz w:val="17"/>
        <w:szCs w:val="17"/>
        <w:rFonts w:ascii="Calibri" w:cs="Calibri" w:eastAsia="Calibri" w:hAnsi="Calibri"/>
      </w:rPr>
      <w:t xml:space="preserve"> of </w:t>
    </w:r>
    <w:r>
      <w:rPr>
        <w:color w:val="A78BFA"/>
        <w:sz w:val="17"/>
        <w:szCs w:val="17"/>
        <w:rFonts w:ascii="Calibri" w:cs="Calibri" w:eastAsia="Calibri" w:hAnsi="Calibri"/>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5B21B6" w:sz="6" w:space="1"/>
      </w:pBdr>
      <w:tabs>
        <w:tab w:val="right" w:pos="9360"/>
      </w:tabs>
      <w:spacing w:before="0" w:after="60"/>
    </w:pPr>
    <w:r>
      <w:drawing>
        <wp:inline distT="0" distB="0" distL="0" distR="0">
          <wp:extent cx="762000" cy="28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62000" cy="285750"/>
                  </a:xfrm>
                  <a:prstGeom prst="rect">
                    <a:avLst/>
                  </a:prstGeom>
                </pic:spPr>
              </pic:pic>
            </a:graphicData>
          </a:graphic>
        </wp:inline>
      </w:drawing>
    </w:r>
    <w:r>
      <w:rPr>
        <w:rFonts w:ascii="Calibri" w:cs="Calibri" w:eastAsia="Calibri" w:hAnsi="Calibri"/>
      </w:rPr>
      <w:t xml:space="preserve">	</w:t>
    </w:r>
    <w:r>
      <w:rPr>
        <w:color w:val="A78BFA"/>
        <w:sz w:val="17"/>
        <w:szCs w:val="17"/>
        <w:rFonts w:ascii="Calibri" w:cs="Calibri" w:eastAsia="Calibri" w:hAnsi="Calibri"/>
      </w:rPr>
      <w:t xml:space="preserve">Business Requirements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before="0" w:after="60"/>
        <w:ind w:left="720" w:hanging="360"/>
      </w:pPr>
      <w:rPr>
        <w:sz w:val="21"/>
        <w:szCs w:val="21"/>
        <w:rFonts w:ascii="Calibri" w:cs="Calibri" w:eastAsia="Calibri" w:hAnsi="Calibri"/>
      </w:rPr>
    </w:lvl>
  </w:abstractNum>
  <w:abstractNum w:abstractNumId="3" w15:restartNumberingAfterBreak="0">
    <w:multiLevelType w:val="hybridMultilevel"/>
    <w:lvl w:ilvl="0" w15:tentative="1">
      <w:start w:val="1"/>
      <w:numFmt w:val="decimal"/>
      <w:lvlText w:val="%1."/>
      <w:lvlJc w:val="left"/>
      <w:pPr>
        <w:spacing w:before="0" w:after="60"/>
        <w:ind w:left="720" w:hanging="360"/>
      </w:pPr>
      <w:rPr>
        <w:sz w:val="21"/>
        <w:szCs w:val="21"/>
        <w:rFonts w:ascii="Calibri" w:cs="Calibri" w:eastAsia="Calibri" w:hAnsi="Calibri"/>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color w:val="1A0533"/>
        <w:sz w:val="21"/>
        <w:szCs w:val="21"/>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keepNext/>
      <w:spacing w:before="320" w:after="120"/>
      <w:outlineLvl w:val="0"/>
    </w:pPr>
    <w:rPr>
      <w:b/>
      <w:bCs/>
      <w:color w:val="4C1D95"/>
      <w:sz w:val="28"/>
      <w:szCs w:val="28"/>
      <w:rFonts w:ascii="Calibri" w:cs="Calibri" w:eastAsia="Calibri" w:hAnsi="Calibri"/>
    </w:rPr>
  </w:style>
  <w:style w:type="paragraph" w:styleId="Heading2">
    <w:name w:val="Heading 2"/>
    <w:basedOn w:val="Normal"/>
    <w:next w:val="Normal"/>
    <w:qFormat/>
    <w:pPr>
      <w:keepNext/>
      <w:spacing w:before="240" w:after="80"/>
      <w:outlineLvl w:val="1"/>
    </w:pPr>
    <w:rPr>
      <w:b/>
      <w:bCs/>
      <w:color w:val="7C3AED"/>
      <w:sz w:val="24"/>
      <w:szCs w:val="24"/>
      <w:rFonts w:ascii="Calibri" w:cs="Calibri" w:eastAsia="Calibri" w:hAnsi="Calibri"/>
    </w:rPr>
  </w:style>
  <w:style w:type="paragraph" w:styleId="Heading3">
    <w:name w:val="Heading 3"/>
    <w:basedOn w:val="Normal"/>
    <w:next w:val="Normal"/>
    <w:qFormat/>
    <w:pPr>
      <w:keepNext/>
      <w:spacing w:before="160" w:after="60"/>
      <w:outlineLvl w:val="2"/>
    </w:pPr>
    <w:rPr>
      <w:b/>
      <w:bCs/>
      <w:color w:val="A78BFA"/>
      <w:sz w:val="21"/>
      <w:szCs w:val="21"/>
      <w:rFonts w:ascii="Calibri" w:cs="Calibri" w:eastAsia="Calibri" w:hAnsi="Calibri"/>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mlbfzr77j5bypv5qdplwa.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2026-04-29T06:37:35.741Z</dcterms:created>
  <dcterms:modified xsi:type="dcterms:W3CDTF">2026-04-29T06:37:35.741Z</dcterms:modified>
</cp:coreProperties>
</file>

<file path=docProps/custom.xml><?xml version="1.0" encoding="utf-8"?>
<Properties xmlns="http://schemas.openxmlformats.org/officeDocument/2006/custom-properties" xmlns:vt="http://schemas.openxmlformats.org/officeDocument/2006/docPropsVTypes"/>
</file>