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24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76"/>
      </w:tblGrid>
      <w:tr>
        <w:tc>
          <w:tcPr>
            <w:tcW w:type="dxa" w:w="9576"/>
            <w:shd w:val="clear" w:color="auto" w:fill="1A56DB"/>
          </w:tcPr>
          <w:p>
            <w:pPr>
              <w:spacing w:before="140" w:after="140"/>
            </w:pPr>
            <w:r>
              <w:rPr>
                <w:rFonts w:ascii="Calibri" w:hAnsi="Calibri"/>
                <w:b w:val="0"/>
                <w:i w:val="0"/>
                <w:color w:val="0F0F1A"/>
                <w:sz w:val="20"/>
              </w:rPr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60"/>
      </w:pPr>
      <w:r>
        <w:rPr>
          <w:rFonts w:ascii="Calibri" w:hAnsi="Calibri"/>
          <w:b/>
          <w:i w:val="0"/>
          <w:color w:val="0D1B3E"/>
          <w:sz w:val="52"/>
        </w:rPr>
        <w:t>EDUCATION4ALL</w:t>
      </w:r>
    </w:p>
    <w:p>
      <w:pPr>
        <w:spacing w:after="0"/>
      </w:pPr>
      <w:r>
        <w:rPr>
          <w:rFonts w:ascii="Calibri" w:hAnsi="Calibri"/>
          <w:b/>
          <w:i w:val="0"/>
          <w:color w:val="1A56DB"/>
          <w:sz w:val="20"/>
        </w:rPr>
        <w:t>BUSINESS REQUIREMENTS DOCUMENT</w:t>
      </w:r>
    </w:p>
    <w:p>
      <w:pPr>
        <w:spacing w:before="200" w:after="200"/>
        <w:pBdr>
          <w:bottom w:val="single" w:sz="8" w:space="1" w:color="1A56DB"/>
        </w:pBdr>
      </w:pPr>
    </w:p>
    <w:p>
      <w:pPr>
        <w:spacing w:after="400"/>
      </w:pPr>
      <w:r>
        <w:rPr>
          <w:rFonts w:ascii="Calibri" w:hAnsi="Calibri"/>
          <w:b w:val="0"/>
          <w:i/>
          <w:color w:val="5A5A72"/>
          <w:sz w:val="20"/>
        </w:rPr>
        <w:t>This is an educational platform like udemy and coursera providing various courses to people of all age groups</w:t>
      </w:r>
    </w:p>
    <w:tbl>
      <w:tblPr>
        <w:tblW w:type="dxa" w:w="924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88"/>
        <w:gridCol w:w="4788"/>
      </w:tblGrid>
      <w:tr>
        <w:tc>
          <w:tcPr>
            <w:tcW w:type="dxa" w:w="72"/>
            <w:shd w:val="clear" w:color="auto" w:fill="1A56DB"/>
          </w:tcPr>
          <w:p/>
        </w:tc>
        <w:tc>
          <w:tcPr>
            <w:tcW w:type="dxa" w:w="9168"/>
            <w:shd w:val="clear" w:color="auto" w:fill="F0F4FF"/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4584"/>
              <w:gridCol w:w="4584"/>
            </w:tblGrid>
            <w:tr>
              <w:tc>
                <w:tcPr>
                  <w:tcW w:type="dxa" w:w="4584"/>
                  <w:tcW w:w="2160" w:type="dxa"/>
                  <w:shd w:val="clear" w:color="auto" w:fill="F0F4FF"/>
                  <w:tcBorders>
                    <w:bottom w:val="single" w:sz="2" w:space="0" w:color="D0D8F0"/>
                  </w:tcBorders>
                </w:tcPr>
                <w:p>
                  <w:pPr>
                    <w:spacing w:before="100" w:after="100"/>
                    <w:ind w:left="216"/>
                  </w:pPr>
                  <w:r>
                    <w:rPr>
                      <w:rFonts w:ascii="Calibri" w:hAnsi="Calibri"/>
                      <w:b/>
                      <w:i w:val="0"/>
                      <w:color w:val="9CA3AF"/>
                      <w:sz w:val="15"/>
                    </w:rPr>
                    <w:t>CLIENT</w:t>
                  </w:r>
                </w:p>
              </w:tc>
              <w:tc>
                <w:tcPr>
                  <w:tcW w:type="dxa" w:w="4584"/>
                  <w:tcW w:w="7008" w:type="dxa"/>
                  <w:shd w:val="clear" w:color="auto" w:fill="F0F4FF"/>
                  <w:tcBorders>
                    <w:bottom w:val="single" w:sz="2" w:space="0" w:color="D0D8F0"/>
                  </w:tcBorders>
                </w:tcPr>
                <w:p>
                  <w:pPr>
                    <w:spacing w:before="100" w:after="100"/>
                    <w:ind w:left="115"/>
                  </w:pPr>
                  <w:r>
                    <w:rPr>
                      <w:rFonts w:ascii="Calibri" w:hAnsi="Calibri"/>
                      <w:b w:val="0"/>
                      <w:i w:val="0"/>
                      <w:color w:val="0D1B3E"/>
                      <w:sz w:val="20"/>
                    </w:rPr>
                    <w:t>Tom Anderson</w:t>
                  </w:r>
                </w:p>
              </w:tc>
            </w:tr>
            <w:tr>
              <w:tc>
                <w:tcPr>
                  <w:tcW w:type="dxa" w:w="4584"/>
                  <w:tcW w:w="2160" w:type="dxa"/>
                  <w:shd w:val="clear" w:color="auto" w:fill="F0F4FF"/>
                  <w:tcBorders>
                    <w:bottom w:val="single" w:sz="2" w:space="0" w:color="D0D8F0"/>
                  </w:tcBorders>
                </w:tcPr>
                <w:p>
                  <w:pPr>
                    <w:spacing w:before="100" w:after="100"/>
                    <w:ind w:left="216"/>
                  </w:pPr>
                  <w:r>
                    <w:rPr>
                      <w:rFonts w:ascii="Calibri" w:hAnsi="Calibri"/>
                      <w:b/>
                      <w:i w:val="0"/>
                      <w:color w:val="9CA3AF"/>
                      <w:sz w:val="15"/>
                    </w:rPr>
                    <w:t>PREPARED BY</w:t>
                  </w:r>
                </w:p>
              </w:tc>
              <w:tc>
                <w:tcPr>
                  <w:tcW w:type="dxa" w:w="4584"/>
                  <w:tcW w:w="7008" w:type="dxa"/>
                  <w:shd w:val="clear" w:color="auto" w:fill="F0F4FF"/>
                  <w:tcBorders>
                    <w:bottom w:val="single" w:sz="2" w:space="0" w:color="D0D8F0"/>
                  </w:tcBorders>
                </w:tcPr>
                <w:p>
                  <w:pPr>
                    <w:spacing w:before="100" w:after="100"/>
                    <w:ind w:left="115"/>
                  </w:pPr>
                  <w:r>
                    <w:rPr>
                      <w:rFonts w:ascii="Calibri" w:hAnsi="Calibri"/>
                      <w:b w:val="0"/>
                      <w:i w:val="0"/>
                      <w:color w:val="0D1B3E"/>
                      <w:sz w:val="20"/>
                    </w:rPr>
                    <w:t>Ramesh, Suresh</w:t>
                  </w:r>
                </w:p>
              </w:tc>
            </w:tr>
            <w:tr>
              <w:tc>
                <w:tcPr>
                  <w:tcW w:type="dxa" w:w="4584"/>
                  <w:tcW w:w="2160" w:type="dxa"/>
                  <w:shd w:val="clear" w:color="auto" w:fill="F0F4FF"/>
                  <w:tcBorders>
                    <w:bottom w:val="single" w:sz="2" w:space="0" w:color="D0D8F0"/>
                  </w:tcBorders>
                </w:tcPr>
                <w:p>
                  <w:pPr>
                    <w:spacing w:before="100" w:after="100"/>
                    <w:ind w:left="216"/>
                  </w:pPr>
                  <w:r>
                    <w:rPr>
                      <w:rFonts w:ascii="Calibri" w:hAnsi="Calibri"/>
                      <w:b/>
                      <w:i w:val="0"/>
                      <w:color w:val="9CA3AF"/>
                      <w:sz w:val="15"/>
                    </w:rPr>
                    <w:t>DATE</w:t>
                  </w:r>
                </w:p>
              </w:tc>
              <w:tc>
                <w:tcPr>
                  <w:tcW w:type="dxa" w:w="4584"/>
                  <w:tcW w:w="7008" w:type="dxa"/>
                  <w:shd w:val="clear" w:color="auto" w:fill="F0F4FF"/>
                  <w:tcBorders>
                    <w:bottom w:val="single" w:sz="2" w:space="0" w:color="D0D8F0"/>
                  </w:tcBorders>
                </w:tcPr>
                <w:p>
                  <w:pPr>
                    <w:spacing w:before="100" w:after="100"/>
                    <w:ind w:left="115"/>
                  </w:pPr>
                  <w:r>
                    <w:rPr>
                      <w:rFonts w:ascii="Calibri" w:hAnsi="Calibri"/>
                      <w:b w:val="0"/>
                      <w:i w:val="0"/>
                      <w:color w:val="0D1B3E"/>
                      <w:sz w:val="20"/>
                    </w:rPr>
                    <w:t>April 04, 2026</w:t>
                  </w:r>
                </w:p>
              </w:tc>
            </w:tr>
            <w:tr>
              <w:tc>
                <w:tcPr>
                  <w:tcW w:type="dxa" w:w="4584"/>
                  <w:tcW w:w="2160" w:type="dxa"/>
                  <w:shd w:val="clear" w:color="auto" w:fill="F0F4FF"/>
                  <w:tcBorders>
                    <w:bottom w:val="single" w:sz="2" w:space="0" w:color="D0D8F0"/>
                  </w:tcBorders>
                </w:tcPr>
                <w:p>
                  <w:pPr>
                    <w:spacing w:before="100" w:after="100"/>
                    <w:ind w:left="216"/>
                  </w:pPr>
                  <w:r>
                    <w:rPr>
                      <w:rFonts w:ascii="Calibri" w:hAnsi="Calibri"/>
                      <w:b/>
                      <w:i w:val="0"/>
                      <w:color w:val="9CA3AF"/>
                      <w:sz w:val="15"/>
                    </w:rPr>
                    <w:t>VERSION</w:t>
                  </w:r>
                </w:p>
              </w:tc>
              <w:tc>
                <w:tcPr>
                  <w:tcW w:type="dxa" w:w="4584"/>
                  <w:tcW w:w="7008" w:type="dxa"/>
                  <w:shd w:val="clear" w:color="auto" w:fill="F0F4FF"/>
                  <w:tcBorders>
                    <w:bottom w:val="single" w:sz="2" w:space="0" w:color="D0D8F0"/>
                  </w:tcBorders>
                </w:tcPr>
                <w:p>
                  <w:pPr>
                    <w:spacing w:before="100" w:after="100"/>
                    <w:ind w:left="115"/>
                  </w:pPr>
                  <w:r>
                    <w:rPr>
                      <w:rFonts w:ascii="Calibri" w:hAnsi="Calibri"/>
                      <w:b w:val="0"/>
                      <w:i w:val="0"/>
                      <w:color w:val="0D1B3E"/>
                      <w:sz w:val="20"/>
                    </w:rPr>
                    <w:t>v1.0 — DRAFT</w:t>
                  </w:r>
                </w:p>
              </w:tc>
            </w:tr>
            <w:tr>
              <w:tc>
                <w:tcPr>
                  <w:tcW w:type="dxa" w:w="4584"/>
                  <w:tcW w:w="2160" w:type="dxa"/>
                  <w:shd w:val="clear" w:color="auto" w:fill="F0F4FF"/>
                </w:tcPr>
                <w:p>
                  <w:pPr>
                    <w:spacing w:before="100" w:after="100"/>
                    <w:ind w:left="216"/>
                  </w:pPr>
                  <w:r>
                    <w:rPr>
                      <w:rFonts w:ascii="Calibri" w:hAnsi="Calibri"/>
                      <w:b/>
                      <w:i w:val="0"/>
                      <w:color w:val="9CA3AF"/>
                      <w:sz w:val="15"/>
                    </w:rPr>
                    <w:t>CLASSIFICATION</w:t>
                  </w:r>
                </w:p>
              </w:tc>
              <w:tc>
                <w:tcPr>
                  <w:tcW w:type="dxa" w:w="4584"/>
                  <w:tcW w:w="7008" w:type="dxa"/>
                  <w:shd w:val="clear" w:color="auto" w:fill="F0F4FF"/>
                </w:tcPr>
                <w:p>
                  <w:pPr>
                    <w:spacing w:before="100" w:after="100"/>
                    <w:ind w:left="115"/>
                  </w:pPr>
                  <w:r>
                    <w:rPr>
                      <w:rFonts w:ascii="Calibri" w:hAnsi="Calibri"/>
                      <w:b w:val="0"/>
                      <w:i w:val="0"/>
                      <w:color w:val="0D1B3E"/>
                      <w:sz w:val="20"/>
                    </w:rPr>
                    <w:t>Confidential</w:t>
                  </w:r>
                </w:p>
              </w:tc>
            </w:tr>
          </w:tbl>
          <w:p/>
        </w:tc>
      </w:tr>
    </w:tbl>
    <w:p/>
    <w:p/>
    <w:p>
      <w:pPr>
        <w:sectPr>
          <w:pgSz w:w="12240" w:h="15840"/>
          <w:pgMar w:top="1247" w:right="1247" w:bottom="1247" w:left="1417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rFonts w:ascii="Calibri" w:hAnsi="Calibri"/>
          <w:b/>
          <w:i w:val="0"/>
          <w:color w:val="0D1B3E"/>
          <w:sz w:val="26"/>
        </w:rPr>
        <w:t>Table of Contents</w:t>
      </w:r>
    </w:p>
    <w:p>
      <w:pPr>
        <w:spacing w:before="40" w:after="40"/>
        <w:pBdr>
          <w:bottom w:val="single" w:sz="5" w:space="1" w:color="1A56DB"/>
        </w:pBdr>
      </w:pPr>
    </w:p>
    <w:tbl>
      <w:tblPr>
        <w:tblW w:type="dxa" w:w="924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88"/>
        <w:gridCol w:w="4788"/>
      </w:tblGrid>
      <w:tr>
        <w:tc>
          <w:tcPr>
            <w:tcW w:type="dxa" w:w="8232"/>
            <w:shd w:val="clear" w:color="auto" w:fill="F8F9FF"/>
          </w:tcPr>
          <w:p>
            <w:pPr>
              <w:spacing w:before="80" w:after="80"/>
              <w:ind w:left="144"/>
            </w:pPr>
            <w:r>
              <w:rPr>
                <w:rFonts w:ascii="Calibri" w:hAnsi="Calibri"/>
                <w:b/>
                <w:i w:val="0"/>
                <w:color w:val="1A56DB"/>
                <w:sz w:val="20"/>
              </w:rPr>
              <w:t xml:space="preserve">1.  </w:t>
            </w:r>
            <w:r>
              <w:rPr>
                <w:rFonts w:ascii="Calibri" w:hAnsi="Calibri"/>
                <w:b w:val="0"/>
                <w:i w:val="0"/>
                <w:color w:val="0D1B3E"/>
                <w:sz w:val="20"/>
              </w:rPr>
              <w:t>Executive Summary</w:t>
            </w:r>
          </w:p>
        </w:tc>
        <w:tc>
          <w:tcPr>
            <w:tcW w:type="dxa" w:w="1008"/>
            <w:shd w:val="clear" w:color="auto" w:fill="F8F9FF"/>
          </w:tcPr>
          <w:p>
            <w:pPr>
              <w:spacing w:before="80" w:after="80"/>
              <w:ind w:right="144"/>
              <w:jc w:val="right"/>
            </w:pPr>
            <w:r>
              <w:rPr>
                <w:rFonts w:ascii="Calibri" w:hAnsi="Calibri"/>
                <w:b w:val="0"/>
                <w:i w:val="0"/>
                <w:color w:val="5A5A72"/>
                <w:sz w:val="20"/>
              </w:rPr>
              <w:t>3</w:t>
            </w:r>
          </w:p>
        </w:tc>
      </w:tr>
      <w:tr>
        <w:tc>
          <w:tcPr>
            <w:tcW w:type="dxa" w:w="8232"/>
          </w:tcPr>
          <w:p>
            <w:pPr>
              <w:spacing w:before="80" w:after="80"/>
              <w:ind w:left="144"/>
            </w:pPr>
            <w:r>
              <w:rPr>
                <w:rFonts w:ascii="Calibri" w:hAnsi="Calibri"/>
                <w:b/>
                <w:i w:val="0"/>
                <w:color w:val="1A56DB"/>
                <w:sz w:val="20"/>
              </w:rPr>
              <w:t xml:space="preserve">2.  </w:t>
            </w:r>
            <w:r>
              <w:rPr>
                <w:rFonts w:ascii="Calibri" w:hAnsi="Calibri"/>
                <w:b w:val="0"/>
                <w:i w:val="0"/>
                <w:color w:val="0D1B3E"/>
                <w:sz w:val="20"/>
              </w:rPr>
              <w:t>Business Context and Background</w:t>
            </w:r>
          </w:p>
        </w:tc>
        <w:tc>
          <w:tcPr>
            <w:tcW w:type="dxa" w:w="1008"/>
          </w:tcPr>
          <w:p>
            <w:pPr>
              <w:spacing w:before="80" w:after="80"/>
              <w:ind w:right="144"/>
              <w:jc w:val="right"/>
            </w:pPr>
            <w:r>
              <w:rPr>
                <w:rFonts w:ascii="Calibri" w:hAnsi="Calibri"/>
                <w:b w:val="0"/>
                <w:i w:val="0"/>
                <w:color w:val="5A5A72"/>
                <w:sz w:val="20"/>
              </w:rPr>
              <w:t>4</w:t>
            </w:r>
          </w:p>
        </w:tc>
      </w:tr>
      <w:tr>
        <w:tc>
          <w:tcPr>
            <w:tcW w:type="dxa" w:w="8232"/>
            <w:shd w:val="clear" w:color="auto" w:fill="F8F9FF"/>
          </w:tcPr>
          <w:p>
            <w:pPr>
              <w:spacing w:before="80" w:after="80"/>
              <w:ind w:left="144"/>
            </w:pPr>
            <w:r>
              <w:rPr>
                <w:rFonts w:ascii="Calibri" w:hAnsi="Calibri"/>
                <w:b/>
                <w:i w:val="0"/>
                <w:color w:val="1A56DB"/>
                <w:sz w:val="20"/>
              </w:rPr>
              <w:t xml:space="preserve">3.  </w:t>
            </w:r>
            <w:r>
              <w:rPr>
                <w:rFonts w:ascii="Calibri" w:hAnsi="Calibri"/>
                <w:b w:val="0"/>
                <w:i w:val="0"/>
                <w:color w:val="0D1B3E"/>
                <w:sz w:val="20"/>
              </w:rPr>
              <w:t>Project Objectives and Success Criteria</w:t>
            </w:r>
          </w:p>
        </w:tc>
        <w:tc>
          <w:tcPr>
            <w:tcW w:type="dxa" w:w="1008"/>
            <w:shd w:val="clear" w:color="auto" w:fill="F8F9FF"/>
          </w:tcPr>
          <w:p>
            <w:pPr>
              <w:spacing w:before="80" w:after="80"/>
              <w:ind w:right="144"/>
              <w:jc w:val="right"/>
            </w:pPr>
            <w:r>
              <w:rPr>
                <w:rFonts w:ascii="Calibri" w:hAnsi="Calibri"/>
                <w:b w:val="0"/>
                <w:i w:val="0"/>
                <w:color w:val="5A5A72"/>
                <w:sz w:val="20"/>
              </w:rPr>
              <w:t>5</w:t>
            </w:r>
          </w:p>
        </w:tc>
      </w:tr>
      <w:tr>
        <w:tc>
          <w:tcPr>
            <w:tcW w:type="dxa" w:w="8232"/>
          </w:tcPr>
          <w:p>
            <w:pPr>
              <w:spacing w:before="80" w:after="80"/>
              <w:ind w:left="144"/>
            </w:pPr>
            <w:r>
              <w:rPr>
                <w:rFonts w:ascii="Calibri" w:hAnsi="Calibri"/>
                <w:b/>
                <w:i w:val="0"/>
                <w:color w:val="1A56DB"/>
                <w:sz w:val="20"/>
              </w:rPr>
              <w:t xml:space="preserve">4.  </w:t>
            </w:r>
            <w:r>
              <w:rPr>
                <w:rFonts w:ascii="Calibri" w:hAnsi="Calibri"/>
                <w:b w:val="0"/>
                <w:i w:val="0"/>
                <w:color w:val="0D1B3E"/>
                <w:sz w:val="20"/>
              </w:rPr>
              <w:t>Scope</w:t>
            </w:r>
          </w:p>
        </w:tc>
        <w:tc>
          <w:tcPr>
            <w:tcW w:type="dxa" w:w="1008"/>
          </w:tcPr>
          <w:p>
            <w:pPr>
              <w:spacing w:before="80" w:after="80"/>
              <w:ind w:right="144"/>
              <w:jc w:val="right"/>
            </w:pPr>
            <w:r>
              <w:rPr>
                <w:rFonts w:ascii="Calibri" w:hAnsi="Calibri"/>
                <w:b w:val="0"/>
                <w:i w:val="0"/>
                <w:color w:val="5A5A72"/>
                <w:sz w:val="20"/>
              </w:rPr>
              <w:t>6</w:t>
            </w:r>
          </w:p>
        </w:tc>
      </w:tr>
      <w:tr>
        <w:tc>
          <w:tcPr>
            <w:tcW w:type="dxa" w:w="8232"/>
            <w:shd w:val="clear" w:color="auto" w:fill="F8F9FF"/>
          </w:tcPr>
          <w:p>
            <w:pPr>
              <w:spacing w:before="80" w:after="80"/>
              <w:ind w:left="144"/>
            </w:pPr>
            <w:r>
              <w:rPr>
                <w:rFonts w:ascii="Calibri" w:hAnsi="Calibri"/>
                <w:b/>
                <w:i w:val="0"/>
                <w:color w:val="1A56DB"/>
                <w:sz w:val="20"/>
              </w:rPr>
              <w:t xml:space="preserve">5.  </w:t>
            </w:r>
            <w:r>
              <w:rPr>
                <w:rFonts w:ascii="Calibri" w:hAnsi="Calibri"/>
                <w:b w:val="0"/>
                <w:i w:val="0"/>
                <w:color w:val="0D1B3E"/>
                <w:sz w:val="20"/>
              </w:rPr>
              <w:t>Stakeholder Register</w:t>
            </w:r>
          </w:p>
        </w:tc>
        <w:tc>
          <w:tcPr>
            <w:tcW w:type="dxa" w:w="1008"/>
            <w:shd w:val="clear" w:color="auto" w:fill="F8F9FF"/>
          </w:tcPr>
          <w:p>
            <w:pPr>
              <w:spacing w:before="80" w:after="80"/>
              <w:ind w:right="144"/>
              <w:jc w:val="right"/>
            </w:pPr>
            <w:r>
              <w:rPr>
                <w:rFonts w:ascii="Calibri" w:hAnsi="Calibri"/>
                <w:b w:val="0"/>
                <w:i w:val="0"/>
                <w:color w:val="5A5A72"/>
                <w:sz w:val="20"/>
              </w:rPr>
              <w:t>7</w:t>
            </w:r>
          </w:p>
        </w:tc>
      </w:tr>
      <w:tr>
        <w:tc>
          <w:tcPr>
            <w:tcW w:type="dxa" w:w="8232"/>
          </w:tcPr>
          <w:p>
            <w:pPr>
              <w:spacing w:before="80" w:after="80"/>
              <w:ind w:left="144"/>
            </w:pPr>
            <w:r>
              <w:rPr>
                <w:rFonts w:ascii="Calibri" w:hAnsi="Calibri"/>
                <w:b/>
                <w:i w:val="0"/>
                <w:color w:val="1A56DB"/>
                <w:sz w:val="20"/>
              </w:rPr>
              <w:t xml:space="preserve">6.  </w:t>
            </w:r>
            <w:r>
              <w:rPr>
                <w:rFonts w:ascii="Calibri" w:hAnsi="Calibri"/>
                <w:b w:val="0"/>
                <w:i w:val="0"/>
                <w:color w:val="0D1B3E"/>
                <w:sz w:val="20"/>
              </w:rPr>
              <w:t>Functional Requirements</w:t>
            </w:r>
          </w:p>
        </w:tc>
        <w:tc>
          <w:tcPr>
            <w:tcW w:type="dxa" w:w="1008"/>
          </w:tcPr>
          <w:p>
            <w:pPr>
              <w:spacing w:before="80" w:after="80"/>
              <w:ind w:right="144"/>
              <w:jc w:val="right"/>
            </w:pPr>
            <w:r>
              <w:rPr>
                <w:rFonts w:ascii="Calibri" w:hAnsi="Calibri"/>
                <w:b w:val="0"/>
                <w:i w:val="0"/>
                <w:color w:val="5A5A72"/>
                <w:sz w:val="20"/>
              </w:rPr>
              <w:t>8</w:t>
            </w:r>
          </w:p>
        </w:tc>
      </w:tr>
      <w:tr>
        <w:tc>
          <w:tcPr>
            <w:tcW w:type="dxa" w:w="8232"/>
            <w:shd w:val="clear" w:color="auto" w:fill="F8F9FF"/>
          </w:tcPr>
          <w:p>
            <w:pPr>
              <w:spacing w:before="80" w:after="80"/>
              <w:ind w:left="144"/>
            </w:pPr>
            <w:r>
              <w:rPr>
                <w:rFonts w:ascii="Calibri" w:hAnsi="Calibri"/>
                <w:b/>
                <w:i w:val="0"/>
                <w:color w:val="1A56DB"/>
                <w:sz w:val="20"/>
              </w:rPr>
              <w:t xml:space="preserve">7.  </w:t>
            </w:r>
            <w:r>
              <w:rPr>
                <w:rFonts w:ascii="Calibri" w:hAnsi="Calibri"/>
                <w:b w:val="0"/>
                <w:i w:val="0"/>
                <w:color w:val="0D1B3E"/>
                <w:sz w:val="20"/>
              </w:rPr>
              <w:t>Non-Functional Requirements</w:t>
            </w:r>
          </w:p>
        </w:tc>
        <w:tc>
          <w:tcPr>
            <w:tcW w:type="dxa" w:w="1008"/>
            <w:shd w:val="clear" w:color="auto" w:fill="F8F9FF"/>
          </w:tcPr>
          <w:p>
            <w:pPr>
              <w:spacing w:before="80" w:after="80"/>
              <w:ind w:right="144"/>
              <w:jc w:val="right"/>
            </w:pPr>
            <w:r>
              <w:rPr>
                <w:rFonts w:ascii="Calibri" w:hAnsi="Calibri"/>
                <w:b w:val="0"/>
                <w:i w:val="0"/>
                <w:color w:val="5A5A72"/>
                <w:sz w:val="20"/>
              </w:rPr>
              <w:t>9</w:t>
            </w:r>
          </w:p>
        </w:tc>
      </w:tr>
      <w:tr>
        <w:tc>
          <w:tcPr>
            <w:tcW w:type="dxa" w:w="8232"/>
          </w:tcPr>
          <w:p>
            <w:pPr>
              <w:spacing w:before="80" w:after="80"/>
              <w:ind w:left="144"/>
            </w:pPr>
            <w:r>
              <w:rPr>
                <w:rFonts w:ascii="Calibri" w:hAnsi="Calibri"/>
                <w:b/>
                <w:i w:val="0"/>
                <w:color w:val="1A56DB"/>
                <w:sz w:val="20"/>
              </w:rPr>
              <w:t xml:space="preserve">8.  </w:t>
            </w:r>
            <w:r>
              <w:rPr>
                <w:rFonts w:ascii="Calibri" w:hAnsi="Calibri"/>
                <w:b w:val="0"/>
                <w:i w:val="0"/>
                <w:color w:val="0D1B3E"/>
                <w:sz w:val="20"/>
              </w:rPr>
              <w:t>Business Rules</w:t>
            </w:r>
          </w:p>
        </w:tc>
        <w:tc>
          <w:tcPr>
            <w:tcW w:type="dxa" w:w="1008"/>
          </w:tcPr>
          <w:p>
            <w:pPr>
              <w:spacing w:before="80" w:after="80"/>
              <w:ind w:right="144"/>
              <w:jc w:val="right"/>
            </w:pPr>
            <w:r>
              <w:rPr>
                <w:rFonts w:ascii="Calibri" w:hAnsi="Calibri"/>
                <w:b w:val="0"/>
                <w:i w:val="0"/>
                <w:color w:val="5A5A72"/>
                <w:sz w:val="20"/>
              </w:rPr>
              <w:t>11</w:t>
            </w:r>
          </w:p>
        </w:tc>
      </w:tr>
      <w:tr>
        <w:tc>
          <w:tcPr>
            <w:tcW w:type="dxa" w:w="8232"/>
            <w:shd w:val="clear" w:color="auto" w:fill="F8F9FF"/>
          </w:tcPr>
          <w:p>
            <w:pPr>
              <w:spacing w:before="80" w:after="80"/>
              <w:ind w:left="144"/>
            </w:pPr>
            <w:r>
              <w:rPr>
                <w:rFonts w:ascii="Calibri" w:hAnsi="Calibri"/>
                <w:b/>
                <w:i w:val="0"/>
                <w:color w:val="1A56DB"/>
                <w:sz w:val="20"/>
              </w:rPr>
              <w:t xml:space="preserve">9.  </w:t>
            </w:r>
            <w:r>
              <w:rPr>
                <w:rFonts w:ascii="Calibri" w:hAnsi="Calibri"/>
                <w:b w:val="0"/>
                <w:i w:val="0"/>
                <w:color w:val="0D1B3E"/>
                <w:sz w:val="20"/>
              </w:rPr>
              <w:t>User Roles and Permissions</w:t>
            </w:r>
          </w:p>
        </w:tc>
        <w:tc>
          <w:tcPr>
            <w:tcW w:type="dxa" w:w="1008"/>
            <w:shd w:val="clear" w:color="auto" w:fill="F8F9FF"/>
          </w:tcPr>
          <w:p>
            <w:pPr>
              <w:spacing w:before="80" w:after="80"/>
              <w:ind w:right="144"/>
              <w:jc w:val="right"/>
            </w:pPr>
            <w:r>
              <w:rPr>
                <w:rFonts w:ascii="Calibri" w:hAnsi="Calibri"/>
                <w:b w:val="0"/>
                <w:i w:val="0"/>
                <w:color w:val="5A5A72"/>
                <w:sz w:val="20"/>
              </w:rPr>
              <w:t>12</w:t>
            </w:r>
          </w:p>
        </w:tc>
      </w:tr>
      <w:tr>
        <w:tc>
          <w:tcPr>
            <w:tcW w:type="dxa" w:w="8232"/>
          </w:tcPr>
          <w:p>
            <w:pPr>
              <w:spacing w:before="80" w:after="80"/>
              <w:ind w:left="144"/>
            </w:pPr>
            <w:r>
              <w:rPr>
                <w:rFonts w:ascii="Calibri" w:hAnsi="Calibri"/>
                <w:b/>
                <w:i w:val="0"/>
                <w:color w:val="1A56DB"/>
                <w:sz w:val="20"/>
              </w:rPr>
              <w:t xml:space="preserve">10.  </w:t>
            </w:r>
            <w:r>
              <w:rPr>
                <w:rFonts w:ascii="Calibri" w:hAnsi="Calibri"/>
                <w:b w:val="0"/>
                <w:i w:val="0"/>
                <w:color w:val="0D1B3E"/>
                <w:sz w:val="20"/>
              </w:rPr>
              <w:t>User Journeys and Use Cases</w:t>
            </w:r>
          </w:p>
        </w:tc>
        <w:tc>
          <w:tcPr>
            <w:tcW w:type="dxa" w:w="1008"/>
          </w:tcPr>
          <w:p>
            <w:pPr>
              <w:spacing w:before="80" w:after="80"/>
              <w:ind w:right="144"/>
              <w:jc w:val="right"/>
            </w:pPr>
            <w:r>
              <w:rPr>
                <w:rFonts w:ascii="Calibri" w:hAnsi="Calibri"/>
                <w:b w:val="0"/>
                <w:i w:val="0"/>
                <w:color w:val="5A5A72"/>
                <w:sz w:val="20"/>
              </w:rPr>
              <w:t>13</w:t>
            </w:r>
          </w:p>
        </w:tc>
      </w:tr>
      <w:tr>
        <w:tc>
          <w:tcPr>
            <w:tcW w:type="dxa" w:w="8232"/>
            <w:shd w:val="clear" w:color="auto" w:fill="F8F9FF"/>
          </w:tcPr>
          <w:p>
            <w:pPr>
              <w:spacing w:before="80" w:after="80"/>
              <w:ind w:left="144"/>
            </w:pPr>
            <w:r>
              <w:rPr>
                <w:rFonts w:ascii="Calibri" w:hAnsi="Calibri"/>
                <w:b/>
                <w:i w:val="0"/>
                <w:color w:val="1A56DB"/>
                <w:sz w:val="20"/>
              </w:rPr>
              <w:t xml:space="preserve">11.  </w:t>
            </w:r>
            <w:r>
              <w:rPr>
                <w:rFonts w:ascii="Calibri" w:hAnsi="Calibri"/>
                <w:b w:val="0"/>
                <w:i w:val="0"/>
                <w:color w:val="0D1B3E"/>
                <w:sz w:val="20"/>
              </w:rPr>
              <w:t>Integration Requirements</w:t>
            </w:r>
          </w:p>
        </w:tc>
        <w:tc>
          <w:tcPr>
            <w:tcW w:type="dxa" w:w="1008"/>
            <w:shd w:val="clear" w:color="auto" w:fill="F8F9FF"/>
          </w:tcPr>
          <w:p>
            <w:pPr>
              <w:spacing w:before="80" w:after="80"/>
              <w:ind w:right="144"/>
              <w:jc w:val="right"/>
            </w:pPr>
            <w:r>
              <w:rPr>
                <w:rFonts w:ascii="Calibri" w:hAnsi="Calibri"/>
                <w:b w:val="0"/>
                <w:i w:val="0"/>
                <w:color w:val="5A5A72"/>
                <w:sz w:val="20"/>
              </w:rPr>
              <w:t>14</w:t>
            </w:r>
          </w:p>
        </w:tc>
      </w:tr>
      <w:tr>
        <w:tc>
          <w:tcPr>
            <w:tcW w:type="dxa" w:w="8232"/>
          </w:tcPr>
          <w:p>
            <w:pPr>
              <w:spacing w:before="80" w:after="80"/>
              <w:ind w:left="144"/>
            </w:pPr>
            <w:r>
              <w:rPr>
                <w:rFonts w:ascii="Calibri" w:hAnsi="Calibri"/>
                <w:b/>
                <w:i w:val="0"/>
                <w:color w:val="1A56DB"/>
                <w:sz w:val="20"/>
              </w:rPr>
              <w:t xml:space="preserve">12.  </w:t>
            </w:r>
            <w:r>
              <w:rPr>
                <w:rFonts w:ascii="Calibri" w:hAnsi="Calibri"/>
                <w:b w:val="0"/>
                <w:i w:val="0"/>
                <w:color w:val="0D1B3E"/>
                <w:sz w:val="20"/>
              </w:rPr>
              <w:t>Assumptions</w:t>
            </w:r>
          </w:p>
        </w:tc>
        <w:tc>
          <w:tcPr>
            <w:tcW w:type="dxa" w:w="1008"/>
          </w:tcPr>
          <w:p>
            <w:pPr>
              <w:spacing w:before="80" w:after="80"/>
              <w:ind w:right="144"/>
              <w:jc w:val="right"/>
            </w:pPr>
            <w:r>
              <w:rPr>
                <w:rFonts w:ascii="Calibri" w:hAnsi="Calibri"/>
                <w:b w:val="0"/>
                <w:i w:val="0"/>
                <w:color w:val="5A5A72"/>
                <w:sz w:val="20"/>
              </w:rPr>
              <w:t>15</w:t>
            </w:r>
          </w:p>
        </w:tc>
      </w:tr>
      <w:tr>
        <w:tc>
          <w:tcPr>
            <w:tcW w:type="dxa" w:w="8232"/>
            <w:shd w:val="clear" w:color="auto" w:fill="F8F9FF"/>
          </w:tcPr>
          <w:p>
            <w:pPr>
              <w:spacing w:before="80" w:after="80"/>
              <w:ind w:left="144"/>
            </w:pPr>
            <w:r>
              <w:rPr>
                <w:rFonts w:ascii="Calibri" w:hAnsi="Calibri"/>
                <w:b/>
                <w:i w:val="0"/>
                <w:color w:val="1A56DB"/>
                <w:sz w:val="20"/>
              </w:rPr>
              <w:t xml:space="preserve">13.  </w:t>
            </w:r>
            <w:r>
              <w:rPr>
                <w:rFonts w:ascii="Calibri" w:hAnsi="Calibri"/>
                <w:b w:val="0"/>
                <w:i w:val="0"/>
                <w:color w:val="0D1B3E"/>
                <w:sz w:val="20"/>
              </w:rPr>
              <w:t>Constraints</w:t>
            </w:r>
          </w:p>
        </w:tc>
        <w:tc>
          <w:tcPr>
            <w:tcW w:type="dxa" w:w="1008"/>
            <w:shd w:val="clear" w:color="auto" w:fill="F8F9FF"/>
          </w:tcPr>
          <w:p>
            <w:pPr>
              <w:spacing w:before="80" w:after="80"/>
              <w:ind w:right="144"/>
              <w:jc w:val="right"/>
            </w:pPr>
            <w:r>
              <w:rPr>
                <w:rFonts w:ascii="Calibri" w:hAnsi="Calibri"/>
                <w:b w:val="0"/>
                <w:i w:val="0"/>
                <w:color w:val="5A5A72"/>
                <w:sz w:val="20"/>
              </w:rPr>
              <w:t>16</w:t>
            </w:r>
          </w:p>
        </w:tc>
      </w:tr>
    </w:tbl>
    <w:p>
      <w:pPr>
        <w:spacing w:before="40" w:after="40"/>
        <w:pBdr>
          <w:bottom w:val="single" w:sz="3" w:space="1" w:color="D0D8F0"/>
        </w:pBdr>
      </w:pPr>
    </w:p>
    <w:p>
      <w:r>
        <w:rPr>
          <w:rFonts w:ascii="Calibri" w:hAnsi="Calibri"/>
          <w:b w:val="0"/>
          <w:i/>
          <w:color w:val="9CA3AF"/>
          <w:sz w:val="16"/>
        </w:rPr>
        <w:t>Page numbers are estimates.</w:t>
      </w:r>
    </w:p>
    <w:p>
      <w:r>
        <w:br w:type="page"/>
      </w:r>
    </w:p>
    <w:p>
      <w:pPr>
        <w:pStyle w:val="Heading1"/>
        <w:keepNext/>
        <w:pBdr>
          <w:left w:val="single" w:sz="3" w:space="4" w:color="D0D8F0"/>
        </w:pBdr>
      </w:pPr>
      <w:r>
        <w:rPr>
          <w:rFonts w:ascii="Calibri" w:hAnsi="Calibri"/>
          <w:sz w:val="26"/>
        </w:rPr>
        <w:t>Executive Summary</w:t>
      </w:r>
    </w:p>
    <w:p>
      <w:pPr>
        <w:spacing w:before="40" w:after="40"/>
        <w:pBdr>
          <w:bottom w:val="single" w:sz="3" w:space="1" w:color="D0D8F0"/>
        </w:pBdr>
      </w:pPr>
    </w:p>
    <w:p>
      <w:pPr>
        <w:pStyle w:val="Heading3"/>
      </w:pPr>
      <w:r>
        <w:rPr>
          <w:rFonts w:ascii="Calibri" w:hAnsi="Calibri"/>
          <w:sz w:val="20"/>
        </w:rPr>
        <w:t>Business Problem</w:t>
      </w:r>
    </w:p>
    <w:p>
      <w:pPr>
        <w:spacing w:before="0" w:after="100" w:line="280" w:lineRule="exact"/>
      </w:pPr>
      <w:r>
        <w:rPr>
          <w:rFonts w:ascii="Calibri" w:hAnsi="Calibri"/>
          <w:b w:val="0"/>
          <w:i w:val="0"/>
          <w:color w:val="0F0F1A"/>
          <w:sz w:val="20"/>
        </w:rPr>
        <w:t>Learners across all age groups—from school students to elderly adults—lack a single, accessible platform to pursue academic, professional, and hobby-based learning. Existing solutions fail to serve this full demographic range with the simplicity and inclusivity required.</w:t>
      </w:r>
    </w:p>
    <w:p>
      <w:pPr>
        <w:pStyle w:val="Heading3"/>
      </w:pPr>
      <w:r>
        <w:rPr>
          <w:rFonts w:ascii="Calibri" w:hAnsi="Calibri"/>
          <w:sz w:val="20"/>
        </w:rPr>
        <w:t>Proposed Solution</w:t>
      </w:r>
    </w:p>
    <w:p>
      <w:pPr>
        <w:spacing w:before="0" w:after="100" w:line="280" w:lineRule="exact"/>
      </w:pPr>
      <w:r>
        <w:rPr>
          <w:rFonts w:ascii="Calibri" w:hAnsi="Calibri"/>
          <w:b w:val="0"/>
          <w:i w:val="0"/>
          <w:color w:val="0F0F1A"/>
          <w:sz w:val="20"/>
        </w:rPr>
        <w:t>Education4All is a web-based, multi-role online learning platform enabling learners to discover, enroll in, and complete courses across all categories, while empowering independent instructors to create and monetize content under structured admin oversight.</w:t>
      </w:r>
    </w:p>
    <w:p>
      <w:pPr>
        <w:pStyle w:val="Heading3"/>
      </w:pPr>
      <w:r>
        <w:rPr>
          <w:rFonts w:ascii="Calibri" w:hAnsi="Calibri"/>
          <w:sz w:val="20"/>
        </w:rPr>
        <w:t>Key Objectives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F0F1A"/>
          <w:sz w:val="20"/>
        </w:rPr>
        <w:t>Deliver a browsable, searchable course catalog supporting free and paid enrollment across all learner demographics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F0F1A"/>
          <w:sz w:val="20"/>
        </w:rPr>
        <w:t>Enable instructors to register, build, and publish video-based courses through a streamlined creation and approval workflow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F0F1A"/>
          <w:sz w:val="20"/>
        </w:rPr>
        <w:t>Equip admins with account management, course approval controls, and real-time analytics dashboards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F0F1A"/>
          <w:sz w:val="20"/>
        </w:rPr>
        <w:t>Ensure platform security, mobile responsiveness, WCAG 2.1 accessibility compliance, and scalability for thousands of concurrent users</w:t>
      </w:r>
    </w:p>
    <w:p>
      <w:pPr>
        <w:pStyle w:val="Heading3"/>
      </w:pPr>
      <w:r>
        <w:rPr>
          <w:rFonts w:ascii="Calibri" w:hAnsi="Calibri"/>
          <w:sz w:val="20"/>
        </w:rPr>
        <w:t>Expected Outcomes</w:t>
      </w:r>
    </w:p>
    <w:p>
      <w:pPr>
        <w:spacing w:before="0" w:after="100" w:line="280" w:lineRule="exact"/>
      </w:pPr>
      <w:r>
        <w:rPr>
          <w:rFonts w:ascii="Calibri" w:hAnsi="Calibri"/>
          <w:b w:val="0"/>
          <w:i w:val="0"/>
          <w:color w:val="0F0F1A"/>
          <w:sz w:val="20"/>
        </w:rPr>
        <w:t>Education4All will provide a trusted, inclusive learning environment where learners earn verified digital certificates, instructors generate revenue through a secure payment-sharing model, and admins maintain full platform governance. The platform will deliver measurable engagement growth through personalized recommendations, real-time performance analytics, and a user experience comparable to industry leaders Coursera and Udemy.</w:t>
      </w:r>
    </w:p>
    <w:p>
      <w:pPr>
        <w:pStyle w:val="Heading1"/>
        <w:keepNext/>
        <w:pageBreakBefore/>
        <w:pBdr>
          <w:left w:val="single" w:sz="3" w:space="4" w:color="D0D8F0"/>
        </w:pBdr>
      </w:pPr>
      <w:r>
        <w:rPr>
          <w:rFonts w:ascii="Calibri" w:hAnsi="Calibri"/>
          <w:sz w:val="26"/>
        </w:rPr>
        <w:t>Business Context and Background</w:t>
      </w:r>
    </w:p>
    <w:p>
      <w:pPr>
        <w:spacing w:before="40" w:after="40"/>
        <w:pBdr>
          <w:bottom w:val="single" w:sz="3" w:space="1" w:color="D0D8F0"/>
        </w:pBdr>
      </w:pPr>
    </w:p>
    <w:p>
      <w:pPr>
        <w:pStyle w:val="Heading2"/>
        <w:pBdr>
          <w:left w:val="single" w:sz="12" w:space="4" w:color="1A56DB"/>
        </w:pBdr>
      </w:pPr>
      <w:r>
        <w:rPr>
          <w:rFonts w:ascii="Calibri" w:hAnsi="Calibri"/>
          <w:sz w:val="22"/>
        </w:rPr>
        <w:t>Business Context</w:t>
      </w:r>
    </w:p>
    <w:p>
      <w:pPr>
        <w:pStyle w:val="Heading3"/>
      </w:pPr>
      <w:r>
        <w:rPr>
          <w:rFonts w:ascii="Calibri" w:hAnsi="Calibri"/>
          <w:sz w:val="20"/>
        </w:rPr>
        <w:t>Current State</w:t>
      </w:r>
    </w:p>
    <w:p>
      <w:pPr>
        <w:spacing w:before="0" w:after="100" w:line="280" w:lineRule="exact"/>
      </w:pPr>
      <w:r>
        <w:rPr>
          <w:rFonts w:ascii="Calibri" w:hAnsi="Calibri"/>
          <w:b w:val="0"/>
          <w:i w:val="0"/>
          <w:color w:val="0F0F1A"/>
          <w:sz w:val="20"/>
        </w:rPr>
        <w:t xml:space="preserve">Education4All (TR-001: Tom Anderson, client) is a greenfield online learning platform targeting learners across </w:t>
      </w:r>
      <w:r>
        <w:rPr>
          <w:rFonts w:ascii="Calibri" w:hAnsi="Calibri"/>
          <w:b/>
          <w:i w:val="0"/>
          <w:color w:val="0F0F1A"/>
          <w:sz w:val="20"/>
        </w:rPr>
        <w:t>all age groups</w:t>
      </w:r>
      <w:r>
        <w:rPr>
          <w:rFonts w:ascii="Calibri" w:hAnsi="Calibri"/>
          <w:b w:val="0"/>
          <w:i w:val="0"/>
          <w:color w:val="0F0F1A"/>
          <w:sz w:val="20"/>
        </w:rPr>
        <w:t>, designed to compete with Coursera and Udemy (TR-035) through independent instructor-led course delivery (TR-031) via standard web browsers (TR-030).</w:t>
      </w:r>
    </w:p>
    <w:p>
      <w:pPr>
        <w:pStyle w:val="Heading3"/>
      </w:pPr>
      <w:r>
        <w:rPr>
          <w:rFonts w:ascii="Calibri" w:hAnsi="Calibri"/>
          <w:sz w:val="20"/>
        </w:rPr>
        <w:t>Problem</w:t>
      </w:r>
    </w:p>
    <w:p>
      <w:pPr>
        <w:spacing w:before="0" w:after="100" w:line="280" w:lineRule="exact"/>
      </w:pPr>
      <w:r>
        <w:rPr>
          <w:rFonts w:ascii="Calibri" w:hAnsi="Calibri"/>
          <w:b w:val="0"/>
          <w:i w:val="0"/>
          <w:color w:val="0F0F1A"/>
          <w:sz w:val="20"/>
        </w:rPr>
        <w:t>The platform must simultaneously address three competing tensions:</w:t>
      </w:r>
    </w:p>
    <w:tbl>
      <w:tblPr>
        <w:tblW w:type="dxa" w:w="924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88"/>
        <w:gridCol w:w="4788"/>
      </w:tblGrid>
      <w:tr>
        <w:tc>
          <w:tcPr>
            <w:tcW w:type="dxa" w:w="3234"/>
            <w:shd w:val="clear" w:color="auto" w:fill="0D1B3E"/>
            <w:tcBorders>
              <w:bottom w:val="single" w:sz="4" w:space="0" w:color="1A56DB"/>
            </w:tcBorders>
            <w:vAlign w:val="center"/>
          </w:tcPr>
          <w:p>
            <w:pPr>
              <w:spacing w:before="60" w:after="60"/>
              <w:ind w:left="86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Tension</w:t>
            </w:r>
          </w:p>
        </w:tc>
        <w:tc>
          <w:tcPr>
            <w:tcW w:type="dxa" w:w="6006"/>
            <w:shd w:val="clear" w:color="auto" w:fill="0D1B3E"/>
            <w:tcBorders>
              <w:bottom w:val="single" w:sz="4" w:space="0" w:color="1A56DB"/>
            </w:tcBorders>
            <w:vAlign w:val="center"/>
          </w:tcPr>
          <w:p>
            <w:pPr>
              <w:spacing w:before="60" w:after="60"/>
              <w:ind w:left="86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Requirement Reference</w:t>
            </w:r>
          </w:p>
        </w:tc>
      </w:tr>
      <w:tr>
        <w:tc>
          <w:tcPr>
            <w:tcW w:type="dxa" w:w="3234"/>
            <w:shd w:val="clear" w:color="auto" w:fill="FFFFFF"/>
            <w:vAlign w:val="center"/>
          </w:tcPr>
          <w:p>
            <w:pPr>
              <w:spacing w:before="60" w:after="60"/>
              <w:ind w:left="86"/>
            </w:pPr>
            <w:r>
              <w:rPr>
                <w:rFonts w:ascii="Calibri" w:hAnsi="Calibri"/>
                <w:b w:val="0"/>
                <w:i w:val="0"/>
                <w:color w:val="0F0F1A"/>
                <w:sz w:val="20"/>
              </w:rPr>
              <w:t>Accessibility vs. Feature Parity</w:t>
            </w:r>
          </w:p>
        </w:tc>
        <w:tc>
          <w:tcPr>
            <w:tcW w:type="dxa" w:w="6006"/>
            <w:shd w:val="clear" w:color="auto" w:fill="FFFFFF"/>
            <w:vAlign w:val="center"/>
          </w:tcPr>
          <w:p>
            <w:pPr>
              <w:spacing w:before="60" w:after="60"/>
              <w:ind w:left="86"/>
            </w:pPr>
            <w:r>
              <w:rPr>
                <w:rFonts w:ascii="Calibri" w:hAnsi="Calibri"/>
                <w:b w:val="0"/>
                <w:i w:val="0"/>
                <w:color w:val="0F0F1A"/>
                <w:sz w:val="20"/>
              </w:rPr>
              <w:t>TR-034 (WCAG 2.1) vs. TR-035 (Coursera/Udemy scope)</w:t>
            </w:r>
          </w:p>
        </w:tc>
      </w:tr>
      <w:tr>
        <w:tc>
          <w:tcPr>
            <w:tcW w:type="dxa" w:w="3234"/>
            <w:shd w:val="clear" w:color="auto" w:fill="F8F9FF"/>
            <w:vAlign w:val="center"/>
          </w:tcPr>
          <w:p>
            <w:pPr>
              <w:spacing w:before="60" w:after="60"/>
              <w:ind w:left="86"/>
            </w:pPr>
            <w:r>
              <w:rPr>
                <w:rFonts w:ascii="Calibri" w:hAnsi="Calibri"/>
                <w:b w:val="0"/>
                <w:i w:val="0"/>
                <w:color w:val="0F0F1A"/>
                <w:sz w:val="20"/>
              </w:rPr>
              <w:t>Monetisation complexity</w:t>
            </w:r>
          </w:p>
        </w:tc>
        <w:tc>
          <w:tcPr>
            <w:tcW w:type="dxa" w:w="6006"/>
            <w:shd w:val="clear" w:color="auto" w:fill="F8F9FF"/>
            <w:vAlign w:val="center"/>
          </w:tcPr>
          <w:p>
            <w:pPr>
              <w:spacing w:before="60" w:after="60"/>
              <w:ind w:left="86"/>
            </w:pPr>
            <w:r>
              <w:rPr>
                <w:rFonts w:ascii="Calibri" w:hAnsi="Calibri"/>
                <w:b w:val="0"/>
                <w:i w:val="0"/>
                <w:color w:val="0F0F1A"/>
                <w:sz w:val="20"/>
              </w:rPr>
              <w:t>TR-032 (third-party payment gateway for paid courses)</w:t>
            </w:r>
          </w:p>
        </w:tc>
      </w:tr>
      <w:tr>
        <w:tc>
          <w:tcPr>
            <w:tcW w:type="dxa" w:w="3234"/>
            <w:shd w:val="clear" w:color="auto" w:fill="FFFFFF"/>
            <w:vAlign w:val="center"/>
          </w:tcPr>
          <w:p>
            <w:pPr>
              <w:spacing w:before="60" w:after="60"/>
              <w:ind w:left="86"/>
            </w:pPr>
            <w:r>
              <w:rPr>
                <w:rFonts w:ascii="Calibri" w:hAnsi="Calibri"/>
                <w:b w:val="0"/>
                <w:i w:val="0"/>
                <w:color w:val="0F0F1A"/>
                <w:sz w:val="20"/>
              </w:rPr>
              <w:t>Instructor independence vs. Quality control</w:t>
            </w:r>
          </w:p>
        </w:tc>
        <w:tc>
          <w:tcPr>
            <w:tcW w:type="dxa" w:w="6006"/>
            <w:shd w:val="clear" w:color="auto" w:fill="FFFFFF"/>
            <w:vAlign w:val="center"/>
          </w:tcPr>
          <w:p>
            <w:pPr>
              <w:spacing w:before="60" w:after="60"/>
              <w:ind w:left="86"/>
            </w:pPr>
            <w:r>
              <w:rPr>
                <w:rFonts w:ascii="Calibri" w:hAnsi="Calibri"/>
                <w:b w:val="0"/>
                <w:i w:val="0"/>
                <w:color w:val="0F0F1A"/>
                <w:sz w:val="20"/>
              </w:rPr>
              <w:t>TR-031 (independent creators) vs. Course Approval workflow</w:t>
            </w:r>
          </w:p>
        </w:tc>
      </w:tr>
    </w:tbl>
    <w:p/>
    <w:p>
      <w:pPr>
        <w:spacing w:before="0" w:after="100" w:line="280" w:lineRule="exact"/>
      </w:pPr>
      <w:r>
        <w:rPr>
          <w:rFonts w:ascii="Calibri" w:hAnsi="Calibri"/>
          <w:b w:val="0"/>
          <w:i w:val="0"/>
          <w:color w:val="0F0F1A"/>
          <w:sz w:val="20"/>
        </w:rPr>
        <w:t>Without resolving these, the platform risks excluding elderly/beginner learners through poor accessibility, delivering inconsistent course quality without a governed approval workflow, and failing payment compliance under TR-032.</w:t>
      </w:r>
    </w:p>
    <w:p>
      <w:pPr>
        <w:pStyle w:val="Heading3"/>
      </w:pPr>
      <w:r>
        <w:rPr>
          <w:rFonts w:ascii="Calibri" w:hAnsi="Calibri"/>
          <w:sz w:val="20"/>
        </w:rPr>
        <w:t>Impact if Unresolved</w:t>
      </w:r>
    </w:p>
    <w:p>
      <w:pPr>
        <w:spacing w:before="0" w:after="100" w:line="280" w:lineRule="exact"/>
      </w:pPr>
      <w:r>
        <w:rPr>
          <w:rFonts w:ascii="Calibri" w:hAnsi="Calibri"/>
          <w:b w:val="0"/>
          <w:i w:val="0"/>
          <w:color w:val="0F0F1A"/>
          <w:sz w:val="20"/>
        </w:rPr>
        <w:t xml:space="preserve">Failure to balance WCAG 2.1 compliance (TR-034, </w:t>
      </w:r>
      <w:r>
        <w:rPr>
          <w:rFonts w:ascii="Calibri" w:hAnsi="Calibri"/>
          <w:b/>
          <w:i w:val="0"/>
          <w:color w:val="0F0F1A"/>
          <w:sz w:val="20"/>
        </w:rPr>
        <w:t>MUST_HAVE</w:t>
      </w:r>
      <w:r>
        <w:rPr>
          <w:rFonts w:ascii="Calibri" w:hAnsi="Calibri"/>
          <w:b w:val="0"/>
          <w:i w:val="0"/>
          <w:color w:val="0F0F1A"/>
          <w:sz w:val="20"/>
        </w:rPr>
        <w:t>) with full feature delivery risks regulatory exposure, learner drop-off across age groups, and loss of competitive positioning against established platforms — directly undermining Education4All's core inclusive education mission.</w:t>
      </w:r>
    </w:p>
    <w:p>
      <w:pPr>
        <w:pStyle w:val="Heading1"/>
        <w:keepNext/>
        <w:pageBreakBefore/>
        <w:pBdr>
          <w:left w:val="single" w:sz="3" w:space="4" w:color="D0D8F0"/>
        </w:pBdr>
      </w:pPr>
      <w:r>
        <w:rPr>
          <w:rFonts w:ascii="Calibri" w:hAnsi="Calibri"/>
          <w:sz w:val="26"/>
        </w:rPr>
        <w:t>Project Objectives and Success Criteria</w:t>
      </w:r>
    </w:p>
    <w:p>
      <w:pPr>
        <w:spacing w:before="40" w:after="40"/>
        <w:pBdr>
          <w:bottom w:val="single" w:sz="3" w:space="1" w:color="D0D8F0"/>
        </w:pBdr>
      </w:pPr>
    </w:p>
    <w:p>
      <w:pPr>
        <w:pStyle w:val="Heading2"/>
        <w:pBdr>
          <w:left w:val="single" w:sz="12" w:space="4" w:color="1A56DB"/>
        </w:pBdr>
      </w:pPr>
      <w:r>
        <w:rPr>
          <w:rFonts w:ascii="Calibri" w:hAnsi="Calibri"/>
          <w:sz w:val="22"/>
        </w:rPr>
        <w:t>Project Objectives | # | Objective | Metric | Target | |---|-----------|--------|--------| | 1 | Launch a scalable multi-role online learning platform supporting Learners, Instructors, and Admins | Concurrent users supported without performance degradation | ≥ 10,000 simultaneous users | | 2 | Enable course discovery and enrollment across 3 content categories | Course search response time; categories available at launch | &lt; 2 seconds; 3 categories live | | 3 | Deliver automated certification upon course completion | % of completions triggering instant certificate generation | 100% automated issuance | | 4 | Implement secure, PCI-DSS compliant payment processing for paid courses | Payment compliance audit score; plain-text card data incidents | Full PCI-DSS compliance; 0 incidents | | 5 | Provide personalised recommendations driving learner engagement | Minimum recommendations displayed per learner dashboard | ≥ 5 recommendations per user | | 6 | Equip admins and instructors with real-time analytics dashboards | KPIs tracked; dashboard data refresh rate | ≥ 6 KPIs; real-time (≤ 60s delay) | The Education4All platform is targeted for full delivery within an agreed project timeline, with all MUST_HAVE requirements completed prior to launch.</w:t>
      </w:r>
    </w:p>
    <w:p>
      <w:pPr>
        <w:pStyle w:val="Heading1"/>
        <w:keepNext/>
        <w:pageBreakBefore/>
        <w:pBdr>
          <w:left w:val="single" w:sz="3" w:space="4" w:color="D0D8F0"/>
        </w:pBdr>
      </w:pPr>
      <w:r>
        <w:rPr>
          <w:rFonts w:ascii="Calibri" w:hAnsi="Calibri"/>
          <w:sz w:val="26"/>
        </w:rPr>
        <w:t>Scope</w:t>
      </w:r>
    </w:p>
    <w:p>
      <w:pPr>
        <w:spacing w:before="40" w:after="40"/>
        <w:pBdr>
          <w:bottom w:val="single" w:sz="3" w:space="1" w:color="D0D8F0"/>
        </w:pBdr>
      </w:pPr>
    </w:p>
    <w:p>
      <w:pPr>
        <w:pStyle w:val="Heading2"/>
        <w:pBdr>
          <w:left w:val="single" w:sz="12" w:space="4" w:color="1A56DB"/>
        </w:pBdr>
      </w:pPr>
      <w:r>
        <w:rPr>
          <w:rFonts w:ascii="Calibri" w:hAnsi="Calibri"/>
          <w:sz w:val="22"/>
        </w:rPr>
        <w:t>Scope ### In Scope - **Multi-role user system** (Admin, Instructor, Learner) with distinct permissions and access controls — TR-022, US-020 - **Learner features**: registration, course browsing/search, enrollment (free &amp; paid), progress tracking, certificate generation — US-001 to US-005, TR-009 to TR-012 - **Instructor features**: account registration, course creation tools, video/document uploads, content editing, revenue payouts — US-008 to US-012, TR-006 to TR-008 - **Admin panel**: user/instructor account management, course approval workflow, transaction management, refund processing — US-013, US-014, US-017, TR-016, TR-017 - **Course catalog**: academic, professional, and hobby categories; browsable and keyword-searchable — TR-005, US-001, US-002 - **Payment processing**: PCI-DSS compliant, third-party gateway integration for paid course enrollment — US-018, TR-013, TR-014, TR-032 - **Analytics dashboards**: engagement metrics (active users, session duration, enrollments), revenue tracking, instructor enrollment stats — TR-019, TR-021, US-011, US-016 - **Accessibility &amp; inclusivity**: WCAG 2.1 compliance supporting all age groups including elderly learners — TR-034, TR-004 - **Mobile responsiveness**: all core learner features functional on iOS and Android — US-007 - **Personalized recommendations**: algorithm-driven suggestions based on enrollment history — TR-015, US-006 - **Secure authentication**: encrypted credentials, password reset via verified email link — US-020, US-021 ### Out of Scope - Native mobile applications (iOS/Android); web browser access only — TR-030 - Multi-language support; English only at launch — TR-033 - Live/synchronous classes, webinars, or real-time instructor-learner sessions - Platform-employed instructor contracts or exclusivity arrangements — TR-031 - Third-party LMS integrations (e.g.</w:t>
      </w:r>
    </w:p>
    <w:p>
      <w:pPr>
        <w:pStyle w:val="Heading1"/>
        <w:keepNext/>
        <w:pageBreakBefore/>
        <w:pBdr>
          <w:left w:val="single" w:sz="3" w:space="4" w:color="D0D8F0"/>
        </w:pBdr>
      </w:pPr>
      <w:r>
        <w:rPr>
          <w:rFonts w:ascii="Calibri" w:hAnsi="Calibri"/>
          <w:sz w:val="26"/>
        </w:rPr>
        <w:t>Stakeholder Register</w:t>
      </w:r>
    </w:p>
    <w:p>
      <w:pPr>
        <w:spacing w:before="40" w:after="40"/>
        <w:pBdr>
          <w:bottom w:val="single" w:sz="3" w:space="1" w:color="D0D8F0"/>
        </w:pBdr>
      </w:pPr>
    </w:p>
    <w:p>
      <w:pPr>
        <w:pStyle w:val="Heading2"/>
        <w:pBdr>
          <w:left w:val="single" w:sz="12" w:space="4" w:color="1A56DB"/>
        </w:pBdr>
      </w:pPr>
      <w:r>
        <w:rPr>
          <w:rFonts w:ascii="Calibri" w:hAnsi="Calibri"/>
          <w:sz w:val="22"/>
        </w:rPr>
        <w:t>Stakeholder Register | Name | Role | Organisation | Key Responsibility | Availability | |---|---|---|---|---| | Tom Anderson | Client / Project Sponsor | Education4All | Defining platform requirements, vision, and strategic direction; final sign-off on deliverables | As required | | Ramesh | Business Analyst / Technical Lead | Education4All (Project Team) | Requirement gathering, technical clarification, and liaison between client and development team | Full-time | | Learners | End Users | External | Browsing course catalog, enrolling in free and paid courses, completing courses, receiving certificates | On-demand | | Instructors | Course Creators | External | Uploading video content, creating courses, submitting courses for approval workflow | On-demand | | Platform Admin | System Administrator | Education4All | Managing course approvals, user management, platform oversight and content governance | Full-time | | Payment Gateway Provider | Third-Party Vendor | External | Processing payments for paid course enrollments securely and reliably | As required | | Certificate Authority | Compliance / Credential Body | External | Validating and governing digital certificate issuance standards | As required | | Recommendation Engine Team | Technical Team | Education4All | Developing and maintaining the personalized course recommendation algorithm |...</w:t>
      </w:r>
    </w:p>
    <w:p>
      <w:pPr>
        <w:pStyle w:val="Heading1"/>
        <w:keepNext/>
        <w:pageBreakBefore/>
        <w:pBdr>
          <w:left w:val="single" w:sz="3" w:space="4" w:color="D0D8F0"/>
        </w:pBdr>
      </w:pPr>
      <w:r>
        <w:rPr>
          <w:rFonts w:ascii="Calibri" w:hAnsi="Calibri"/>
          <w:sz w:val="26"/>
        </w:rPr>
        <w:t>Functional Requirements</w:t>
      </w:r>
    </w:p>
    <w:p>
      <w:pPr>
        <w:spacing w:before="40" w:after="40"/>
        <w:pBdr>
          <w:bottom w:val="single" w:sz="3" w:space="1" w:color="D0D8F0"/>
        </w:pBdr>
      </w:pPr>
    </w:p>
    <w:p>
      <w:pPr>
        <w:pStyle w:val="Heading1"/>
      </w:pPr>
      <w:r>
        <w:rPr>
          <w:rFonts w:ascii="Calibri" w:hAnsi="Calibri"/>
          <w:sz w:val="26"/>
        </w:rPr>
        <w:t>Education4All — Functional Requirements --- ### User Registration &amp; Authentication | FR-ID | Requirement (SHALL statement, max 15 words) | Priority | Key AC | |--------|----------------------------------------------|----------|--------| | FR-AUTH-001 | System SHALL support registration for school students, college students, professionals, and elderly learners. | MUST HAVE | All four groups register and access content successfully. | | FR-AUTH-002 | System SHALL provide secure user registration with encrypted credential storage. | MUST HAVE | Credentials stored encrypted; access granted only after valid authentication. | | FR-AUTH-003 | System SHALL allow users to reset password via verified, expiring email link. | MUST HAVE | Reset email delivers secure expiring link enabling password update. | | FR-AUTH-004 | System SHALL enforce a multi-role system: Admin, Instructor, and Learner. | MUST HAVE | Each role has distinct permissions enforced across all platform areas. | | FR-AUTH-005 | System SHALL allow instructors to register and create a verified instructor account. | MUST HAVE | Instructor completes registration and accesses course creation tools upon approval. | --- ### Course Catalog &amp; Discovery | FR-ID | Requirement (SHALL statement, max 15 words) | Priority | Key AC | |--------|----------------------------------------------|----------|--------| | FR-CAT-001 | System SHALL display a browsable catalog of all published courses to learners. | MUST HAVE | Learner views all available courses in list or grid view. | | FR-CAT-002 | System SHALL allow learners to search courses by keyword within 2 seconds. | MUST HAVE | Search returns relevant results matching keywords within 2 seconds. | | FR-CAT-003 | System SHALL support academic, professional skills, and hobby-based course categories. | MUST HAVE | Courses from all three categories are browsable and enrollable. | | FR-CAT-004 | System SHALL provide personalized course recommendations based on learner history and interests. | SHOULD HAVE | Learner sees at least 5 relevant recommendations on their dashboard. | --- ### Enrollment &amp; Learning Progress | FR-ID | Requirement (SHALL statement, max 15 words) | Priority | Key AC | |--------|----------------------------------------------|----------|--------| | FR-ENR-001 | System SHALL allow learners to enroll in available courses and access content immediately. | MUST HAVE | Learner clicks enroll and gains immediate access to course content. | | FR-ENR-002 | System SHALL support enrollment in both free and paid courses. | MUST HAVE | Free courses accessible without payment; paid courses require successful payment. | | FR-ENR-003 | System SHALL display course completion percentage per enrolled course on learner dashboard. | MUST HAVE | Dashboard shows accurate, updated completion percentage per enrolled course. | | FR-ENR-004 | System SHALL automatically generate and issue a certificate upon course completion. | MUST HAVE | Learner receives downloadable certificate immediately after completing all course requirements. | | FR-ENR-005 | System SHALL ensure all core learner features are functional on mobile devices. | MUST HAVE | All core features render and function correctly on iOS and Android.</w:t>
      </w:r>
    </w:p>
    <w:p>
      <w:pPr>
        <w:pStyle w:val="Heading1"/>
        <w:keepNext/>
        <w:pageBreakBefore/>
        <w:pBdr>
          <w:left w:val="single" w:sz="3" w:space="4" w:color="D0D8F0"/>
        </w:pBdr>
      </w:pPr>
      <w:r>
        <w:rPr>
          <w:rFonts w:ascii="Calibri" w:hAnsi="Calibri"/>
          <w:sz w:val="26"/>
        </w:rPr>
        <w:t>Non-Functional Requirements</w:t>
      </w:r>
    </w:p>
    <w:p>
      <w:pPr>
        <w:spacing w:before="40" w:after="40"/>
        <w:pBdr>
          <w:bottom w:val="single" w:sz="3" w:space="1" w:color="D0D8F0"/>
        </w:pBdr>
      </w:pPr>
    </w:p>
    <w:p>
      <w:pPr>
        <w:pStyle w:val="Heading1"/>
      </w:pPr>
      <w:r>
        <w:rPr>
          <w:rFonts w:ascii="Calibri" w:hAnsi="Calibri"/>
          <w:sz w:val="26"/>
        </w:rPr>
        <w:t>Education4All — Functional Requirements --- ### User Registration &amp; Authentication | FR-ID | Requirement (SHALL statement, max 15 words) | Priority | Key AC | |---|---|---|---| | FR-AUTH-001 | System SHALL support registration for school students, college students, professionals, and elderly learners. | MUST HAVE | All four groups register and access content successfully. | | FR-AUTH-002 | System SHALL provide secure user registration with encrypted credential storage. | MUST HAVE | Credentials stored encrypted; access granted only after valid authentication. | | FR-AUTH-003 | System SHALL allow users to reset password via verified, expiring email link. | MUST HAVE | User receives secure expiring reset link; password update completes successfully. | | FR-AUTH-004 | System SHALL enforce a multi-role system: Admin, Instructor, and Learner. | MUST HAVE | Each role has distinct permissions enforced across all platform areas. | | FR-AUTH-005 | System SHALL allow instructors to register and create a verified instructor account. | MUST HAVE | Instructor completes registration and accesses course creation tools upon approval. | --- ### Course Catalog &amp; Discovery | FR-ID | Requirement (SHALL statement, max 15 words) | Priority | Key AC | |---|---|---|---| | FR-CAT-001 | System SHALL display a browsable catalog of all published courses to learners. | MUST HAVE | Learner views all available courses in list or grid view. | | FR-CAT-002 | System SHALL support academic, professional skills, and hobby-based course categories. | MUST HAVE | Courses from all three categories are browsable and enrollable. | | FR-CAT-003 | System SHALL allow learners to search courses by keyword and return relevant results. | MUST HAVE | Search returns relevant results matching entered keywords within 2 seconds. | | FR-CAT-004 | System SHALL provide personalized course recommendations based on learner interests and history. | SHOULD HAVE | Learner sees at least 5 personalized recommendations on their dashboard. | --- ### Enrollment &amp; Learning Progress | FR-ID | Requirement (SHALL statement, max 15 words) | Priority | Key AC | |---|---|---|---| | FR-ENR-001 | System SHALL allow learners to enroll in available courses to begin learning. | MUST HAVE | Learner clicks enroll and gains immediate access to course content. | | FR-ENR-002 | System SHALL support both free and paid course enrollment options. | MUST HAVE | Free courses accessible without payment; paid courses require successful payment to enroll. | | FR-ENR-003 | System SHALL display course completion progress as a percentage per enrolled learner. | MUST HAVE | Learner dashboard shows accurate completion percentage for each enrolled course. | | FR-ENR-004 | System SHALL automatically generate and issue a certificate upon course completion. | MUST HAVE | Learner receives downloadable certificate immediately after completing all course requirements. | | FR-ENR-005 | System SHALL be fully accessible and functional on mobile devices for learners. | MUST HAVE | All core learner features render and function correctly on iOS and Android.</w:t>
      </w:r>
    </w:p>
    <w:p>
      <w:pPr>
        <w:pStyle w:val="Heading1"/>
        <w:keepNext/>
        <w:pageBreakBefore/>
        <w:pBdr>
          <w:left w:val="single" w:sz="3" w:space="4" w:color="D0D8F0"/>
        </w:pBdr>
      </w:pPr>
      <w:r>
        <w:rPr>
          <w:rFonts w:ascii="Calibri" w:hAnsi="Calibri"/>
          <w:sz w:val="26"/>
        </w:rPr>
        <w:t>Business Rules</w:t>
      </w:r>
    </w:p>
    <w:p>
      <w:pPr>
        <w:spacing w:before="40" w:after="40"/>
        <w:pBdr>
          <w:bottom w:val="single" w:sz="3" w:space="1" w:color="D0D8F0"/>
        </w:pBdr>
      </w:pPr>
    </w:p>
    <w:p>
      <w:pPr>
        <w:pStyle w:val="Heading2"/>
        <w:pBdr>
          <w:left w:val="single" w:sz="12" w:space="4" w:color="1A56DB"/>
        </w:pBdr>
      </w:pPr>
      <w:r>
        <w:rPr>
          <w:rFonts w:ascii="Calibri" w:hAnsi="Calibri"/>
          <w:sz w:val="22"/>
        </w:rPr>
        <w:t>Business Rules | BR-ID | Rule (max 20 words) | Module | Priority | |-------|---------------------|--------|----------| | BR-001 | Courses must receive admin approval before becoming visible or enrollable by learners. | Course Approval | MUST_HAVE | | BR-002 | Unapproved courses must not appear in search results or catalog browsing. | Course Catalog | MUST_HAVE | | BR-003 | Certificates are issued only upon recording 100% completion of all course requirements. | Certificate | MUST_HAVE | | BR-004 | Learners cannot access paid course content without a confirmed successful payment record. | Paid Course | MUST_HAVE | | BR-005 | Instructors must be registered and verified before submitting courses for approval. | Course Approval | MUST_HAVE | | BR-006 | Free courses must allow immediate enrollment without any payment processing step. | Free Course | MUST_HAVE | | BR-007 | Personalized recommendations must only surface courses published and approved in the catalog. | Course Catalog | MUST_HAVE | | BR-008 | A learner may not enroll in the same course more than once simultaneously. | Course Catalog | MUST_HAVE | | BR-009 | Admins may revoke course approval, immediately removing the course from learner visibility. | Course Approval | MUST_HAVE | | BR-010 | Certificate generation must be triggered automatically upon confirmed 100% course completion. | Certificate | MUST_HAVE | | BR-011 | Refunded paid courses must immediately revoke learner access to course content.</w:t>
      </w:r>
    </w:p>
    <w:p>
      <w:pPr>
        <w:pStyle w:val="Heading1"/>
        <w:keepNext/>
        <w:pageBreakBefore/>
        <w:pBdr>
          <w:left w:val="single" w:sz="3" w:space="4" w:color="D0D8F0"/>
        </w:pBdr>
      </w:pPr>
      <w:r>
        <w:rPr>
          <w:rFonts w:ascii="Calibri" w:hAnsi="Calibri"/>
          <w:sz w:val="26"/>
        </w:rPr>
        <w:t>User Roles and Permissions</w:t>
      </w:r>
    </w:p>
    <w:p>
      <w:pPr>
        <w:spacing w:before="40" w:after="40"/>
        <w:pBdr>
          <w:bottom w:val="single" w:sz="3" w:space="1" w:color="D0D8F0"/>
        </w:pBdr>
      </w:pPr>
    </w:p>
    <w:p>
      <w:pPr>
        <w:pStyle w:val="Heading2"/>
        <w:pBdr>
          <w:left w:val="single" w:sz="12" w:space="4" w:color="1A56DB"/>
        </w:pBdr>
      </w:pPr>
      <w:r>
        <w:rPr>
          <w:rFonts w:ascii="Calibri" w:hAnsi="Calibri"/>
          <w:sz w:val="22"/>
        </w:rPr>
        <w:t>User Roles and Permissions ### Role Definitions **Learner** — Registers, browses, enrolls in, and completes courses to earn certificates **Instructor** — Creates, uploads, and manages course content; earns revenue from paid enrollments **Admin** — Manages users, approves courses, monitors platform activity and financial transactions --- ### Permissions Matrix | Feature | Learner | Instructor | Admin | |---|---|---|---| | Register &amp; Login (TR-022, US-020) | ✓ | ✓ | ✓ | | Browse &amp; Search Course Catalog (TR-009, US-001, US-002) | ✓ | ✓ | ✓ | | Enroll in Free &amp; Paid Courses (TR-010, TR-013, US-003) | ✓ | ✗ | ✗ | | Track Learning Progress (TR-011, US-004) | ✓ | ✗ | ✗ | | Receive Completion Certificate (TR-012, US-005) | ✓ | ✗ | ✗ | | View Personalized Recommendations (TR-015, US-006) | ✓ | ✗ | ✗ | | View Purchase History (US-019) | ✓ | ✗ | ✗ | | Password Reset via Email (US-021) | ✓ | ✓ | ✓ | | Create, Edit &amp; Publish Courses (TR-007, US-009, US-010) | ✗ | ✓ | ✗ | | Upload Video &amp; Document Content (TR-008, US-009) | ✗ | ✓ | ✗ | | View Enrollment Analytics Dashboard (US-011) | ✗ | Limited | ✗ | | Receive Revenue Payouts for Paid Enrollments (US-012) | ✗ | ✓ | ✗ | | Approve or Reject Submitted Courses (TR-017, US-014) | ✗ | ✗ | ✓ | | Manage User &amp; Instructor Accounts (TR-016,...</w:t>
      </w:r>
    </w:p>
    <w:p>
      <w:pPr>
        <w:pStyle w:val="Heading1"/>
        <w:keepNext/>
        <w:pageBreakBefore/>
        <w:pBdr>
          <w:left w:val="single" w:sz="3" w:space="4" w:color="D0D8F0"/>
        </w:pBdr>
      </w:pPr>
      <w:r>
        <w:rPr>
          <w:rFonts w:ascii="Calibri" w:hAnsi="Calibri"/>
          <w:sz w:val="26"/>
        </w:rPr>
        <w:t>User Journeys and Use Cases</w:t>
      </w:r>
    </w:p>
    <w:p>
      <w:pPr>
        <w:spacing w:before="40" w:after="40"/>
        <w:pBdr>
          <w:bottom w:val="single" w:sz="3" w:space="1" w:color="D0D8F0"/>
        </w:pBdr>
      </w:pPr>
    </w:p>
    <w:p>
      <w:pPr>
        <w:pStyle w:val="Heading3"/>
      </w:pPr>
      <w:r>
        <w:rPr>
          <w:rFonts w:ascii="Calibri" w:hAnsi="Calibri"/>
          <w:sz w:val="20"/>
        </w:rPr>
        <w:t>UC-001: Learner Enrolls in a Paid Course &amp; Earns Certificate **Actor:** Learner | **Goal:** Purchase a course and obtain a completion certificate | # | Step | Requirement | |---|------|-------------| | 1 | Learner searches course catalog using keyword | TR-009, US-002 | | 2 | Selects course; reviews details and clicks Enroll | US-003, TR-010 | | 3 | Completes secure PCI-DSS payment via encrypted gateway | TR-014, US-018 | | 4 | Accesses content; tracks progress via dashboard percentage | TR-011, US-004 | | 5 | Completes all modules; downloadable certificate auto-generated | TR-012, US-005 | **Result:** Learner gains full course access post-payment and receives a verified digital certificate upon completion. --- ### UC-002: Instructor Creates &amp; Publishes a Course **Actor:** Instructor | **Goal:** Build, upload, and get a course approved for publication | # | Step | Requirement | |---|------|-------------| | 1 | Instructor registers and submits verified account application | TR-006, US-008 | | 2 | Accesses course creation tools; enters title, description, category | TR-007, TR-005 | | 3 | Uploads video content and supporting documents | TR-008, US-009 | | 4 | Submits course for admin review | TR-017, US-014 | | 5 | Admin approves; course publishes live to Course Catalog | TR-017, US-001 | **Result:** Course becomes publicly discoverable and enrollable only after explicit admin approval, ensuring quality control.</w:t>
      </w:r>
    </w:p>
    <w:p>
      <w:pPr>
        <w:pStyle w:val="Heading1"/>
        <w:keepNext/>
        <w:pageBreakBefore/>
        <w:pBdr>
          <w:left w:val="single" w:sz="3" w:space="4" w:color="D0D8F0"/>
        </w:pBdr>
      </w:pPr>
      <w:r>
        <w:rPr>
          <w:rFonts w:ascii="Calibri" w:hAnsi="Calibri"/>
          <w:sz w:val="26"/>
        </w:rPr>
        <w:t>Integration Requirements</w:t>
      </w:r>
    </w:p>
    <w:p>
      <w:pPr>
        <w:spacing w:before="40" w:after="40"/>
        <w:pBdr>
          <w:bottom w:val="single" w:sz="3" w:space="1" w:color="D0D8F0"/>
        </w:pBdr>
      </w:pPr>
    </w:p>
    <w:p>
      <w:pPr>
        <w:pStyle w:val="Heading2"/>
        <w:pBdr>
          <w:left w:val="single" w:sz="12" w:space="4" w:color="1A56DB"/>
        </w:pBdr>
      </w:pPr>
      <w:r>
        <w:rPr>
          <w:rFonts w:ascii="Calibri" w:hAnsi="Calibri"/>
          <w:sz w:val="22"/>
        </w:rPr>
        <w:t>Integration Requirements | # | System | Type | Direction | Data | Frequency | Status | |---|--------|------|-----------|------|-----------|--------| | 1 | Payment Gateway (e.g. Stripe/PayPal) | External API | Bidirectional | Payment transactions, refunds, confirmations | Real-time | Required | | 2 | Video Hosting/CDN (e.g. AWS S3/Cloudflare) | Cloud Service | Bidirectional | Video uploads, streaming, document storage | On-demand | Required | | 3 | Email Service (e.g. SendGrid/SES) | External API | Outbound | Password resets, enrollment confirmations, notifications | Event-triggered | Required | | 4 | Certificate Generation Engine | Internal Service | Bidirectional | Completion data, learner details, certificate PDFs | Event-triggered | Required | | 5 | Instructor Payout System (e.g. Stripe Connect) | External API | Outbound | Revenue share calculations, payout disbursements | Scheduled/Periodic | Required | | 6 | Recommendation Engine | Internal Service | Bidirectional | Enrollment history, user preferences, course suggestions | Real-time | Desired | | 7 | Analytics &amp; Reporting Platform (e.g. Mixpanel/custom) | Internal/External | Inbound | User engagement, session data, enrollment trends, revenue | Real-time | Required | | 8 | Authentication/SSO Provider (e.g.</w:t>
      </w:r>
    </w:p>
    <w:p>
      <w:pPr>
        <w:pStyle w:val="Heading1"/>
        <w:keepNext/>
        <w:pageBreakBefore/>
        <w:pBdr>
          <w:left w:val="single" w:sz="3" w:space="4" w:color="D0D8F0"/>
        </w:pBdr>
      </w:pPr>
      <w:r>
        <w:rPr>
          <w:rFonts w:ascii="Calibri" w:hAnsi="Calibri"/>
          <w:sz w:val="26"/>
        </w:rPr>
        <w:t>Assumptions</w:t>
      </w:r>
    </w:p>
    <w:p>
      <w:pPr>
        <w:spacing w:before="40" w:after="40"/>
        <w:pBdr>
          <w:bottom w:val="single" w:sz="3" w:space="1" w:color="D0D8F0"/>
        </w:pBdr>
      </w:pPr>
    </w:p>
    <w:p>
      <w:pPr>
        <w:pStyle w:val="Heading2"/>
        <w:pBdr>
          <w:left w:val="single" w:sz="12" w:space="4" w:color="1A56DB"/>
        </w:pBdr>
      </w:pPr>
      <w:r>
        <w:rPr>
          <w:rFonts w:ascii="Calibri" w:hAnsi="Calibri"/>
          <w:sz w:val="22"/>
        </w:rPr>
        <w:t>Assumptions | A-ID | Assumption (max 20 words) | Risk if Wrong | |------|--------------------------|---------------| | A-001 | Platform will be web-based, accessible via standard internet browsers. | Mobile-only users may face accessibility issues; native app development required. | | A-002 | Instructors are independent creators, not exclusively platform-employed staff. | Content ownership, liability, and quality control policies may need redesign. | | A-003 | A third-party payment gateway will handle all paid course transactions. | Custom payment processing increases development cost, time, and compliance burden. | | A-004 | English is the primary and only supported language at initial launch. | Non-English-speaking learners will be excluded, limiting platform reach significantly. | | A-005 | Learners have reliable internet access to stream video course content. | Poor connectivity regions will experience high dropout and dissatisfaction rates. | | A-006 | Certificates will be digitally issued and do not require physical delivery. | Learner expectations for physical credentials may require additional fulfilment processes. | | A-007 | All age groups share a single unified platform interface and experience. | Younger learners may require a separate child-safe, age-appropriate interface.</w:t>
      </w:r>
    </w:p>
    <w:p>
      <w:pPr>
        <w:pStyle w:val="Heading1"/>
        <w:keepNext/>
        <w:pageBreakBefore/>
        <w:pBdr>
          <w:left w:val="single" w:sz="3" w:space="4" w:color="D0D8F0"/>
        </w:pBdr>
      </w:pPr>
      <w:r>
        <w:rPr>
          <w:rFonts w:ascii="Calibri" w:hAnsi="Calibri"/>
          <w:sz w:val="26"/>
        </w:rPr>
        <w:t>Constraints</w:t>
      </w:r>
    </w:p>
    <w:p>
      <w:pPr>
        <w:spacing w:before="40" w:after="40"/>
        <w:pBdr>
          <w:bottom w:val="single" w:sz="3" w:space="1" w:color="D0D8F0"/>
        </w:pBdr>
      </w:pPr>
    </w:p>
    <w:p>
      <w:pPr>
        <w:pStyle w:val="Heading2"/>
        <w:pBdr>
          <w:left w:val="single" w:sz="12" w:space="4" w:color="1A56DB"/>
        </w:pBdr>
      </w:pPr>
      <w:r>
        <w:rPr>
          <w:rFonts w:ascii="Calibri" w:hAnsi="Calibri"/>
          <w:sz w:val="22"/>
        </w:rPr>
        <w:t>Constraints | C-ID | Constraint (max 20 words) | Category | Impact | |------|--------------------------|----------|--------| | CON-001 | Platform must comply with WCAG 2.1 accessibility guidelines for elderly and beginner users. | Regulatory | High | | CON-002 | Platform feature scope must be comparable to Coursera and Udemy at launch. | Technical | High | | CON-003 | All courses must pass admin approval workflow before becoming publicly visible. | Technical | Medium | | CON-004 | Paid course enrollment must only activate after successful payment processing completion. | Technical | High | | CON-005 | Certificates must only be issued upon verified learner course completion criteria. | Regulatory | Medium | | CON-006 | Platform must support learners across all age groups without feature restrictions. | Technical | High | | CON-007 | Instructor-uploaded content must meet platform quality standards before catalog listing. | Technical | Medium | | CON-008 | Personalized recommendation algorithm must comply with applicable data privacy regulations. | Regulatory | High | | CON-009 | Platform must support scalable infrastructure to handle Udemy/Coursera-level concurrent users.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right" w:pos="9240"/>
      </w:tabs>
      <w:spacing w:before="40" w:after="0"/>
    </w:pPr>
    <w:r>
      <w:rPr>
        <w:rFonts w:ascii="Calibri" w:hAnsi="Calibri"/>
        <w:b w:val="0"/>
        <w:i w:val="0"/>
        <w:color w:val="5A5A72"/>
        <w:sz w:val="16"/>
      </w:rPr>
      <w:t>© 2026  Tom Anderson  ·  Confidential</w:t>
    </w:r>
    <w:r>
      <w:rPr>
        <w:rFonts w:ascii="Calibri" w:hAnsi="Calibri"/>
      </w:rPr>
      <w:tab/>
    </w:r>
    <w:r>
      <w:rPr>
        <w:rFonts w:ascii="Calibri" w:hAnsi="Calibri"/>
        <w:b w:val="0"/>
        <w:i w:val="0"/>
        <w:color w:val="5A5A72"/>
        <w:sz w:val="16"/>
      </w:rPr>
      <w:t xml:space="preserve">Page </w:t>
    </w:r>
    <w:r>
      <w:rPr>
        <w:rFonts w:ascii="Calibri" w:hAnsi="Calibri"/>
        <w:color w:val="5A5A72"/>
        <w:sz w:val="16"/>
      </w:rPr>
      <w:fldChar w:fldCharType="begin"/>
      <w:instrText>PAGE</w:instrText>
      <w:fldChar w:fldCharType="end"/>
    </w:r>
    <w:r>
      <w:rPr>
        <w:rFonts w:ascii="Calibri" w:hAnsi="Calibri"/>
        <w:b w:val="0"/>
        <w:i w:val="0"/>
        <w:color w:val="5A5A72"/>
        <w:sz w:val="16"/>
      </w:rPr>
      <w:t xml:space="preserve"> of </w:t>
    </w:r>
    <w:r>
      <w:rPr>
        <w:rFonts w:ascii="Calibri" w:hAnsi="Calibri"/>
        <w:color w:val="5A5A72"/>
        <w:sz w:val="16"/>
      </w:rPr>
      <w:fldChar w:fldCharType="begin"/>
      <w:instrText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right" w:pos="9240"/>
      </w:tabs>
      <w:pBdr>
        <w:bottom w:val="single" w:sz="4" w:space="1" w:color="1A56DB"/>
      </w:pBdr>
      <w:spacing w:before="0" w:after="40"/>
    </w:pPr>
    <w:r>
      <w:rPr>
        <w:rFonts w:ascii="Calibri" w:hAnsi="Calibri"/>
        <w:b/>
        <w:i w:val="0"/>
        <w:color w:val="0D1B3E"/>
        <w:sz w:val="16"/>
      </w:rPr>
      <w:t>Education4All</w:t>
    </w:r>
    <w:r>
      <w:rPr>
        <w:rFonts w:ascii="Calibri" w:hAnsi="Calibri"/>
      </w:rPr>
      <w:tab/>
    </w:r>
    <w:r>
      <w:rPr>
        <w:rFonts w:ascii="Calibri" w:hAnsi="Calibri"/>
        <w:b w:val="0"/>
        <w:i w:val="0"/>
        <w:color w:val="5A5A72"/>
        <w:sz w:val="16"/>
      </w:rPr>
      <w:t>BRD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0" w:lineRule="exact"/>
    </w:pPr>
    <w:rPr>
      <w:rFonts w:ascii="Calibri" w:hAnsi="Calibri"/>
      <w:color w:val="0F0F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0D1B3E"/>
      <w:sz w:val="26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A56DB"/>
      <w:sz w:val="22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5A5A72"/>
      <w:sz w:val="20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