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6B8CFF"/>
          <w:sz w:val="72"/>
        </w:rPr>
        <w:t>SentinelUPI</w:t>
      </w:r>
    </w:p>
    <w:p>
      <w:pPr>
        <w:jc w:val="center"/>
      </w:pPr>
      <w:r>
        <w:rPr>
          <w:rFonts w:ascii="Calibri" w:hAnsi="Calibri"/>
          <w:b w:val="0"/>
          <w:i w:val="0"/>
          <w:color w:val="1E2837"/>
          <w:sz w:val="32"/>
        </w:rPr>
        <w:t>Real-Time UPI Fraud Detection &amp; Explainable AI (XAI) Audit Platform</w:t>
      </w:r>
    </w:p>
    <w:p/>
    <w:p>
      <w:pPr>
        <w:jc w:val="center"/>
      </w:pPr>
      <w:r>
        <w:rPr>
          <w:rFonts w:ascii="Calibri" w:hAnsi="Calibri"/>
          <w:b w:val="0"/>
          <w:i/>
          <w:color w:val="64788C"/>
          <w:sz w:val="24"/>
        </w:rPr>
        <w:t>Complete System Working — End-to-End Architecture &amp; Mathematical Foundations</w:t>
      </w:r>
    </w:p>
    <w:p/>
    <w:p/>
    <w:p>
      <w:pPr>
        <w:jc w:val="center"/>
      </w:pPr>
      <w:r>
        <w:rPr>
          <w:rFonts w:ascii="Calibri" w:hAnsi="Calibri"/>
          <w:b w:val="0"/>
          <w:i w:val="0"/>
          <w:color w:val="1E2837"/>
          <w:sz w:val="22"/>
        </w:rPr>
        <w:t>Powered by XGBoost (500 Trees) · TreeSHAP · FastAPI · Next.js 16</w:t>
      </w:r>
    </w:p>
    <w:p>
      <w:pPr>
        <w:jc w:val="center"/>
      </w:pPr>
      <w:r>
        <w:rPr>
          <w:rFonts w:ascii="Calibri" w:hAnsi="Calibri"/>
          <w:b/>
          <w:i w:val="0"/>
          <w:color w:val="6B8CFF"/>
          <w:sz w:val="22"/>
        </w:rPr>
        <w:t>PR-AUC: 0.9981  ·  Inference Latency: 0.024 ms</w:t>
      </w:r>
    </w:p>
    <w:p>
      <w:r>
        <w:br w:type="page"/>
      </w:r>
    </w:p>
    <w:p>
      <w:pPr>
        <w:pStyle w:val="Heading1"/>
        <w:spacing w:before="320" w:after="120"/>
        <w:jc w:val="left"/>
      </w:pPr>
      <w:r>
        <w:rPr>
          <w:rFonts w:ascii="Calibri" w:hAnsi="Calibri"/>
          <w:b/>
          <w:i w:val="0"/>
          <w:color w:val="07090D"/>
          <w:sz w:val="36"/>
        </w:rPr>
        <w:t>System Architecture Overview</w:t>
      </w:r>
    </w:p>
    <w:p>
      <w:pPr>
        <w:spacing w:before="40" w:after="120"/>
        <w:jc w:val="left"/>
      </w:pPr>
      <w:r>
        <w:rPr>
          <w:rFonts w:ascii="Calibri" w:hAnsi="Calibri"/>
          <w:b w:val="0"/>
          <w:i w:val="0"/>
          <w:color w:val="1E2837"/>
          <w:sz w:val="22"/>
        </w:rPr>
        <w:t>SentinelUPI is a full-stack, production-grade fraud detection platform that processes a raw UPI payment payload and produces a calibrated risk probability alongside a complete mathematical audit trail — all within a single 0.027 ms inference cycle. The platform is built on a decoupled client-server architecture: a high-performance FastAPI (Python 3.11) asynchronous backend serving a Next.js 16 interactive analytical dashboard.</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entinelupi_architecture_diagram_1791565563798.jpg"/>
                    <pic:cNvPicPr/>
                  </pic:nvPicPr>
                  <pic:blipFill>
                    <a:blip r:embed="rId9"/>
                    <a:stretch>
                      <a:fillRect/>
                    </a:stretch>
                  </pic:blipFill>
                  <pic:spPr>
                    <a:xfrm>
                      <a:off x="0" y="0"/>
                      <a:ext cx="5669280" cy="3164249"/>
                    </a:xfrm>
                    <a:prstGeom prst="rect"/>
                  </pic:spPr>
                </pic:pic>
              </a:graphicData>
            </a:graphic>
          </wp:inline>
        </w:drawing>
      </w:r>
    </w:p>
    <w:p>
      <w:pPr>
        <w:spacing w:after="240"/>
        <w:jc w:val="center"/>
      </w:pPr>
      <w:r>
        <w:rPr>
          <w:rFonts w:ascii="Calibri" w:hAnsi="Calibri"/>
          <w:b w:val="0"/>
          <w:i/>
          <w:color w:val="64788C"/>
          <w:sz w:val="18"/>
        </w:rPr>
        <w:t>Figure 1 — SentinelUPI End-to-End System Architecture</w:t>
      </w:r>
    </w:p>
    <w:p>
      <w:pPr>
        <w:pStyle w:val="Heading1"/>
        <w:spacing w:before="320" w:after="120"/>
        <w:jc w:val="left"/>
      </w:pPr>
      <w:r>
        <w:rPr>
          <w:rFonts w:ascii="Calibri" w:hAnsi="Calibri"/>
          <w:b/>
          <w:i w:val="0"/>
          <w:color w:val="07090D"/>
          <w:sz w:val="32"/>
        </w:rPr>
        <w:t>Step 1: Input &amp; Feature Engineering Pipeline</w:t>
      </w:r>
    </w:p>
    <w:p>
      <w:pPr>
        <w:spacing w:before="40" w:after="120"/>
        <w:jc w:val="left"/>
      </w:pPr>
      <w:r>
        <w:rPr>
          <w:rFonts w:ascii="Calibri" w:hAnsi="Calibri"/>
          <w:b w:val="0"/>
          <w:i w:val="0"/>
          <w:color w:val="1E2837"/>
          <w:sz w:val="22"/>
        </w:rPr>
        <w:t>When a transaction payload arrives at the FastAPI backend, the first stage transforms the raw banking fields into 17 mathematically engineered features. These features capture behavioral anomalies, accounting ledger integrity, temporal signals, and counterparty risk profiles that the raw fields alone cannot expose.</w:t>
      </w:r>
    </w:p>
    <w:p>
      <w:pPr>
        <w:pStyle w:val="Heading2"/>
        <w:spacing w:before="160" w:after="120"/>
        <w:jc w:val="left"/>
      </w:pPr>
      <w:r>
        <w:rPr>
          <w:rFonts w:ascii="Calibri" w:hAnsi="Calibri"/>
          <w:b/>
          <w:i w:val="0"/>
          <w:color w:val="07090D"/>
          <w:sz w:val="24"/>
        </w:rPr>
        <w:t>Table 1: 17-Dimensional Feature Engineering Architecture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E2837"/>
          </w:tcPr>
          <w:p>
            <w:pPr>
              <w:jc w:val="left"/>
            </w:pPr>
            <w:r>
              <w:rPr>
                <w:rFonts w:ascii="Calibri" w:hAnsi="Calibri"/>
                <w:b/>
                <w:i w:val="0"/>
                <w:color w:val="FFFFFF"/>
                <w:sz w:val="20"/>
              </w:rPr>
              <w:t>Feature Name</w:t>
            </w:r>
          </w:p>
        </w:tc>
        <w:tc>
          <w:tcPr>
            <w:tcW w:type="dxa" w:w="3009"/>
            <w:shd w:val="clear" w:color="auto" w:fill="1E2837"/>
          </w:tcPr>
          <w:p>
            <w:pPr>
              <w:jc w:val="left"/>
            </w:pPr>
            <w:r>
              <w:rPr>
                <w:rFonts w:ascii="Calibri" w:hAnsi="Calibri"/>
                <w:b/>
                <w:i w:val="0"/>
                <w:color w:val="FFFFFF"/>
                <w:sz w:val="20"/>
              </w:rPr>
              <w:t>Formula / Logic</w:t>
            </w:r>
          </w:p>
        </w:tc>
        <w:tc>
          <w:tcPr>
            <w:tcW w:type="dxa" w:w="3009"/>
            <w:shd w:val="clear" w:color="auto" w:fill="1E2837"/>
          </w:tcPr>
          <w:p>
            <w:pPr>
              <w:jc w:val="left"/>
            </w:pPr>
            <w:r>
              <w:rPr>
                <w:rFonts w:ascii="Calibri" w:hAnsi="Calibri"/>
                <w:b/>
                <w:i w:val="0"/>
                <w:color w:val="FFFFFF"/>
                <w:sz w:val="20"/>
              </w:rPr>
              <w:t>Forensic Meaning</w:t>
            </w:r>
          </w:p>
        </w:tc>
      </w:tr>
      <w:tr>
        <w:tc>
          <w:tcPr>
            <w:tcW w:type="dxa" w:w="3009"/>
            <w:shd w:val="clear" w:color="auto" w:fill="F7F9FC"/>
          </w:tcPr>
          <w:p>
            <w:pPr>
              <w:jc w:val="left"/>
            </w:pPr>
            <w:r>
              <w:rPr>
                <w:rFonts w:ascii="Calibri" w:hAnsi="Calibri"/>
                <w:b/>
                <w:i w:val="0"/>
                <w:color w:val="4664A0"/>
                <w:sz w:val="19"/>
              </w:rPr>
              <w:t>error_orig</w:t>
            </w:r>
          </w:p>
        </w:tc>
        <w:tc>
          <w:tcPr>
            <w:tcW w:type="dxa" w:w="3009"/>
            <w:shd w:val="clear" w:color="auto" w:fill="F7F9FC"/>
          </w:tcPr>
          <w:p>
            <w:pPr>
              <w:jc w:val="left"/>
            </w:pPr>
            <w:r>
              <w:rPr>
                <w:rFonts w:ascii="Calibri" w:hAnsi="Calibri"/>
                <w:b w:val="0"/>
                <w:i w:val="0"/>
                <w:color w:val="1E2837"/>
                <w:sz w:val="19"/>
              </w:rPr>
              <w:t>oldbalanceOrg − amount − newbalanceOrig</w:t>
            </w:r>
          </w:p>
        </w:tc>
        <w:tc>
          <w:tcPr>
            <w:tcW w:type="dxa" w:w="3009"/>
            <w:shd w:val="clear" w:color="auto" w:fill="F7F9FC"/>
          </w:tcPr>
          <w:p>
            <w:pPr>
              <w:jc w:val="left"/>
            </w:pPr>
            <w:r>
              <w:rPr>
                <w:rFonts w:ascii="Calibri" w:hAnsi="Calibri"/>
                <w:b w:val="0"/>
                <w:i w:val="0"/>
                <w:color w:val="1E2837"/>
                <w:sz w:val="19"/>
              </w:rPr>
              <w:t>Double-entry origin ledger integrity. 0.00 = legitimate; &lt; 0 = credit line / untracked disbursement.</w:t>
            </w:r>
          </w:p>
        </w:tc>
      </w:tr>
      <w:tr>
        <w:tc>
          <w:tcPr>
            <w:tcW w:type="dxa" w:w="3009"/>
            <w:shd w:val="clear" w:color="auto" w:fill="FFFFFF"/>
          </w:tcPr>
          <w:p>
            <w:pPr>
              <w:jc w:val="left"/>
            </w:pPr>
            <w:r>
              <w:rPr>
                <w:rFonts w:ascii="Calibri" w:hAnsi="Calibri"/>
                <w:b/>
                <w:i w:val="0"/>
                <w:color w:val="4664A0"/>
                <w:sz w:val="19"/>
              </w:rPr>
              <w:t>error_dest</w:t>
            </w:r>
          </w:p>
        </w:tc>
        <w:tc>
          <w:tcPr>
            <w:tcW w:type="dxa" w:w="3009"/>
            <w:shd w:val="clear" w:color="auto" w:fill="FFFFFF"/>
          </w:tcPr>
          <w:p>
            <w:pPr>
              <w:jc w:val="left"/>
            </w:pPr>
            <w:r>
              <w:rPr>
                <w:rFonts w:ascii="Calibri" w:hAnsi="Calibri"/>
                <w:b w:val="0"/>
                <w:i w:val="0"/>
                <w:color w:val="1E2837"/>
                <w:sz w:val="19"/>
              </w:rPr>
              <w:t>oldbalanceDest + amount − newbalanceDest</w:t>
            </w:r>
          </w:p>
        </w:tc>
        <w:tc>
          <w:tcPr>
            <w:tcW w:type="dxa" w:w="3009"/>
            <w:shd w:val="clear" w:color="auto" w:fill="FFFFFF"/>
          </w:tcPr>
          <w:p>
            <w:pPr>
              <w:jc w:val="left"/>
            </w:pPr>
            <w:r>
              <w:rPr>
                <w:rFonts w:ascii="Calibri" w:hAnsi="Calibri"/>
                <w:b w:val="0"/>
                <w:i w:val="0"/>
                <w:color w:val="1E2837"/>
                <w:sz w:val="19"/>
              </w:rPr>
              <w:t>Recipient ledger integrity. Confirms funds were legally credited.</w:t>
            </w:r>
          </w:p>
        </w:tc>
      </w:tr>
      <w:tr>
        <w:tc>
          <w:tcPr>
            <w:tcW w:type="dxa" w:w="3009"/>
            <w:shd w:val="clear" w:color="auto" w:fill="F7F9FC"/>
          </w:tcPr>
          <w:p>
            <w:pPr>
              <w:jc w:val="left"/>
            </w:pPr>
            <w:r>
              <w:rPr>
                <w:rFonts w:ascii="Calibri" w:hAnsi="Calibri"/>
                <w:b/>
                <w:i w:val="0"/>
                <w:color w:val="4664A0"/>
                <w:sz w:val="19"/>
              </w:rPr>
              <w:t>orig_emptied</w:t>
            </w:r>
          </w:p>
        </w:tc>
        <w:tc>
          <w:tcPr>
            <w:tcW w:type="dxa" w:w="3009"/>
            <w:shd w:val="clear" w:color="auto" w:fill="F7F9FC"/>
          </w:tcPr>
          <w:p>
            <w:pPr>
              <w:jc w:val="left"/>
            </w:pPr>
            <w:r>
              <w:rPr>
                <w:rFonts w:ascii="Calibri" w:hAnsi="Calibri"/>
                <w:b w:val="0"/>
                <w:i w:val="0"/>
                <w:color w:val="1E2837"/>
                <w:sz w:val="19"/>
              </w:rPr>
              <w:t>1 if (new_orig == 0 and amount &gt; 0)</w:t>
            </w:r>
          </w:p>
        </w:tc>
        <w:tc>
          <w:tcPr>
            <w:tcW w:type="dxa" w:w="3009"/>
            <w:shd w:val="clear" w:color="auto" w:fill="F7F9FC"/>
          </w:tcPr>
          <w:p>
            <w:pPr>
              <w:jc w:val="left"/>
            </w:pPr>
            <w:r>
              <w:rPr>
                <w:rFonts w:ascii="Calibri" w:hAnsi="Calibri"/>
                <w:b w:val="0"/>
                <w:i w:val="0"/>
                <w:color w:val="1E2837"/>
                <w:sz w:val="19"/>
              </w:rPr>
              <w:t>Account liquidation flag. Present in 98.2% of confirmed account takeovers.</w:t>
            </w:r>
          </w:p>
        </w:tc>
      </w:tr>
      <w:tr>
        <w:tc>
          <w:tcPr>
            <w:tcW w:type="dxa" w:w="3009"/>
            <w:shd w:val="clear" w:color="auto" w:fill="FFFFFF"/>
          </w:tcPr>
          <w:p>
            <w:pPr>
              <w:jc w:val="left"/>
            </w:pPr>
            <w:r>
              <w:rPr>
                <w:rFonts w:ascii="Calibri" w:hAnsi="Calibri"/>
                <w:b/>
                <w:i w:val="0"/>
                <w:color w:val="4664A0"/>
                <w:sz w:val="19"/>
              </w:rPr>
              <w:t>dest_zero_old</w:t>
            </w:r>
          </w:p>
        </w:tc>
        <w:tc>
          <w:tcPr>
            <w:tcW w:type="dxa" w:w="3009"/>
            <w:shd w:val="clear" w:color="auto" w:fill="FFFFFF"/>
          </w:tcPr>
          <w:p>
            <w:pPr>
              <w:jc w:val="left"/>
            </w:pPr>
            <w:r>
              <w:rPr>
                <w:rFonts w:ascii="Calibri" w:hAnsi="Calibri"/>
                <w:b w:val="0"/>
                <w:i w:val="0"/>
                <w:color w:val="1E2837"/>
                <w:sz w:val="19"/>
              </w:rPr>
              <w:t>1 if (oldbalanceDest == 0)</w:t>
            </w:r>
          </w:p>
        </w:tc>
        <w:tc>
          <w:tcPr>
            <w:tcW w:type="dxa" w:w="3009"/>
            <w:shd w:val="clear" w:color="auto" w:fill="FFFFFF"/>
          </w:tcPr>
          <w:p>
            <w:pPr>
              <w:jc w:val="left"/>
            </w:pPr>
            <w:r>
              <w:rPr>
                <w:rFonts w:ascii="Calibri" w:hAnsi="Calibri"/>
                <w:b w:val="0"/>
                <w:i w:val="0"/>
                <w:color w:val="1E2837"/>
                <w:sz w:val="19"/>
              </w:rPr>
              <w:t>Burner mule flag. Recipient had zero prior balance before receiving funds.</w:t>
            </w:r>
          </w:p>
        </w:tc>
      </w:tr>
      <w:tr>
        <w:tc>
          <w:tcPr>
            <w:tcW w:type="dxa" w:w="3009"/>
            <w:shd w:val="clear" w:color="auto" w:fill="F7F9FC"/>
          </w:tcPr>
          <w:p>
            <w:pPr>
              <w:jc w:val="left"/>
            </w:pPr>
            <w:r>
              <w:rPr>
                <w:rFonts w:ascii="Calibri" w:hAnsi="Calibri"/>
                <w:b/>
                <w:i w:val="0"/>
                <w:color w:val="4664A0"/>
                <w:sz w:val="19"/>
              </w:rPr>
              <w:t>ratio_orig</w:t>
            </w:r>
          </w:p>
        </w:tc>
        <w:tc>
          <w:tcPr>
            <w:tcW w:type="dxa" w:w="3009"/>
            <w:shd w:val="clear" w:color="auto" w:fill="F7F9FC"/>
          </w:tcPr>
          <w:p>
            <w:pPr>
              <w:jc w:val="left"/>
            </w:pPr>
            <w:r>
              <w:rPr>
                <w:rFonts w:ascii="Calibri" w:hAnsi="Calibri"/>
                <w:b w:val="0"/>
                <w:i w:val="0"/>
                <w:color w:val="1E2837"/>
                <w:sz w:val="19"/>
              </w:rPr>
              <w:t>amount / (oldbalanceOrg + 1)</w:t>
            </w:r>
          </w:p>
        </w:tc>
        <w:tc>
          <w:tcPr>
            <w:tcW w:type="dxa" w:w="3009"/>
            <w:shd w:val="clear" w:color="auto" w:fill="F7F9FC"/>
          </w:tcPr>
          <w:p>
            <w:pPr>
              <w:jc w:val="left"/>
            </w:pPr>
            <w:r>
              <w:rPr>
                <w:rFonts w:ascii="Calibri" w:hAnsi="Calibri"/>
                <w:b w:val="0"/>
                <w:i w:val="0"/>
                <w:color w:val="1E2837"/>
                <w:sz w:val="19"/>
              </w:rPr>
              <w:t>Wealth extraction ratio. What fraction of the sender's total capital was moved?</w:t>
            </w:r>
          </w:p>
        </w:tc>
      </w:tr>
      <w:tr>
        <w:tc>
          <w:tcPr>
            <w:tcW w:type="dxa" w:w="3009"/>
            <w:shd w:val="clear" w:color="auto" w:fill="FFFFFF"/>
          </w:tcPr>
          <w:p>
            <w:pPr>
              <w:jc w:val="left"/>
            </w:pPr>
            <w:r>
              <w:rPr>
                <w:rFonts w:ascii="Calibri" w:hAnsi="Calibri"/>
                <w:b/>
                <w:i w:val="0"/>
                <w:color w:val="4664A0"/>
                <w:sz w:val="19"/>
              </w:rPr>
              <w:t>ratio_dest</w:t>
            </w:r>
          </w:p>
        </w:tc>
        <w:tc>
          <w:tcPr>
            <w:tcW w:type="dxa" w:w="3009"/>
            <w:shd w:val="clear" w:color="auto" w:fill="FFFFFF"/>
          </w:tcPr>
          <w:p>
            <w:pPr>
              <w:jc w:val="left"/>
            </w:pPr>
            <w:r>
              <w:rPr>
                <w:rFonts w:ascii="Calibri" w:hAnsi="Calibri"/>
                <w:b w:val="0"/>
                <w:i w:val="0"/>
                <w:color w:val="1E2837"/>
                <w:sz w:val="19"/>
              </w:rPr>
              <w:t>amount / (oldbalanceDest + 1)</w:t>
            </w:r>
          </w:p>
        </w:tc>
        <w:tc>
          <w:tcPr>
            <w:tcW w:type="dxa" w:w="3009"/>
            <w:shd w:val="clear" w:color="auto" w:fill="FFFFFF"/>
          </w:tcPr>
          <w:p>
            <w:pPr>
              <w:jc w:val="left"/>
            </w:pPr>
            <w:r>
              <w:rPr>
                <w:rFonts w:ascii="Calibri" w:hAnsi="Calibri"/>
                <w:b w:val="0"/>
                <w:i w:val="0"/>
                <w:color w:val="1E2837"/>
                <w:sz w:val="19"/>
              </w:rPr>
              <w:t>Counterparty surge ratio. Transfer size relative to receiver's baseline assets.</w:t>
            </w:r>
          </w:p>
        </w:tc>
      </w:tr>
      <w:tr>
        <w:tc>
          <w:tcPr>
            <w:tcW w:type="dxa" w:w="3009"/>
            <w:shd w:val="clear" w:color="auto" w:fill="F7F9FC"/>
          </w:tcPr>
          <w:p>
            <w:pPr>
              <w:jc w:val="left"/>
            </w:pPr>
            <w:r>
              <w:rPr>
                <w:rFonts w:ascii="Calibri" w:hAnsi="Calibri"/>
                <w:b/>
                <w:i w:val="0"/>
                <w:color w:val="4664A0"/>
                <w:sz w:val="19"/>
              </w:rPr>
              <w:t>is_night_window</w:t>
            </w:r>
          </w:p>
        </w:tc>
        <w:tc>
          <w:tcPr>
            <w:tcW w:type="dxa" w:w="3009"/>
            <w:shd w:val="clear" w:color="auto" w:fill="F7F9FC"/>
          </w:tcPr>
          <w:p>
            <w:pPr>
              <w:jc w:val="left"/>
            </w:pPr>
            <w:r>
              <w:rPr>
                <w:rFonts w:ascii="Calibri" w:hAnsi="Calibri"/>
                <w:b w:val="0"/>
                <w:i w:val="0"/>
                <w:color w:val="1E2837"/>
                <w:sz w:val="19"/>
              </w:rPr>
              <w:t>1 if (hour &gt;= 22 or hour &lt; 5)</w:t>
            </w:r>
          </w:p>
        </w:tc>
        <w:tc>
          <w:tcPr>
            <w:tcW w:type="dxa" w:w="3009"/>
            <w:shd w:val="clear" w:color="auto" w:fill="F7F9FC"/>
          </w:tcPr>
          <w:p>
            <w:pPr>
              <w:jc w:val="left"/>
            </w:pPr>
            <w:r>
              <w:rPr>
                <w:rFonts w:ascii="Calibri" w:hAnsi="Calibri"/>
                <w:b w:val="0"/>
                <w:i w:val="0"/>
                <w:color w:val="1E2837"/>
                <w:sz w:val="19"/>
              </w:rPr>
              <w:t>Nocturnal window (10 PM – 5 AM) where credential-stuffing spikes.</w:t>
            </w:r>
          </w:p>
        </w:tc>
      </w:tr>
      <w:tr>
        <w:tc>
          <w:tcPr>
            <w:tcW w:type="dxa" w:w="3009"/>
            <w:shd w:val="clear" w:color="auto" w:fill="FFFFFF"/>
          </w:tcPr>
          <w:p>
            <w:pPr>
              <w:jc w:val="left"/>
            </w:pPr>
            <w:r>
              <w:rPr>
                <w:rFonts w:ascii="Calibri" w:hAnsi="Calibri"/>
                <w:b/>
                <w:i w:val="0"/>
                <w:color w:val="4664A0"/>
                <w:sz w:val="19"/>
              </w:rPr>
              <w:t>is_high_risk_type</w:t>
            </w:r>
          </w:p>
        </w:tc>
        <w:tc>
          <w:tcPr>
            <w:tcW w:type="dxa" w:w="3009"/>
            <w:shd w:val="clear" w:color="auto" w:fill="FFFFFF"/>
          </w:tcPr>
          <w:p>
            <w:pPr>
              <w:jc w:val="left"/>
            </w:pPr>
            <w:r>
              <w:rPr>
                <w:rFonts w:ascii="Calibri" w:hAnsi="Calibri"/>
                <w:b w:val="0"/>
                <w:i w:val="0"/>
                <w:color w:val="1E2837"/>
                <w:sz w:val="19"/>
              </w:rPr>
              <w:t>1 if type in [TRANSFER, CASH_OUT]</w:t>
            </w:r>
          </w:p>
        </w:tc>
        <w:tc>
          <w:tcPr>
            <w:tcW w:type="dxa" w:w="3009"/>
            <w:shd w:val="clear" w:color="auto" w:fill="FFFFFF"/>
          </w:tcPr>
          <w:p>
            <w:pPr>
              <w:jc w:val="left"/>
            </w:pPr>
            <w:r>
              <w:rPr>
                <w:rFonts w:ascii="Calibri" w:hAnsi="Calibri"/>
                <w:b w:val="0"/>
                <w:i w:val="0"/>
                <w:color w:val="1E2837"/>
                <w:sz w:val="19"/>
              </w:rPr>
              <w:t>100% of all frauds in the 6.36M benchmark used TRANSFER or CASH_OUT.</w:t>
            </w:r>
          </w:p>
        </w:tc>
      </w:tr>
      <w:tr>
        <w:tc>
          <w:tcPr>
            <w:tcW w:type="dxa" w:w="3009"/>
            <w:shd w:val="clear" w:color="auto" w:fill="F7F9FC"/>
          </w:tcPr>
          <w:p>
            <w:pPr>
              <w:jc w:val="left"/>
            </w:pPr>
            <w:r>
              <w:rPr>
                <w:rFonts w:ascii="Calibri" w:hAnsi="Calibri"/>
                <w:b/>
                <w:i w:val="0"/>
                <w:color w:val="4664A0"/>
                <w:sz w:val="19"/>
              </w:rPr>
              <w:t>dest_is_merchant</w:t>
            </w:r>
          </w:p>
        </w:tc>
        <w:tc>
          <w:tcPr>
            <w:tcW w:type="dxa" w:w="3009"/>
            <w:shd w:val="clear" w:color="auto" w:fill="F7F9FC"/>
          </w:tcPr>
          <w:p>
            <w:pPr>
              <w:jc w:val="left"/>
            </w:pPr>
            <w:r>
              <w:rPr>
                <w:rFonts w:ascii="Calibri" w:hAnsi="Calibri"/>
                <w:b w:val="0"/>
                <w:i w:val="0"/>
                <w:color w:val="1E2837"/>
                <w:sz w:val="19"/>
              </w:rPr>
              <w:t>1 if ID starts with 'M' or 'merchant'</w:t>
            </w:r>
          </w:p>
        </w:tc>
        <w:tc>
          <w:tcPr>
            <w:tcW w:type="dxa" w:w="3009"/>
            <w:shd w:val="clear" w:color="auto" w:fill="F7F9FC"/>
          </w:tcPr>
          <w:p>
            <w:pPr>
              <w:jc w:val="left"/>
            </w:pPr>
            <w:r>
              <w:rPr>
                <w:rFonts w:ascii="Calibri" w:hAnsi="Calibri"/>
                <w:b w:val="0"/>
                <w:i w:val="0"/>
                <w:color w:val="1E2837"/>
                <w:sz w:val="19"/>
              </w:rPr>
              <w:t>Commercial KYC endpoint. Verified merchants carry zero fraud probability.</w:t>
            </w:r>
          </w:p>
        </w:tc>
      </w:tr>
      <w:tr>
        <w:tc>
          <w:tcPr>
            <w:tcW w:type="dxa" w:w="3009"/>
            <w:shd w:val="clear" w:color="auto" w:fill="FFFFFF"/>
          </w:tcPr>
          <w:p>
            <w:pPr>
              <w:jc w:val="left"/>
            </w:pPr>
            <w:r>
              <w:rPr>
                <w:rFonts w:ascii="Calibri" w:hAnsi="Calibri"/>
                <w:b/>
                <w:i w:val="0"/>
                <w:color w:val="4664A0"/>
                <w:sz w:val="19"/>
              </w:rPr>
              <w:t>is_round_amount</w:t>
            </w:r>
          </w:p>
        </w:tc>
        <w:tc>
          <w:tcPr>
            <w:tcW w:type="dxa" w:w="3009"/>
            <w:shd w:val="clear" w:color="auto" w:fill="FFFFFF"/>
          </w:tcPr>
          <w:p>
            <w:pPr>
              <w:jc w:val="left"/>
            </w:pPr>
            <w:r>
              <w:rPr>
                <w:rFonts w:ascii="Calibri" w:hAnsi="Calibri"/>
                <w:b w:val="0"/>
                <w:i w:val="0"/>
                <w:color w:val="1E2837"/>
                <w:sz w:val="19"/>
              </w:rPr>
              <w:t>1 if (amount % 1000 == 0)</w:t>
            </w:r>
          </w:p>
        </w:tc>
        <w:tc>
          <w:tcPr>
            <w:tcW w:type="dxa" w:w="3009"/>
            <w:shd w:val="clear" w:color="auto" w:fill="FFFFFF"/>
          </w:tcPr>
          <w:p>
            <w:pPr>
              <w:jc w:val="left"/>
            </w:pPr>
            <w:r>
              <w:rPr>
                <w:rFonts w:ascii="Calibri" w:hAnsi="Calibri"/>
                <w:b w:val="0"/>
                <w:i w:val="0"/>
                <w:color w:val="1E2837"/>
                <w:sz w:val="19"/>
              </w:rPr>
              <w:t>Automated structuring flag. Bots extract exact round sums (₹50k, ₹1L).</w:t>
            </w:r>
          </w:p>
        </w:tc>
      </w:tr>
      <w:tr>
        <w:tc>
          <w:tcPr>
            <w:tcW w:type="dxa" w:w="3009"/>
            <w:shd w:val="clear" w:color="auto" w:fill="F7F9FC"/>
          </w:tcPr>
          <w:p>
            <w:pPr>
              <w:jc w:val="left"/>
            </w:pPr>
            <w:r>
              <w:rPr>
                <w:rFonts w:ascii="Calibri" w:hAnsi="Calibri"/>
                <w:b/>
                <w:i w:val="0"/>
                <w:color w:val="4664A0"/>
                <w:sz w:val="19"/>
              </w:rPr>
              <w:t>hour</w:t>
            </w:r>
          </w:p>
        </w:tc>
        <w:tc>
          <w:tcPr>
            <w:tcW w:type="dxa" w:w="3009"/>
            <w:shd w:val="clear" w:color="auto" w:fill="F7F9FC"/>
          </w:tcPr>
          <w:p>
            <w:pPr>
              <w:jc w:val="left"/>
            </w:pPr>
            <w:r>
              <w:rPr>
                <w:rFonts w:ascii="Calibri" w:hAnsi="Calibri"/>
                <w:b w:val="0"/>
                <w:i w:val="0"/>
                <w:color w:val="1E2837"/>
                <w:sz w:val="19"/>
              </w:rPr>
              <w:t>step % 24 or extracted from HH:MM</w:t>
            </w:r>
          </w:p>
        </w:tc>
        <w:tc>
          <w:tcPr>
            <w:tcW w:type="dxa" w:w="3009"/>
            <w:shd w:val="clear" w:color="auto" w:fill="F7F9FC"/>
          </w:tcPr>
          <w:p>
            <w:pPr>
              <w:jc w:val="left"/>
            </w:pPr>
            <w:r>
              <w:rPr>
                <w:rFonts w:ascii="Calibri" w:hAnsi="Calibri"/>
                <w:b w:val="0"/>
                <w:i w:val="0"/>
                <w:color w:val="1E2837"/>
                <w:sz w:val="19"/>
              </w:rPr>
              <w:t>24-hour circadian hour reflecting daily banking activity cycles.</w:t>
            </w:r>
          </w:p>
        </w:tc>
      </w:tr>
      <w:tr>
        <w:tc>
          <w:tcPr>
            <w:tcW w:type="dxa" w:w="3009"/>
            <w:shd w:val="clear" w:color="auto" w:fill="FFFFFF"/>
          </w:tcPr>
          <w:p>
            <w:pPr>
              <w:jc w:val="left"/>
            </w:pPr>
            <w:r>
              <w:rPr>
                <w:rFonts w:ascii="Calibri" w:hAnsi="Calibri"/>
                <w:b/>
                <w:i w:val="0"/>
                <w:color w:val="4664A0"/>
                <w:sz w:val="19"/>
              </w:rPr>
              <w:t>step</w:t>
            </w:r>
          </w:p>
        </w:tc>
        <w:tc>
          <w:tcPr>
            <w:tcW w:type="dxa" w:w="3009"/>
            <w:shd w:val="clear" w:color="auto" w:fill="FFFFFF"/>
          </w:tcPr>
          <w:p>
            <w:pPr>
              <w:jc w:val="left"/>
            </w:pPr>
            <w:r>
              <w:rPr>
                <w:rFonts w:ascii="Calibri" w:hAnsi="Calibri"/>
                <w:b w:val="0"/>
                <w:i w:val="0"/>
                <w:color w:val="1E2837"/>
                <w:sz w:val="19"/>
              </w:rPr>
              <w:t>Elapsed simulation hour (1–744)</w:t>
            </w:r>
          </w:p>
        </w:tc>
        <w:tc>
          <w:tcPr>
            <w:tcW w:type="dxa" w:w="3009"/>
            <w:shd w:val="clear" w:color="auto" w:fill="FFFFFF"/>
          </w:tcPr>
          <w:p>
            <w:pPr>
              <w:jc w:val="left"/>
            </w:pPr>
            <w:r>
              <w:rPr>
                <w:rFonts w:ascii="Calibri" w:hAnsi="Calibri"/>
                <w:b w:val="0"/>
                <w:i w:val="0"/>
                <w:color w:val="1E2837"/>
                <w:sz w:val="19"/>
              </w:rPr>
              <w:t>Timeline progression encoding global fraud density at that cycle.</w:t>
            </w:r>
          </w:p>
        </w:tc>
      </w:tr>
    </w:tbl>
    <w:p/>
    <w:p>
      <w:pPr>
        <w:pStyle w:val="Heading1"/>
        <w:spacing w:before="320" w:after="120"/>
        <w:jc w:val="left"/>
      </w:pPr>
      <w:r>
        <w:rPr>
          <w:rFonts w:ascii="Calibri" w:hAnsi="Calibri"/>
          <w:b/>
          <w:i w:val="0"/>
          <w:color w:val="07090D"/>
          <w:sz w:val="32"/>
        </w:rPr>
        <w:t>Step 2: The ML Engine — XGBoost Decision Trees</w:t>
      </w:r>
    </w:p>
    <w:p>
      <w:pPr>
        <w:spacing w:before="40" w:after="120"/>
        <w:jc w:val="left"/>
      </w:pPr>
      <w:r>
        <w:rPr>
          <w:rFonts w:ascii="Calibri" w:hAnsi="Calibri"/>
          <w:b w:val="0"/>
          <w:i w:val="0"/>
          <w:color w:val="1E2837"/>
          <w:sz w:val="22"/>
        </w:rPr>
        <w:t>Instead of a deep neural network (which behaves as an unexplainable black box), SentinelUPI uses an XGBoost (Extreme Gradient Boosted Trees) ensemble with 500 decision trees. XGBoost is the industry-standard for tabular financial fraud detection, used by leading banks and FinTech firms globally.</w:t>
      </w:r>
    </w:p>
    <w:p>
      <w:pPr>
        <w:pStyle w:val="Heading2"/>
        <w:spacing w:before="120" w:after="120"/>
        <w:jc w:val="left"/>
      </w:pPr>
      <w:r>
        <w:rPr>
          <w:rFonts w:ascii="Calibri" w:hAnsi="Calibri"/>
          <w:b/>
          <w:i w:val="0"/>
          <w:color w:val="07090D"/>
          <w:sz w:val="24"/>
        </w:rPr>
        <w:t>Why XGBoost?</w:t>
      </w:r>
    </w:p>
    <w:p>
      <w:pPr>
        <w:pStyle w:val="ListBullet"/>
        <w:spacing w:after="60"/>
      </w:pPr>
      <w:r>
        <w:rPr>
          <w:rFonts w:ascii="Calibri" w:hAnsi="Calibri"/>
          <w:b w:val="0"/>
          <w:i w:val="0"/>
          <w:color w:val="1E2837"/>
          <w:sz w:val="21"/>
        </w:rPr>
        <w:t>Financial datasets have extreme class imbalance (0.13% fraud vs 99.87% legitimate). XGBoost handles non-linear tabular interactions and extreme imbalance with PR-AUC-optimized learning.</w:t>
      </w:r>
    </w:p>
    <w:p>
      <w:pPr>
        <w:pStyle w:val="ListBullet"/>
        <w:spacing w:after="60"/>
      </w:pPr>
      <w:r>
        <w:rPr>
          <w:rFonts w:ascii="Calibri" w:hAnsi="Calibri"/>
          <w:b w:val="0"/>
          <w:i w:val="0"/>
          <w:color w:val="1E2837"/>
          <w:sz w:val="21"/>
        </w:rPr>
        <w:t>Sub-millisecond inference: The 500-tree ensemble evaluates and outputs a decision in 0.024 ms, meeting the UPI gateway's mandatory &lt; 50 ms latency ceiling.</w:t>
      </w:r>
    </w:p>
    <w:p>
      <w:pPr>
        <w:pStyle w:val="ListBullet"/>
        <w:spacing w:after="60"/>
      </w:pPr>
      <w:r>
        <w:rPr>
          <w:rFonts w:ascii="Calibri" w:hAnsi="Calibri"/>
          <w:b w:val="0"/>
          <w:i w:val="0"/>
          <w:color w:val="1E2837"/>
          <w:sz w:val="21"/>
        </w:rPr>
        <w:t>Unlike neural networks, tree ensembles support exact Shapley attribution via the polynomial-time TreeSHAP algorithm.</w:t>
      </w:r>
    </w:p>
    <w:p>
      <w:pPr>
        <w:pStyle w:val="Heading2"/>
        <w:spacing w:before="120" w:after="120"/>
        <w:jc w:val="left"/>
      </w:pPr>
      <w:r>
        <w:rPr>
          <w:rFonts w:ascii="Calibri" w:hAnsi="Calibri"/>
          <w:b/>
          <w:i w:val="0"/>
          <w:color w:val="07090D"/>
          <w:sz w:val="24"/>
        </w:rPr>
        <w:t>How the Trees Evaluate a Transaction</w:t>
      </w:r>
    </w:p>
    <w:p>
      <w:pPr>
        <w:pStyle w:val="ListBullet"/>
        <w:spacing w:after="60"/>
      </w:pPr>
      <w:r>
        <w:rPr>
          <w:rFonts w:ascii="Calibri" w:hAnsi="Calibri"/>
          <w:b w:val="0"/>
          <w:i w:val="0"/>
          <w:color w:val="1E2837"/>
          <w:sz w:val="21"/>
        </w:rPr>
        <w:t>The 17-dimensional feature vector is passed simultaneously through all 500 trees.</w:t>
      </w:r>
    </w:p>
    <w:p>
      <w:pPr>
        <w:pStyle w:val="ListBullet"/>
        <w:spacing w:after="60"/>
      </w:pPr>
      <w:r>
        <w:rPr>
          <w:rFonts w:ascii="Calibri" w:hAnsi="Calibri"/>
          <w:b w:val="0"/>
          <w:i w:val="0"/>
          <w:color w:val="1E2837"/>
          <w:sz w:val="21"/>
        </w:rPr>
        <w:t>At each tree node, the engine asks binary questions: e.g., 'Is orig_emptied == 1?', 'Is oldbalanceDest &gt; ₹10,000?', 'Is is_night_window == 1?'</w:t>
      </w:r>
    </w:p>
    <w:p>
      <w:pPr>
        <w:pStyle w:val="ListBullet"/>
        <w:spacing w:after="60"/>
      </w:pPr>
      <w:r>
        <w:rPr>
          <w:rFonts w:ascii="Calibri" w:hAnsi="Calibri"/>
          <w:b w:val="0"/>
          <w:i w:val="0"/>
          <w:color w:val="1E2837"/>
          <w:sz w:val="21"/>
        </w:rPr>
        <w:t>The terminal leaves output raw log-odds margin scores. The sum across all 500 trees produces the final prediction margin.</w:t>
      </w:r>
    </w:p>
    <w:p>
      <w:pPr>
        <w:pStyle w:val="ListBullet"/>
        <w:spacing w:after="60"/>
      </w:pPr>
      <w:r>
        <w:rPr>
          <w:rFonts w:ascii="Calibri" w:hAnsi="Calibri"/>
          <w:b w:val="0"/>
          <w:i w:val="0"/>
          <w:color w:val="1E2837"/>
          <w:sz w:val="21"/>
        </w:rPr>
        <w:t>The sigmoid function σ(margin) = 1/(1 + e^(-margin)) converts the log-odds to a calibrated probability between 0% and 100%.</w:t>
      </w:r>
    </w:p>
    <w:p>
      <w:pPr>
        <w:spacing w:before="40" w:after="120"/>
        <w:jc w:val="left"/>
      </w:pPr>
      <w:r>
        <w:rPr>
          <w:rFonts w:ascii="Calibri" w:hAnsi="Calibri"/>
          <w:b w:val="0"/>
          <w:i/>
          <w:color w:val="64788C"/>
          <w:sz w:val="20"/>
        </w:rPr>
        <w:t>XGBoost minimizes a regularized objective combining the binary cross-entropy loss with an L2 tree complexity penalty, ensuring the ensemble generalises to unseen transactions without overfitting to the training distribution.</w:t>
      </w:r>
    </w:p>
    <w:p>
      <w:pPr>
        <w:pStyle w:val="Heading1"/>
        <w:spacing w:before="320" w:after="120"/>
        <w:jc w:val="left"/>
      </w:pPr>
      <w:r>
        <w:rPr>
          <w:rFonts w:ascii="Calibri" w:hAnsi="Calibri"/>
          <w:b/>
          <w:i w:val="0"/>
          <w:color w:val="07090D"/>
          <w:sz w:val="32"/>
        </w:rPr>
        <w:t>Step 3: The Explainable AI (XAI) Engine — TreeSHAP</w:t>
      </w:r>
    </w:p>
    <w:p>
      <w:pPr>
        <w:spacing w:before="40" w:after="120"/>
        <w:jc w:val="left"/>
      </w:pPr>
      <w:r>
        <w:rPr>
          <w:rFonts w:ascii="Calibri" w:hAnsi="Calibri"/>
          <w:b w:val="0"/>
          <w:i w:val="0"/>
          <w:color w:val="1E2837"/>
          <w:sz w:val="22"/>
        </w:rPr>
        <w:t>Under Indian (RBI) and international (GDPR / Basel III) banking regulations, an automated model cannot reject or freeze a customer's funds without providing a non-discriminatory mathematical audit rationale. SentinelUPI embeds the TreeSHAP (Shapley Additive Explanations) engine, grounded in Lloyd Shapley's Nobel-prize-winning cooperative game theory.</w:t>
      </w:r>
    </w:p>
    <w:p>
      <w:pPr>
        <w:pStyle w:val="Heading2"/>
        <w:spacing w:before="120" w:after="120"/>
        <w:jc w:val="left"/>
      </w:pPr>
      <w:r>
        <w:rPr>
          <w:rFonts w:ascii="Calibri" w:hAnsi="Calibri"/>
          <w:b/>
          <w:i w:val="0"/>
          <w:color w:val="07090D"/>
          <w:sz w:val="24"/>
        </w:rPr>
        <w:t>The Additive Attribution Formula</w:t>
      </w:r>
    </w:p>
    <w:p>
      <w:pPr>
        <w:spacing w:before="40" w:after="120"/>
        <w:jc w:val="left"/>
      </w:pPr>
      <w:r>
        <w:rPr>
          <w:rFonts w:ascii="Calibri" w:hAnsi="Calibri"/>
          <w:b/>
          <w:i w:val="0"/>
          <w:color w:val="6B8CFF"/>
          <w:sz w:val="26"/>
        </w:rPr>
        <w:t>Margin (Log-Odds) = φ₀ + Σᵢ₌₁¹⁷ φᵢ</w:t>
      </w:r>
    </w:p>
    <w:p>
      <w:pPr>
        <w:spacing w:before="40" w:after="120"/>
        <w:jc w:val="left"/>
      </w:pPr>
      <w:r>
        <w:rPr>
          <w:rFonts w:ascii="Calibri" w:hAnsi="Calibri"/>
          <w:b w:val="0"/>
          <w:i w:val="0"/>
          <w:color w:val="1E2837"/>
          <w:sz w:val="22"/>
        </w:rPr>
        <w:t>φ₀ (Base Value): The baseline log-odds of fraud across the global dataset (−0.013).</w:t>
        <w:br/>
        <w:t>φᵢ (SHAP Attribution): The exact numerical push or pull that feature i contributes to this specific transaction, derived via polynomial-time tree traversal.</w:t>
      </w:r>
    </w:p>
    <w:p>
      <w:pPr>
        <w:pStyle w:val="Heading2"/>
        <w:spacing w:before="120" w:after="120"/>
        <w:jc w:val="left"/>
      </w:pPr>
      <w:r>
        <w:rPr>
          <w:rFonts w:ascii="Calibri" w:hAnsi="Calibri"/>
          <w:b/>
          <w:i w:val="0"/>
          <w:color w:val="07090D"/>
          <w:sz w:val="24"/>
        </w:rPr>
        <w:t>Illustrated Example — Case 4: Nocturnal Ambiguity (44.6%)</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E2837"/>
          </w:tcPr>
          <w:p>
            <w:pPr>
              <w:jc w:val="left"/>
            </w:pPr>
            <w:r>
              <w:rPr>
                <w:rFonts w:ascii="Calibri" w:hAnsi="Calibri"/>
                <w:b/>
                <w:i w:val="0"/>
                <w:color w:val="FFFFFF"/>
                <w:sz w:val="20"/>
              </w:rPr>
              <w:t>Feature</w:t>
            </w:r>
          </w:p>
        </w:tc>
        <w:tc>
          <w:tcPr>
            <w:tcW w:type="dxa" w:w="3009"/>
            <w:shd w:val="clear" w:color="auto" w:fill="1E2837"/>
          </w:tcPr>
          <w:p>
            <w:pPr>
              <w:jc w:val="left"/>
            </w:pPr>
            <w:r>
              <w:rPr>
                <w:rFonts w:ascii="Calibri" w:hAnsi="Calibri"/>
                <w:b/>
                <w:i w:val="0"/>
                <w:color w:val="FFFFFF"/>
                <w:sz w:val="20"/>
              </w:rPr>
              <w:t>SHAP Value</w:t>
            </w:r>
          </w:p>
        </w:tc>
        <w:tc>
          <w:tcPr>
            <w:tcW w:type="dxa" w:w="3009"/>
            <w:shd w:val="clear" w:color="auto" w:fill="1E2837"/>
          </w:tcPr>
          <w:p>
            <w:pPr>
              <w:jc w:val="left"/>
            </w:pPr>
            <w:r>
              <w:rPr>
                <w:rFonts w:ascii="Calibri" w:hAnsi="Calibri"/>
                <w:b/>
                <w:i w:val="0"/>
                <w:color w:val="FFFFFF"/>
                <w:sz w:val="20"/>
              </w:rPr>
              <w:t>Direction</w:t>
            </w:r>
          </w:p>
        </w:tc>
      </w:tr>
      <w:tr>
        <w:tc>
          <w:tcPr>
            <w:tcW w:type="dxa" w:w="3009"/>
            <w:shd w:val="clear" w:color="auto" w:fill="F0FFF8"/>
          </w:tcPr>
          <w:p>
            <w:pPr>
              <w:jc w:val="left"/>
            </w:pPr>
            <w:r>
              <w:rPr>
                <w:rFonts w:ascii="Calibri" w:hAnsi="Calibri"/>
                <w:b w:val="0"/>
                <w:i w:val="0"/>
                <w:color w:val="1E2837"/>
                <w:sz w:val="19"/>
              </w:rPr>
              <w:t>Base Value (φ₀)</w:t>
            </w:r>
          </w:p>
        </w:tc>
        <w:tc>
          <w:tcPr>
            <w:tcW w:type="dxa" w:w="3009"/>
            <w:shd w:val="clear" w:color="auto" w:fill="F0FFF8"/>
          </w:tcPr>
          <w:p>
            <w:pPr>
              <w:jc w:val="left"/>
            </w:pPr>
            <w:r>
              <w:rPr>
                <w:rFonts w:ascii="Calibri" w:hAnsi="Calibri"/>
                <w:b/>
                <w:i w:val="0"/>
                <w:color w:val="1E8C50"/>
                <w:sz w:val="20"/>
              </w:rPr>
              <w:t>-0.013</w:t>
            </w:r>
          </w:p>
        </w:tc>
        <w:tc>
          <w:tcPr>
            <w:tcW w:type="dxa" w:w="3009"/>
            <w:shd w:val="clear" w:color="auto" w:fill="F0FFF8"/>
          </w:tcPr>
          <w:p>
            <w:pPr>
              <w:jc w:val="left"/>
            </w:pPr>
            <w:r>
              <w:rPr>
                <w:rFonts w:ascii="Calibri" w:hAnsi="Calibri"/>
                <w:b w:val="0"/>
                <w:i w:val="0"/>
                <w:color w:val="1E2837"/>
                <w:sz w:val="19"/>
              </w:rPr>
              <w:t>Neutral</w:t>
            </w:r>
          </w:p>
        </w:tc>
      </w:tr>
      <w:tr>
        <w:tc>
          <w:tcPr>
            <w:tcW w:type="dxa" w:w="3009"/>
            <w:shd w:val="clear" w:color="auto" w:fill="FFF5F5"/>
          </w:tcPr>
          <w:p>
            <w:pPr>
              <w:jc w:val="left"/>
            </w:pPr>
            <w:r>
              <w:rPr>
                <w:rFonts w:ascii="Calibri" w:hAnsi="Calibri"/>
                <w:b w:val="0"/>
                <w:i w:val="0"/>
                <w:color w:val="1E2837"/>
                <w:sz w:val="19"/>
              </w:rPr>
              <w:t>Origin Account Drain (+SHAP)</w:t>
            </w:r>
          </w:p>
        </w:tc>
        <w:tc>
          <w:tcPr>
            <w:tcW w:type="dxa" w:w="3009"/>
            <w:shd w:val="clear" w:color="auto" w:fill="FFF5F5"/>
          </w:tcPr>
          <w:p>
            <w:pPr>
              <w:jc w:val="left"/>
            </w:pPr>
            <w:r>
              <w:rPr>
                <w:rFonts w:ascii="Calibri" w:hAnsi="Calibri"/>
                <w:b/>
                <w:i w:val="0"/>
                <w:color w:val="C83232"/>
                <w:sz w:val="20"/>
              </w:rPr>
              <w:t>+2.76</w:t>
            </w:r>
          </w:p>
        </w:tc>
        <w:tc>
          <w:tcPr>
            <w:tcW w:type="dxa" w:w="3009"/>
            <w:shd w:val="clear" w:color="auto" w:fill="FFF5F5"/>
          </w:tcPr>
          <w:p>
            <w:pPr>
              <w:jc w:val="left"/>
            </w:pPr>
            <w:r>
              <w:rPr>
                <w:rFonts w:ascii="Calibri" w:hAnsi="Calibri"/>
                <w:b w:val="0"/>
                <w:i w:val="0"/>
                <w:color w:val="1E2837"/>
                <w:sz w:val="19"/>
              </w:rPr>
              <w:t>Pushes UP toward FRAUD</w:t>
            </w:r>
          </w:p>
        </w:tc>
      </w:tr>
      <w:tr>
        <w:tc>
          <w:tcPr>
            <w:tcW w:type="dxa" w:w="3009"/>
            <w:shd w:val="clear" w:color="auto" w:fill="FFF5F5"/>
          </w:tcPr>
          <w:p>
            <w:pPr>
              <w:jc w:val="left"/>
            </w:pPr>
            <w:r>
              <w:rPr>
                <w:rFonts w:ascii="Calibri" w:hAnsi="Calibri"/>
                <w:b w:val="0"/>
                <w:i w:val="0"/>
                <w:color w:val="1E2837"/>
                <w:sz w:val="19"/>
              </w:rPr>
              <w:t>High-Risk Transaction Type</w:t>
            </w:r>
          </w:p>
        </w:tc>
        <w:tc>
          <w:tcPr>
            <w:tcW w:type="dxa" w:w="3009"/>
            <w:shd w:val="clear" w:color="auto" w:fill="FFF5F5"/>
          </w:tcPr>
          <w:p>
            <w:pPr>
              <w:jc w:val="left"/>
            </w:pPr>
            <w:r>
              <w:rPr>
                <w:rFonts w:ascii="Calibri" w:hAnsi="Calibri"/>
                <w:b/>
                <w:i w:val="0"/>
                <w:color w:val="C83232"/>
                <w:sz w:val="20"/>
              </w:rPr>
              <w:t>+3.50</w:t>
            </w:r>
          </w:p>
        </w:tc>
        <w:tc>
          <w:tcPr>
            <w:tcW w:type="dxa" w:w="3009"/>
            <w:shd w:val="clear" w:color="auto" w:fill="FFF5F5"/>
          </w:tcPr>
          <w:p>
            <w:pPr>
              <w:jc w:val="left"/>
            </w:pPr>
            <w:r>
              <w:rPr>
                <w:rFonts w:ascii="Calibri" w:hAnsi="Calibri"/>
                <w:b w:val="0"/>
                <w:i w:val="0"/>
                <w:color w:val="1E2837"/>
                <w:sz w:val="19"/>
              </w:rPr>
              <w:t>Pushes UP toward FRAUD</w:t>
            </w:r>
          </w:p>
        </w:tc>
      </w:tr>
      <w:tr>
        <w:tc>
          <w:tcPr>
            <w:tcW w:type="dxa" w:w="3009"/>
            <w:shd w:val="clear" w:color="auto" w:fill="FFF5F5"/>
          </w:tcPr>
          <w:p>
            <w:pPr>
              <w:jc w:val="left"/>
            </w:pPr>
            <w:r>
              <w:rPr>
                <w:rFonts w:ascii="Calibri" w:hAnsi="Calibri"/>
                <w:b w:val="0"/>
                <w:i w:val="0"/>
                <w:color w:val="1E2837"/>
                <w:sz w:val="19"/>
              </w:rPr>
              <w:t>Wealth Outflow Ratio</w:t>
            </w:r>
          </w:p>
        </w:tc>
        <w:tc>
          <w:tcPr>
            <w:tcW w:type="dxa" w:w="3009"/>
            <w:shd w:val="clear" w:color="auto" w:fill="FFF5F5"/>
          </w:tcPr>
          <w:p>
            <w:pPr>
              <w:jc w:val="left"/>
            </w:pPr>
            <w:r>
              <w:rPr>
                <w:rFonts w:ascii="Calibri" w:hAnsi="Calibri"/>
                <w:b/>
                <w:i w:val="0"/>
                <w:color w:val="C83232"/>
                <w:sz w:val="20"/>
              </w:rPr>
              <w:t>+1.69</w:t>
            </w:r>
          </w:p>
        </w:tc>
        <w:tc>
          <w:tcPr>
            <w:tcW w:type="dxa" w:w="3009"/>
            <w:shd w:val="clear" w:color="auto" w:fill="FFF5F5"/>
          </w:tcPr>
          <w:p>
            <w:pPr>
              <w:jc w:val="left"/>
            </w:pPr>
            <w:r>
              <w:rPr>
                <w:rFonts w:ascii="Calibri" w:hAnsi="Calibri"/>
                <w:b w:val="0"/>
                <w:i w:val="0"/>
                <w:color w:val="1E2837"/>
                <w:sz w:val="19"/>
              </w:rPr>
              <w:t>Pushes UP toward FRAUD</w:t>
            </w:r>
          </w:p>
        </w:tc>
      </w:tr>
      <w:tr>
        <w:tc>
          <w:tcPr>
            <w:tcW w:type="dxa" w:w="3009"/>
            <w:shd w:val="clear" w:color="auto" w:fill="F0FFF8"/>
          </w:tcPr>
          <w:p>
            <w:pPr>
              <w:jc w:val="left"/>
            </w:pPr>
            <w:r>
              <w:rPr>
                <w:rFonts w:ascii="Calibri" w:hAnsi="Calibri"/>
                <w:b w:val="0"/>
                <w:i w:val="0"/>
                <w:color w:val="1E2837"/>
                <w:sz w:val="19"/>
              </w:rPr>
              <w:t>Origin Ledger Discrepancy</w:t>
            </w:r>
          </w:p>
        </w:tc>
        <w:tc>
          <w:tcPr>
            <w:tcW w:type="dxa" w:w="3009"/>
            <w:shd w:val="clear" w:color="auto" w:fill="F0FFF8"/>
          </w:tcPr>
          <w:p>
            <w:pPr>
              <w:jc w:val="left"/>
            </w:pPr>
            <w:r>
              <w:rPr>
                <w:rFonts w:ascii="Calibri" w:hAnsi="Calibri"/>
                <w:b/>
                <w:i w:val="0"/>
                <w:color w:val="1E8C50"/>
                <w:sz w:val="20"/>
              </w:rPr>
              <w:t>-5.71</w:t>
            </w:r>
          </w:p>
        </w:tc>
        <w:tc>
          <w:tcPr>
            <w:tcW w:type="dxa" w:w="3009"/>
            <w:shd w:val="clear" w:color="auto" w:fill="F0FFF8"/>
          </w:tcPr>
          <w:p>
            <w:pPr>
              <w:jc w:val="left"/>
            </w:pPr>
            <w:r>
              <w:rPr>
                <w:rFonts w:ascii="Calibri" w:hAnsi="Calibri"/>
                <w:b w:val="0"/>
                <w:i w:val="0"/>
                <w:color w:val="1E2837"/>
                <w:sz w:val="19"/>
              </w:rPr>
              <w:t>Pulls DOWN toward SAFE</w:t>
            </w:r>
          </w:p>
        </w:tc>
      </w:tr>
      <w:tr>
        <w:tc>
          <w:tcPr>
            <w:tcW w:type="dxa" w:w="3009"/>
            <w:shd w:val="clear" w:color="auto" w:fill="F0FFF8"/>
          </w:tcPr>
          <w:p>
            <w:pPr>
              <w:jc w:val="left"/>
            </w:pPr>
            <w:r>
              <w:rPr>
                <w:rFonts w:ascii="Calibri" w:hAnsi="Calibri"/>
                <w:b w:val="0"/>
                <w:i w:val="0"/>
                <w:color w:val="1E2837"/>
                <w:sz w:val="19"/>
              </w:rPr>
              <w:t>Post-Transfer Balance</w:t>
            </w:r>
          </w:p>
        </w:tc>
        <w:tc>
          <w:tcPr>
            <w:tcW w:type="dxa" w:w="3009"/>
            <w:shd w:val="clear" w:color="auto" w:fill="F0FFF8"/>
          </w:tcPr>
          <w:p>
            <w:pPr>
              <w:jc w:val="left"/>
            </w:pPr>
            <w:r>
              <w:rPr>
                <w:rFonts w:ascii="Calibri" w:hAnsi="Calibri"/>
                <w:b/>
                <w:i w:val="0"/>
                <w:color w:val="1E8C50"/>
                <w:sz w:val="20"/>
              </w:rPr>
              <w:t>-6.16</w:t>
            </w:r>
          </w:p>
        </w:tc>
        <w:tc>
          <w:tcPr>
            <w:tcW w:type="dxa" w:w="3009"/>
            <w:shd w:val="clear" w:color="auto" w:fill="F0FFF8"/>
          </w:tcPr>
          <w:p>
            <w:pPr>
              <w:jc w:val="left"/>
            </w:pPr>
            <w:r>
              <w:rPr>
                <w:rFonts w:ascii="Calibri" w:hAnsi="Calibri"/>
                <w:b w:val="0"/>
                <w:i w:val="0"/>
                <w:color w:val="1E2837"/>
                <w:sz w:val="19"/>
              </w:rPr>
              <w:t>Pulls DOWN toward SAFE (strongest)</w:t>
            </w:r>
          </w:p>
        </w:tc>
      </w:tr>
      <w:tr>
        <w:tc>
          <w:tcPr>
            <w:tcW w:type="dxa" w:w="3009"/>
            <w:shd w:val="clear" w:color="auto" w:fill="F0FFF8"/>
          </w:tcPr>
          <w:p>
            <w:pPr>
              <w:jc w:val="left"/>
            </w:pPr>
            <w:r>
              <w:rPr>
                <w:rFonts w:ascii="Calibri" w:hAnsi="Calibri"/>
                <w:b w:val="0"/>
                <w:i w:val="0"/>
                <w:color w:val="1E2837"/>
                <w:sz w:val="19"/>
              </w:rPr>
              <w:t>Solvent Counterparty Receiver</w:t>
            </w:r>
          </w:p>
        </w:tc>
        <w:tc>
          <w:tcPr>
            <w:tcW w:type="dxa" w:w="3009"/>
            <w:shd w:val="clear" w:color="auto" w:fill="F0FFF8"/>
          </w:tcPr>
          <w:p>
            <w:pPr>
              <w:jc w:val="left"/>
            </w:pPr>
            <w:r>
              <w:rPr>
                <w:rFonts w:ascii="Calibri" w:hAnsi="Calibri"/>
                <w:b/>
                <w:i w:val="0"/>
                <w:color w:val="1E8C50"/>
                <w:sz w:val="20"/>
              </w:rPr>
              <w:t>-1.45</w:t>
            </w:r>
          </w:p>
        </w:tc>
        <w:tc>
          <w:tcPr>
            <w:tcW w:type="dxa" w:w="3009"/>
            <w:shd w:val="clear" w:color="auto" w:fill="F0FFF8"/>
          </w:tcPr>
          <w:p>
            <w:pPr>
              <w:jc w:val="left"/>
            </w:pPr>
            <w:r>
              <w:rPr>
                <w:rFonts w:ascii="Calibri" w:hAnsi="Calibri"/>
                <w:b w:val="0"/>
                <w:i w:val="0"/>
                <w:color w:val="1E2837"/>
                <w:sz w:val="19"/>
              </w:rPr>
              <w:t>Pulls DOWN toward SAFE</w:t>
            </w:r>
          </w:p>
        </w:tc>
      </w:tr>
      <w:tr>
        <w:tc>
          <w:tcPr>
            <w:tcW w:type="dxa" w:w="3009"/>
            <w:shd w:val="clear" w:color="auto" w:fill="FFF3CD"/>
          </w:tcPr>
          <w:p>
            <w:pPr>
              <w:jc w:val="left"/>
            </w:pPr>
            <w:r>
              <w:rPr>
                <w:rFonts w:ascii="Calibri" w:hAnsi="Calibri"/>
                <w:b/>
                <w:i w:val="0"/>
                <w:color w:val="1E2837"/>
                <w:sz w:val="19"/>
              </w:rPr>
              <w:t>NET MARGIN (Σ φᵢ)</w:t>
            </w:r>
          </w:p>
        </w:tc>
        <w:tc>
          <w:tcPr>
            <w:tcW w:type="dxa" w:w="3009"/>
            <w:shd w:val="clear" w:color="auto" w:fill="FFF3CD"/>
          </w:tcPr>
          <w:p>
            <w:pPr>
              <w:jc w:val="left"/>
            </w:pPr>
            <w:r>
              <w:rPr>
                <w:rFonts w:ascii="Calibri" w:hAnsi="Calibri"/>
                <w:b/>
                <w:i w:val="0"/>
                <w:color w:val="1E8C50"/>
                <w:sz w:val="20"/>
              </w:rPr>
              <w:t>-0.22</w:t>
            </w:r>
          </w:p>
        </w:tc>
        <w:tc>
          <w:tcPr>
            <w:tcW w:type="dxa" w:w="3009"/>
            <w:shd w:val="clear" w:color="auto" w:fill="FFF3CD"/>
          </w:tcPr>
          <w:p>
            <w:pPr>
              <w:jc w:val="left"/>
            </w:pPr>
            <w:r>
              <w:rPr>
                <w:rFonts w:ascii="Calibri" w:hAnsi="Calibri"/>
                <w:b w:val="0"/>
                <w:i w:val="0"/>
                <w:color w:val="1E2837"/>
                <w:sz w:val="19"/>
              </w:rPr>
              <w:t>→ Sigmoid → P(Fraud) = 44.6%</w:t>
            </w:r>
          </w:p>
        </w:tc>
      </w:tr>
    </w:tbl>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shap_waterfall_chart_1791565573193.jpg"/>
                    <pic:cNvPicPr/>
                  </pic:nvPicPr>
                  <pic:blipFill>
                    <a:blip r:embed="rId10"/>
                    <a:stretch>
                      <a:fillRect/>
                    </a:stretch>
                  </pic:blipFill>
                  <pic:spPr>
                    <a:xfrm>
                      <a:off x="0" y="0"/>
                      <a:ext cx="5669280" cy="3164249"/>
                    </a:xfrm>
                    <a:prstGeom prst="rect"/>
                  </pic:spPr>
                </pic:pic>
              </a:graphicData>
            </a:graphic>
          </wp:inline>
        </w:drawing>
      </w:r>
    </w:p>
    <w:p>
      <w:pPr>
        <w:spacing w:after="240"/>
        <w:jc w:val="center"/>
      </w:pPr>
      <w:r>
        <w:rPr>
          <w:rFonts w:ascii="Calibri" w:hAnsi="Calibri"/>
          <w:b w:val="0"/>
          <w:i/>
          <w:color w:val="64788C"/>
          <w:sz w:val="18"/>
        </w:rPr>
        <w:t>Figure 2 — TreeSHAP Waterfall Attribution (Red = Risk Accelerators, Green = Safety Anchors)</w:t>
      </w:r>
    </w:p>
    <w:p>
      <w:pPr>
        <w:pStyle w:val="Heading2"/>
        <w:spacing w:before="120" w:after="120"/>
        <w:jc w:val="left"/>
      </w:pPr>
      <w:r>
        <w:rPr>
          <w:rFonts w:ascii="Calibri" w:hAnsi="Calibri"/>
          <w:b/>
          <w:i w:val="0"/>
          <w:color w:val="07090D"/>
          <w:sz w:val="24"/>
        </w:rPr>
        <w:t>Key TreeSHAP Properties</w:t>
      </w:r>
    </w:p>
    <w:p>
      <w:pPr>
        <w:pStyle w:val="ListBullet"/>
        <w:spacing w:after="60"/>
      </w:pPr>
      <w:r>
        <w:rPr>
          <w:rFonts w:ascii="Calibri" w:hAnsi="Calibri"/>
          <w:b w:val="0"/>
          <w:i w:val="0"/>
          <w:color w:val="1E2837"/>
          <w:sz w:val="21"/>
        </w:rPr>
        <w:t>Efficiency (Local Accuracy): The sum of all φᵢ exactly equals the model output. No approximations.</w:t>
      </w:r>
    </w:p>
    <w:p>
      <w:pPr>
        <w:pStyle w:val="ListBullet"/>
        <w:spacing w:after="60"/>
      </w:pPr>
      <w:r>
        <w:rPr>
          <w:rFonts w:ascii="Calibri" w:hAnsi="Calibri"/>
          <w:b w:val="0"/>
          <w:i w:val="0"/>
          <w:color w:val="1E2837"/>
          <w:sz w:val="21"/>
        </w:rPr>
        <w:t>Consistency: If a feature's contribution increases, its SHAP attribution never decreases.</w:t>
      </w:r>
    </w:p>
    <w:p>
      <w:pPr>
        <w:pStyle w:val="ListBullet"/>
        <w:spacing w:after="60"/>
      </w:pPr>
      <w:r>
        <w:rPr>
          <w:rFonts w:ascii="Calibri" w:hAnsi="Calibri"/>
          <w:b w:val="0"/>
          <w:i w:val="0"/>
          <w:color w:val="1E2837"/>
          <w:sz w:val="21"/>
        </w:rPr>
        <w:t>Polynomial-Time Computation: O(T·L·D²) allows explanation within 0.004 ms even with 500 trees.</w:t>
      </w:r>
    </w:p>
    <w:p>
      <w:pPr>
        <w:pStyle w:val="ListBullet"/>
        <w:spacing w:after="60"/>
      </w:pPr>
      <w:r>
        <w:rPr>
          <w:rFonts w:ascii="Calibri" w:hAnsi="Calibri"/>
          <w:b w:val="0"/>
          <w:i w:val="0"/>
          <w:color w:val="1E2837"/>
          <w:sz w:val="21"/>
        </w:rPr>
        <w:t>Sign Interpretation: φᵢ &gt; 0 means the feature INCREASED fraud probability (red). φᵢ &lt; 0 means it REDUCED fraud probability (green).</w:t>
      </w:r>
    </w:p>
    <w:p>
      <w:pPr>
        <w:pStyle w:val="Heading1"/>
        <w:spacing w:before="320" w:after="120"/>
        <w:jc w:val="left"/>
      </w:pPr>
      <w:r>
        <w:rPr>
          <w:rFonts w:ascii="Calibri" w:hAnsi="Calibri"/>
          <w:b/>
          <w:i w:val="0"/>
          <w:color w:val="07090D"/>
          <w:sz w:val="32"/>
        </w:rPr>
        <w:t>Step 4: Three-Tier Risk Stratification &amp; Decisioning</w:t>
      </w:r>
    </w:p>
    <w:p>
      <w:pPr>
        <w:spacing w:before="40" w:after="120"/>
        <w:jc w:val="left"/>
      </w:pPr>
      <w:r>
        <w:rPr>
          <w:rFonts w:ascii="Calibri" w:hAnsi="Calibri"/>
          <w:b w:val="0"/>
          <w:i w:val="0"/>
          <w:color w:val="1E2837"/>
          <w:sz w:val="22"/>
        </w:rPr>
        <w:t>Rather than enforcing a hard binary block/allow threshold, SentinelUPI implements a three-tier risk stratification model that significantly reduces false-positive rejection rates while maintaining near-perfect fraud interception at the critical tier.</w:t>
      </w:r>
    </w:p>
    <w:p>
      <w:pPr>
        <w:jc w:val="center"/>
      </w:pPr>
      <w:r>
        <w:drawing>
          <wp:inline xmlns:a="http://schemas.openxmlformats.org/drawingml/2006/main" xmlns:pic="http://schemas.openxmlformats.org/drawingml/2006/picture">
            <wp:extent cx="5486400" cy="4096512"/>
            <wp:docPr id="3" name="Picture 3"/>
            <wp:cNvGraphicFramePr>
              <a:graphicFrameLocks noChangeAspect="1"/>
            </wp:cNvGraphicFramePr>
            <a:graphic>
              <a:graphicData uri="http://schemas.openxmlformats.org/drawingml/2006/picture">
                <pic:pic>
                  <pic:nvPicPr>
                    <pic:cNvPr id="0" name="three_tier_risk_decision_engine_v2_1791565621254.jpg"/>
                    <pic:cNvPicPr/>
                  </pic:nvPicPr>
                  <pic:blipFill>
                    <a:blip r:embed="rId11"/>
                    <a:stretch>
                      <a:fillRect/>
                    </a:stretch>
                  </pic:blipFill>
                  <pic:spPr>
                    <a:xfrm>
                      <a:off x="0" y="0"/>
                      <a:ext cx="5486400" cy="4096512"/>
                    </a:xfrm>
                    <a:prstGeom prst="rect"/>
                  </pic:spPr>
                </pic:pic>
              </a:graphicData>
            </a:graphic>
          </wp:inline>
        </w:drawing>
      </w:r>
    </w:p>
    <w:p>
      <w:pPr>
        <w:spacing w:after="240"/>
        <w:jc w:val="center"/>
      </w:pPr>
      <w:r>
        <w:rPr>
          <w:rFonts w:ascii="Calibri" w:hAnsi="Calibri"/>
          <w:b w:val="0"/>
          <w:i/>
          <w:color w:val="64788C"/>
          <w:sz w:val="18"/>
        </w:rPr>
        <w:t>Figure 3 — Three-Tier Decision Engine: Approve | Step-Up 2FA | Block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E2837"/>
          </w:tcPr>
          <w:p>
            <w:pPr>
              <w:jc w:val="center"/>
            </w:pPr>
            <w:r>
              <w:rPr>
                <w:rFonts w:ascii="Calibri" w:hAnsi="Calibri"/>
                <w:b/>
                <w:i w:val="0"/>
                <w:color w:val="FFFFFF"/>
                <w:sz w:val="20"/>
              </w:rPr>
              <w:t>Risk Tier</w:t>
            </w:r>
          </w:p>
        </w:tc>
        <w:tc>
          <w:tcPr>
            <w:tcW w:type="dxa" w:w="3009"/>
            <w:shd w:val="clear" w:color="auto" w:fill="1E2837"/>
          </w:tcPr>
          <w:p>
            <w:pPr>
              <w:jc w:val="center"/>
            </w:pPr>
            <w:r>
              <w:rPr>
                <w:rFonts w:ascii="Calibri" w:hAnsi="Calibri"/>
                <w:b/>
                <w:i w:val="0"/>
                <w:color w:val="FFFFFF"/>
                <w:sz w:val="20"/>
              </w:rPr>
              <w:t>Banking Action</w:t>
            </w:r>
          </w:p>
        </w:tc>
        <w:tc>
          <w:tcPr>
            <w:tcW w:type="dxa" w:w="3009"/>
            <w:shd w:val="clear" w:color="auto" w:fill="1E2837"/>
          </w:tcPr>
          <w:p>
            <w:pPr>
              <w:jc w:val="center"/>
            </w:pPr>
            <w:r>
              <w:rPr>
                <w:rFonts w:ascii="Calibri" w:hAnsi="Calibri"/>
                <w:b/>
                <w:i w:val="0"/>
                <w:color w:val="FFFFFF"/>
                <w:sz w:val="20"/>
              </w:rPr>
              <w:t>Forensic Rationale</w:t>
            </w:r>
          </w:p>
        </w:tc>
      </w:tr>
      <w:tr>
        <w:tc>
          <w:tcPr>
            <w:tcW w:type="dxa" w:w="3009"/>
            <w:shd w:val="clear" w:color="auto" w:fill="3DD68C33"/>
          </w:tcPr>
          <w:p>
            <w:pPr>
              <w:jc w:val="center"/>
            </w:pPr>
            <w:r>
              <w:rPr>
                <w:rFonts w:ascii="Calibri" w:hAnsi="Calibri"/>
                <w:b/>
                <w:i w:val="0"/>
                <w:color w:val="1E2837"/>
                <w:sz w:val="20"/>
              </w:rPr>
              <w:t>LOW RISK</w:t>
              <w:br/>
              <w:t>0.0% – 29.9%</w:t>
            </w:r>
          </w:p>
        </w:tc>
        <w:tc>
          <w:tcPr>
            <w:tcW w:type="dxa" w:w="3009"/>
            <w:shd w:val="clear" w:color="auto" w:fill="F7F9FC"/>
          </w:tcPr>
          <w:p>
            <w:pPr>
              <w:jc w:val="center"/>
            </w:pPr>
            <w:r>
              <w:rPr>
                <w:rFonts w:ascii="Calibri" w:hAnsi="Calibri"/>
                <w:b/>
                <w:i w:val="0"/>
                <w:color w:val="1E2837"/>
                <w:sz w:val="20"/>
              </w:rPr>
              <w:t>Auto-Approve</w:t>
              <w:br/>
              <w:t>Instant Settlement</w:t>
            </w:r>
          </w:p>
        </w:tc>
        <w:tc>
          <w:tcPr>
            <w:tcW w:type="dxa" w:w="3009"/>
            <w:shd w:val="clear" w:color="auto" w:fill="F7F9FC"/>
          </w:tcPr>
          <w:p>
            <w:pPr>
              <w:jc w:val="left"/>
            </w:pPr>
            <w:r>
              <w:rPr>
                <w:rFonts w:ascii="Calibri" w:hAnsi="Calibri"/>
                <w:b w:val="0"/>
                <w:i w:val="0"/>
                <w:color w:val="1E2837"/>
                <w:sz w:val="19"/>
              </w:rPr>
              <w:t>Dominant safety anchors (φᵢ &lt; 0) overwhelm any minor risk signals. Sender retained residual balance, verified merchant KYC, or solvent counterparty. Example: Case 6 (0.02%) — Everyday P2P Transfer.</w:t>
            </w:r>
          </w:p>
        </w:tc>
      </w:tr>
      <w:tr>
        <w:tc>
          <w:tcPr>
            <w:tcW w:type="dxa" w:w="3009"/>
            <w:shd w:val="clear" w:color="auto" w:fill="E7B54933"/>
          </w:tcPr>
          <w:p>
            <w:pPr>
              <w:jc w:val="center"/>
            </w:pPr>
            <w:r>
              <w:rPr>
                <w:rFonts w:ascii="Calibri" w:hAnsi="Calibri"/>
                <w:b/>
                <w:i w:val="0"/>
                <w:color w:val="1E2837"/>
                <w:sz w:val="20"/>
              </w:rPr>
              <w:t>YELLOW REVIEW ZONE</w:t>
              <w:br/>
              <w:t>30.0% – 69.9%</w:t>
            </w:r>
          </w:p>
        </w:tc>
        <w:tc>
          <w:tcPr>
            <w:tcW w:type="dxa" w:w="3009"/>
            <w:shd w:val="clear" w:color="auto" w:fill="F7F9FC"/>
          </w:tcPr>
          <w:p>
            <w:pPr>
              <w:jc w:val="center"/>
            </w:pPr>
            <w:r>
              <w:rPr>
                <w:rFonts w:ascii="Calibri" w:hAnsi="Calibri"/>
                <w:b/>
                <w:i w:val="0"/>
                <w:color w:val="1E2837"/>
                <w:sz w:val="20"/>
              </w:rPr>
              <w:t>Step-Up 2FA Challenge</w:t>
              <w:br/>
              <w:t>SMS OTP or Biometric</w:t>
            </w:r>
          </w:p>
        </w:tc>
        <w:tc>
          <w:tcPr>
            <w:tcW w:type="dxa" w:w="3009"/>
            <w:shd w:val="clear" w:color="auto" w:fill="F7F9FC"/>
          </w:tcPr>
          <w:p>
            <w:pPr>
              <w:jc w:val="left"/>
            </w:pPr>
            <w:r>
              <w:rPr>
                <w:rFonts w:ascii="Calibri" w:hAnsi="Calibri"/>
                <w:b w:val="0"/>
                <w:i w:val="0"/>
                <w:color w:val="1E2837"/>
                <w:sz w:val="19"/>
              </w:rPr>
              <w:t>Opposing signal equilibrium: High-risk triggers (e.g., large nocturnal transfer) are counterbalanced by strong trust signals (e.g., counterparty holds ₹10.86L). Outright block causes a false positive; 2FA resolves ambiguity without disrupting legitimate users. Example: Case 4 (44.6%) — Nocturnal Ambiguity.</w:t>
            </w:r>
          </w:p>
        </w:tc>
      </w:tr>
      <w:tr>
        <w:tc>
          <w:tcPr>
            <w:tcW w:type="dxa" w:w="3009"/>
            <w:shd w:val="clear" w:color="auto" w:fill="EF6B6B33"/>
          </w:tcPr>
          <w:p>
            <w:pPr>
              <w:jc w:val="center"/>
            </w:pPr>
            <w:r>
              <w:rPr>
                <w:rFonts w:ascii="Calibri" w:hAnsi="Calibri"/>
                <w:b/>
                <w:i w:val="0"/>
                <w:color w:val="1E2837"/>
                <w:sz w:val="20"/>
              </w:rPr>
              <w:t>HIGH / CRITICAL</w:t>
              <w:br/>
              <w:t>≥ 70.0%</w:t>
            </w:r>
          </w:p>
        </w:tc>
        <w:tc>
          <w:tcPr>
            <w:tcW w:type="dxa" w:w="3009"/>
            <w:shd w:val="clear" w:color="auto" w:fill="F7F9FC"/>
          </w:tcPr>
          <w:p>
            <w:pPr>
              <w:jc w:val="center"/>
            </w:pPr>
            <w:r>
              <w:rPr>
                <w:rFonts w:ascii="Calibri" w:hAnsi="Calibri"/>
                <w:b/>
                <w:i w:val="0"/>
                <w:color w:val="1E2837"/>
                <w:sz w:val="20"/>
              </w:rPr>
              <w:t>Hard Block &amp; Account Hold</w:t>
              <w:br/>
              <w:t>Automated Alert</w:t>
            </w:r>
          </w:p>
        </w:tc>
        <w:tc>
          <w:tcPr>
            <w:tcW w:type="dxa" w:w="3009"/>
            <w:shd w:val="clear" w:color="auto" w:fill="F7F9FC"/>
          </w:tcPr>
          <w:p>
            <w:pPr>
              <w:jc w:val="left"/>
            </w:pPr>
            <w:r>
              <w:rPr>
                <w:rFonts w:ascii="Calibri" w:hAnsi="Calibri"/>
                <w:b w:val="0"/>
                <w:i w:val="0"/>
                <w:color w:val="1E2837"/>
                <w:sz w:val="19"/>
              </w:rPr>
              <w:t>Risk accelerators completely dominate: total account drain to ₹0, transfer to zero-balance burner mule, off-peak nocturnal timing. No mitigating trust signals present. Example: Case 1 (99.98%) — Total Account Takeover.</w:t>
            </w:r>
          </w:p>
        </w:tc>
      </w:tr>
    </w:tbl>
    <w:p/>
    <w:p>
      <w:pPr>
        <w:pStyle w:val="Heading1"/>
        <w:spacing w:before="320" w:after="120"/>
        <w:jc w:val="left"/>
      </w:pPr>
      <w:r>
        <w:rPr>
          <w:rFonts w:ascii="Calibri" w:hAnsi="Calibri"/>
          <w:b/>
          <w:i w:val="0"/>
          <w:color w:val="07090D"/>
          <w:sz w:val="32"/>
        </w:rPr>
        <w:t>Step 5: Dual Explainability in the UI</w:t>
      </w:r>
    </w:p>
    <w:p>
      <w:pPr>
        <w:spacing w:before="40" w:after="120"/>
        <w:jc w:val="left"/>
      </w:pPr>
      <w:r>
        <w:rPr>
          <w:rFonts w:ascii="Calibri" w:hAnsi="Calibri"/>
          <w:b w:val="0"/>
          <w:i w:val="0"/>
          <w:color w:val="1E2837"/>
          <w:sz w:val="22"/>
        </w:rPr>
        <w:t>SentinelUPI translates raw SHAP mathematics into two distinct audience-specific views, ensuring both end-users and bank regulators receive actionable, understandable outputs.</w:t>
      </w:r>
    </w:p>
    <w:p>
      <w:pPr>
        <w:pStyle w:val="Heading2"/>
        <w:spacing w:before="120" w:after="120"/>
        <w:jc w:val="left"/>
      </w:pPr>
      <w:r>
        <w:rPr>
          <w:rFonts w:ascii="Calibri" w:hAnsi="Calibri"/>
          <w:b/>
          <w:i w:val="0"/>
          <w:color w:val="07090D"/>
          <w:sz w:val="24"/>
        </w:rPr>
        <w:t>5.1  For the Everyday Customer &amp; Fraud Analyst</w:t>
      </w:r>
    </w:p>
    <w:p>
      <w:pPr>
        <w:pStyle w:val="ListBullet"/>
        <w:spacing w:after="60"/>
      </w:pPr>
      <w:r>
        <w:rPr>
          <w:rFonts w:ascii="Calibri" w:hAnsi="Calibri"/>
          <w:b w:val="0"/>
          <w:i w:val="0"/>
          <w:color w:val="1E2837"/>
          <w:sz w:val="21"/>
        </w:rPr>
        <w:t>Primary Assessment Card: A plain-English explanation articulating exactly why the score was awarded — e.g., why 76% is not 100% (credit line origin), or why 44.6% triggered a 2FA challenge (equilibrium of opposing signals).</w:t>
      </w:r>
    </w:p>
    <w:p>
      <w:pPr>
        <w:pStyle w:val="ListBullet"/>
        <w:spacing w:after="60"/>
      </w:pPr>
      <w:r>
        <w:rPr>
          <w:rFonts w:ascii="Calibri" w:hAnsi="Calibri"/>
          <w:b w:val="0"/>
          <w:i w:val="0"/>
          <w:color w:val="1E2837"/>
          <w:sz w:val="21"/>
        </w:rPr>
        <w:t>Risk Factor Cards: The top dominant features are displayed with directional badges. For HIGH RISK transactions, red 'Critical Risk Driver' badges show the top positive-SHAP features. For LOW RISK transactions, green 'Dominant Safety Anchor' badges show the trust signals — eliminating the confusing scenario of red warnings on safe transfers.</w:t>
      </w:r>
    </w:p>
    <w:p>
      <w:pPr>
        <w:pStyle w:val="ListBullet"/>
        <w:spacing w:after="60"/>
      </w:pPr>
      <w:r>
        <w:rPr>
          <w:rFonts w:ascii="Calibri" w:hAnsi="Calibri"/>
          <w:b w:val="0"/>
          <w:i w:val="0"/>
          <w:color w:val="1E2837"/>
          <w:sz w:val="21"/>
        </w:rPr>
        <w:t>Dynamic Section Headers: 'Key Forensic Risk Drivers (+SHAP)' for HIGH, 'Conflicting Signals Equilibrium' for MEDIUM, 'Primary Safety Anchors (-SHAP)' for LOW.</w:t>
      </w:r>
    </w:p>
    <w:p>
      <w:pPr>
        <w:pStyle w:val="Heading2"/>
        <w:spacing w:before="120" w:after="120"/>
        <w:jc w:val="left"/>
      </w:pPr>
      <w:r>
        <w:rPr>
          <w:rFonts w:ascii="Calibri" w:hAnsi="Calibri"/>
          <w:b/>
          <w:i w:val="0"/>
          <w:color w:val="07090D"/>
          <w:sz w:val="24"/>
        </w:rPr>
        <w:t>5.2  For Bank Auditors &amp; Regulators (RBI Dossier)</w:t>
      </w:r>
    </w:p>
    <w:p>
      <w:pPr>
        <w:pStyle w:val="ListBullet"/>
        <w:spacing w:after="60"/>
      </w:pPr>
      <w:r>
        <w:rPr>
          <w:rFonts w:ascii="Calibri" w:hAnsi="Calibri"/>
          <w:b w:val="0"/>
          <w:i w:val="0"/>
          <w:color w:val="1E2837"/>
          <w:sz w:val="21"/>
        </w:rPr>
        <w:t>Interactive SHAP Waterfall Chart: Bar-by-bar cumulative visualization of each feature's attribution from the global base rate to the final score.</w:t>
      </w:r>
    </w:p>
    <w:p>
      <w:pPr>
        <w:pStyle w:val="ListBullet"/>
        <w:spacing w:after="60"/>
      </w:pPr>
      <w:r>
        <w:rPr>
          <w:rFonts w:ascii="Calibri" w:hAnsi="Calibri"/>
          <w:b w:val="0"/>
          <w:i w:val="0"/>
          <w:color w:val="1E2837"/>
          <w:sz w:val="21"/>
        </w:rPr>
        <w:t>Score Derivation Card: Displays the exact log-odds summation (φ₀ + Σφᵢ = margin) and sigmoid transformation (σ(margin) = P(Fraud)) for regulatory mathematical transparency.</w:t>
      </w:r>
    </w:p>
    <w:p>
      <w:pPr>
        <w:pStyle w:val="ListBullet"/>
        <w:spacing w:after="60"/>
      </w:pPr>
      <w:r>
        <w:rPr>
          <w:rFonts w:ascii="Calibri" w:hAnsi="Calibri"/>
          <w:b w:val="0"/>
          <w:i w:val="0"/>
          <w:color w:val="1E2837"/>
          <w:sz w:val="21"/>
        </w:rPr>
        <w:t>Regulatory Compliance Dossier: Logs calibrated model confidence (Brier Score), PR-AUC metric evidence, data lineage, and timestamped audit records — compliant with RBI Master Directions on Digital Payment Security Controls.</w:t>
      </w:r>
    </w:p>
    <w:p>
      <w:pPr>
        <w:pStyle w:val="ListBullet"/>
        <w:spacing w:after="60"/>
      </w:pPr>
      <w:r>
        <w:rPr>
          <w:rFonts w:ascii="Calibri" w:hAnsi="Calibri"/>
          <w:b w:val="0"/>
          <w:i w:val="0"/>
          <w:color w:val="1E2837"/>
          <w:sz w:val="21"/>
        </w:rPr>
        <w:t>Compensating Mitigations Tab: Lists the positive trust factors that reduced the risk score, enabling adverse action notices if a transaction is blocked.</w:t>
      </w:r>
    </w:p>
    <w:p>
      <w:pPr>
        <w:pStyle w:val="Heading1"/>
        <w:spacing w:before="320" w:after="120"/>
        <w:jc w:val="left"/>
      </w:pPr>
      <w:r>
        <w:rPr>
          <w:rFonts w:ascii="Calibri" w:hAnsi="Calibri"/>
          <w:b/>
          <w:i w:val="0"/>
          <w:color w:val="07090D"/>
          <w:sz w:val="32"/>
        </w:rPr>
        <w:t>Benchmark Test Results — The 7 Core Scenarios</w:t>
      </w:r>
    </w:p>
    <w:p>
      <w:pPr>
        <w:spacing w:before="40" w:after="120"/>
        <w:jc w:val="left"/>
      </w:pPr>
      <w:r>
        <w:rPr>
          <w:rFonts w:ascii="Calibri" w:hAnsi="Calibri"/>
          <w:b w:val="0"/>
          <w:i w:val="0"/>
          <w:color w:val="1E2837"/>
          <w:sz w:val="22"/>
        </w:rPr>
        <w:t>SentinelUPI was validated against seven real-world financial fraud scenarios derived from the PaySim 6.36M transaction benchmark dataset. Each case demonstrates a distinct forensic pattern, verified against ground-truth labels.</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1E2837"/>
          </w:tcPr>
          <w:p>
            <w:pPr>
              <w:jc w:val="center"/>
            </w:pPr>
            <w:r>
              <w:rPr>
                <w:rFonts w:ascii="Calibri" w:hAnsi="Calibri"/>
                <w:b/>
                <w:i w:val="0"/>
                <w:color w:val="FFFFFF"/>
                <w:sz w:val="17"/>
              </w:rPr>
              <w:t>Case</w:t>
            </w:r>
          </w:p>
        </w:tc>
        <w:tc>
          <w:tcPr>
            <w:tcW w:type="dxa" w:w="1128"/>
            <w:shd w:val="clear" w:color="auto" w:fill="1E2837"/>
          </w:tcPr>
          <w:p>
            <w:pPr>
              <w:jc w:val="center"/>
            </w:pPr>
            <w:r>
              <w:rPr>
                <w:rFonts w:ascii="Calibri" w:hAnsi="Calibri"/>
                <w:b/>
                <w:i w:val="0"/>
                <w:color w:val="FFFFFF"/>
                <w:sz w:val="17"/>
              </w:rPr>
              <w:t>Scenario</w:t>
            </w:r>
          </w:p>
        </w:tc>
        <w:tc>
          <w:tcPr>
            <w:tcW w:type="dxa" w:w="1128"/>
            <w:shd w:val="clear" w:color="auto" w:fill="1E2837"/>
          </w:tcPr>
          <w:p>
            <w:pPr>
              <w:jc w:val="center"/>
            </w:pPr>
            <w:r>
              <w:rPr>
                <w:rFonts w:ascii="Calibri" w:hAnsi="Calibri"/>
                <w:b/>
                <w:i w:val="0"/>
                <w:color w:val="FFFFFF"/>
                <w:sz w:val="17"/>
              </w:rPr>
              <w:t>Type</w:t>
            </w:r>
          </w:p>
        </w:tc>
        <w:tc>
          <w:tcPr>
            <w:tcW w:type="dxa" w:w="1128"/>
            <w:shd w:val="clear" w:color="auto" w:fill="1E2837"/>
          </w:tcPr>
          <w:p>
            <w:pPr>
              <w:jc w:val="center"/>
            </w:pPr>
            <w:r>
              <w:rPr>
                <w:rFonts w:ascii="Calibri" w:hAnsi="Calibri"/>
                <w:b/>
                <w:i w:val="0"/>
                <w:color w:val="FFFFFF"/>
                <w:sz w:val="17"/>
              </w:rPr>
              <w:t>Amount</w:t>
            </w:r>
          </w:p>
        </w:tc>
        <w:tc>
          <w:tcPr>
            <w:tcW w:type="dxa" w:w="1128"/>
            <w:shd w:val="clear" w:color="auto" w:fill="1E2837"/>
          </w:tcPr>
          <w:p>
            <w:pPr>
              <w:jc w:val="center"/>
            </w:pPr>
            <w:r>
              <w:rPr>
                <w:rFonts w:ascii="Calibri" w:hAnsi="Calibri"/>
                <w:b/>
                <w:i w:val="0"/>
                <w:color w:val="FFFFFF"/>
                <w:sz w:val="17"/>
              </w:rPr>
              <w:t>Sender Bal</w:t>
            </w:r>
          </w:p>
        </w:tc>
        <w:tc>
          <w:tcPr>
            <w:tcW w:type="dxa" w:w="1128"/>
            <w:shd w:val="clear" w:color="auto" w:fill="1E2837"/>
          </w:tcPr>
          <w:p>
            <w:pPr>
              <w:jc w:val="center"/>
            </w:pPr>
            <w:r>
              <w:rPr>
                <w:rFonts w:ascii="Calibri" w:hAnsi="Calibri"/>
                <w:b/>
                <w:i w:val="0"/>
                <w:color w:val="FFFFFF"/>
                <w:sz w:val="17"/>
              </w:rPr>
              <w:t>Recv Old Bal</w:t>
            </w:r>
          </w:p>
        </w:tc>
        <w:tc>
          <w:tcPr>
            <w:tcW w:type="dxa" w:w="1128"/>
            <w:shd w:val="clear" w:color="auto" w:fill="1E2837"/>
          </w:tcPr>
          <w:p>
            <w:pPr>
              <w:jc w:val="center"/>
            </w:pPr>
            <w:r>
              <w:rPr>
                <w:rFonts w:ascii="Calibri" w:hAnsi="Calibri"/>
                <w:b/>
                <w:i w:val="0"/>
                <w:color w:val="FFFFFF"/>
                <w:sz w:val="17"/>
              </w:rPr>
              <w:t>Risk Score</w:t>
            </w:r>
          </w:p>
        </w:tc>
        <w:tc>
          <w:tcPr>
            <w:tcW w:type="dxa" w:w="1128"/>
            <w:shd w:val="clear" w:color="auto" w:fill="1E2837"/>
          </w:tcPr>
          <w:p>
            <w:pPr>
              <w:jc w:val="center"/>
            </w:pPr>
            <w:r>
              <w:rPr>
                <w:rFonts w:ascii="Calibri" w:hAnsi="Calibri"/>
                <w:b/>
                <w:i w:val="0"/>
                <w:color w:val="FFFFFF"/>
                <w:sz w:val="17"/>
              </w:rPr>
              <w:t>Decision</w:t>
            </w:r>
          </w:p>
        </w:tc>
      </w:tr>
      <w:tr>
        <w:tc>
          <w:tcPr>
            <w:tcW w:type="dxa" w:w="1128"/>
            <w:shd w:val="clear" w:color="auto" w:fill="F7F9FC"/>
          </w:tcPr>
          <w:p>
            <w:pPr>
              <w:jc w:val="center"/>
            </w:pPr>
            <w:r>
              <w:rPr>
                <w:rFonts w:ascii="Calibri" w:hAnsi="Calibri"/>
                <w:b w:val="0"/>
                <w:i w:val="0"/>
                <w:color w:val="1E2837"/>
                <w:sz w:val="17"/>
              </w:rPr>
              <w:t>Case 1</w:t>
            </w:r>
          </w:p>
        </w:tc>
        <w:tc>
          <w:tcPr>
            <w:tcW w:type="dxa" w:w="1128"/>
            <w:shd w:val="clear" w:color="auto" w:fill="F7F9FC"/>
          </w:tcPr>
          <w:p>
            <w:pPr>
              <w:jc w:val="center"/>
            </w:pPr>
            <w:r>
              <w:rPr>
                <w:rFonts w:ascii="Calibri" w:hAnsi="Calibri"/>
                <w:b w:val="0"/>
                <w:i w:val="0"/>
                <w:color w:val="1E2837"/>
                <w:sz w:val="17"/>
              </w:rPr>
              <w:t>Total Account Takeover</w:t>
            </w:r>
          </w:p>
        </w:tc>
        <w:tc>
          <w:tcPr>
            <w:tcW w:type="dxa" w:w="1128"/>
            <w:shd w:val="clear" w:color="auto" w:fill="F7F9FC"/>
          </w:tcPr>
          <w:p>
            <w:pPr>
              <w:jc w:val="center"/>
            </w:pPr>
            <w:r>
              <w:rPr>
                <w:rFonts w:ascii="Calibri" w:hAnsi="Calibri"/>
                <w:b w:val="0"/>
                <w:i w:val="0"/>
                <w:color w:val="1E2837"/>
                <w:sz w:val="17"/>
              </w:rPr>
              <w:t>TRANSFER</w:t>
            </w:r>
          </w:p>
        </w:tc>
        <w:tc>
          <w:tcPr>
            <w:tcW w:type="dxa" w:w="1128"/>
            <w:shd w:val="clear" w:color="auto" w:fill="F7F9FC"/>
          </w:tcPr>
          <w:p>
            <w:pPr>
              <w:jc w:val="center"/>
            </w:pPr>
            <w:r>
              <w:rPr>
                <w:rFonts w:ascii="Calibri" w:hAnsi="Calibri"/>
                <w:b w:val="0"/>
                <w:i w:val="0"/>
                <w:color w:val="1E2837"/>
                <w:sz w:val="17"/>
              </w:rPr>
              <w:t>₹2,50,000</w:t>
            </w:r>
          </w:p>
        </w:tc>
        <w:tc>
          <w:tcPr>
            <w:tcW w:type="dxa" w:w="1128"/>
            <w:shd w:val="clear" w:color="auto" w:fill="F7F9FC"/>
          </w:tcPr>
          <w:p>
            <w:pPr>
              <w:jc w:val="center"/>
            </w:pPr>
            <w:r>
              <w:rPr>
                <w:rFonts w:ascii="Calibri" w:hAnsi="Calibri"/>
                <w:b w:val="0"/>
                <w:i w:val="0"/>
                <w:color w:val="1E2837"/>
                <w:sz w:val="17"/>
              </w:rPr>
              <w:t>₹2.5L → ₹0</w:t>
            </w:r>
          </w:p>
        </w:tc>
        <w:tc>
          <w:tcPr>
            <w:tcW w:type="dxa" w:w="1128"/>
            <w:shd w:val="clear" w:color="auto" w:fill="F7F9FC"/>
          </w:tcPr>
          <w:p>
            <w:pPr>
              <w:jc w:val="center"/>
            </w:pPr>
            <w:r>
              <w:rPr>
                <w:rFonts w:ascii="Calibri" w:hAnsi="Calibri"/>
                <w:b w:val="0"/>
                <w:i w:val="0"/>
                <w:color w:val="1E2837"/>
                <w:sz w:val="17"/>
              </w:rPr>
              <w:t>₹0</w:t>
            </w:r>
          </w:p>
        </w:tc>
        <w:tc>
          <w:tcPr>
            <w:tcW w:type="dxa" w:w="1128"/>
            <w:shd w:val="clear" w:color="auto" w:fill="F7F9FC"/>
          </w:tcPr>
          <w:p>
            <w:pPr>
              <w:jc w:val="center"/>
            </w:pPr>
            <w:r>
              <w:rPr>
                <w:rFonts w:ascii="Calibri" w:hAnsi="Calibri"/>
                <w:b w:val="0"/>
                <w:i w:val="0"/>
                <w:color w:val="1E2837"/>
                <w:sz w:val="17"/>
              </w:rPr>
              <w:t>99.98%</w:t>
            </w:r>
          </w:p>
        </w:tc>
        <w:tc>
          <w:tcPr>
            <w:tcW w:type="dxa" w:w="1128"/>
            <w:shd w:val="clear" w:color="auto" w:fill="F7F9FC"/>
          </w:tcPr>
          <w:p>
            <w:pPr>
              <w:jc w:val="center"/>
            </w:pPr>
            <w:r>
              <w:rPr>
                <w:rFonts w:ascii="Calibri" w:hAnsi="Calibri"/>
                <w:b w:val="0"/>
                <w:i w:val="0"/>
                <w:color w:val="1E2837"/>
                <w:sz w:val="17"/>
              </w:rPr>
              <w:t>Critical Block</w:t>
            </w:r>
          </w:p>
        </w:tc>
      </w:tr>
      <w:tr>
        <w:tc>
          <w:tcPr>
            <w:tcW w:type="dxa" w:w="1128"/>
            <w:shd w:val="clear" w:color="auto" w:fill="FFFFFF"/>
          </w:tcPr>
          <w:p>
            <w:pPr>
              <w:jc w:val="center"/>
            </w:pPr>
            <w:r>
              <w:rPr>
                <w:rFonts w:ascii="Calibri" w:hAnsi="Calibri"/>
                <w:b w:val="0"/>
                <w:i w:val="0"/>
                <w:color w:val="1E2837"/>
                <w:sz w:val="17"/>
              </w:rPr>
              <w:t>Case 2</w:t>
            </w:r>
          </w:p>
        </w:tc>
        <w:tc>
          <w:tcPr>
            <w:tcW w:type="dxa" w:w="1128"/>
            <w:shd w:val="clear" w:color="auto" w:fill="FFFFFF"/>
          </w:tcPr>
          <w:p>
            <w:pPr>
              <w:jc w:val="center"/>
            </w:pPr>
            <w:r>
              <w:rPr>
                <w:rFonts w:ascii="Calibri" w:hAnsi="Calibri"/>
                <w:b w:val="0"/>
                <w:i w:val="0"/>
                <w:color w:val="1E2837"/>
                <w:sz w:val="17"/>
              </w:rPr>
              <w:t>Cash-Out ATM Liquidation</w:t>
            </w:r>
          </w:p>
        </w:tc>
        <w:tc>
          <w:tcPr>
            <w:tcW w:type="dxa" w:w="1128"/>
            <w:shd w:val="clear" w:color="auto" w:fill="FFFFFF"/>
          </w:tcPr>
          <w:p>
            <w:pPr>
              <w:jc w:val="center"/>
            </w:pPr>
            <w:r>
              <w:rPr>
                <w:rFonts w:ascii="Calibri" w:hAnsi="Calibri"/>
                <w:b w:val="0"/>
                <w:i w:val="0"/>
                <w:color w:val="1E2837"/>
                <w:sz w:val="17"/>
              </w:rPr>
              <w:t>CASH_OUT</w:t>
            </w:r>
          </w:p>
        </w:tc>
        <w:tc>
          <w:tcPr>
            <w:tcW w:type="dxa" w:w="1128"/>
            <w:shd w:val="clear" w:color="auto" w:fill="FFFFFF"/>
          </w:tcPr>
          <w:p>
            <w:pPr>
              <w:jc w:val="center"/>
            </w:pPr>
            <w:r>
              <w:rPr>
                <w:rFonts w:ascii="Calibri" w:hAnsi="Calibri"/>
                <w:b w:val="0"/>
                <w:i w:val="0"/>
                <w:color w:val="1E2837"/>
                <w:sz w:val="17"/>
              </w:rPr>
              <w:t>₹1,80,000</w:t>
            </w:r>
          </w:p>
        </w:tc>
        <w:tc>
          <w:tcPr>
            <w:tcW w:type="dxa" w:w="1128"/>
            <w:shd w:val="clear" w:color="auto" w:fill="FFFFFF"/>
          </w:tcPr>
          <w:p>
            <w:pPr>
              <w:jc w:val="center"/>
            </w:pPr>
            <w:r>
              <w:rPr>
                <w:rFonts w:ascii="Calibri" w:hAnsi="Calibri"/>
                <w:b w:val="0"/>
                <w:i w:val="0"/>
                <w:color w:val="1E2837"/>
                <w:sz w:val="17"/>
              </w:rPr>
              <w:t>₹1.8L → ₹0</w:t>
            </w:r>
          </w:p>
        </w:tc>
        <w:tc>
          <w:tcPr>
            <w:tcW w:type="dxa" w:w="1128"/>
            <w:shd w:val="clear" w:color="auto" w:fill="FFFFFF"/>
          </w:tcPr>
          <w:p>
            <w:pPr>
              <w:jc w:val="center"/>
            </w:pPr>
            <w:r>
              <w:rPr>
                <w:rFonts w:ascii="Calibri" w:hAnsi="Calibri"/>
                <w:b w:val="0"/>
                <w:i w:val="0"/>
                <w:color w:val="1E2837"/>
                <w:sz w:val="17"/>
              </w:rPr>
              <w:t>₹10,000</w:t>
            </w:r>
          </w:p>
        </w:tc>
        <w:tc>
          <w:tcPr>
            <w:tcW w:type="dxa" w:w="1128"/>
            <w:shd w:val="clear" w:color="auto" w:fill="FFFFFF"/>
          </w:tcPr>
          <w:p>
            <w:pPr>
              <w:jc w:val="center"/>
            </w:pPr>
            <w:r>
              <w:rPr>
                <w:rFonts w:ascii="Calibri" w:hAnsi="Calibri"/>
                <w:b w:val="0"/>
                <w:i w:val="0"/>
                <w:color w:val="1E2837"/>
                <w:sz w:val="17"/>
              </w:rPr>
              <w:t>99.98%</w:t>
            </w:r>
          </w:p>
        </w:tc>
        <w:tc>
          <w:tcPr>
            <w:tcW w:type="dxa" w:w="1128"/>
            <w:shd w:val="clear" w:color="auto" w:fill="FFFFFF"/>
          </w:tcPr>
          <w:p>
            <w:pPr>
              <w:jc w:val="center"/>
            </w:pPr>
            <w:r>
              <w:rPr>
                <w:rFonts w:ascii="Calibri" w:hAnsi="Calibri"/>
                <w:b w:val="0"/>
                <w:i w:val="0"/>
                <w:color w:val="1E2837"/>
                <w:sz w:val="17"/>
              </w:rPr>
              <w:t>Critical Block</w:t>
            </w:r>
          </w:p>
        </w:tc>
      </w:tr>
      <w:tr>
        <w:tc>
          <w:tcPr>
            <w:tcW w:type="dxa" w:w="1128"/>
            <w:shd w:val="clear" w:color="auto" w:fill="F7F9FC"/>
          </w:tcPr>
          <w:p>
            <w:pPr>
              <w:jc w:val="center"/>
            </w:pPr>
            <w:r>
              <w:rPr>
                <w:rFonts w:ascii="Calibri" w:hAnsi="Calibri"/>
                <w:b w:val="0"/>
                <w:i w:val="0"/>
                <w:color w:val="1E2837"/>
                <w:sz w:val="17"/>
              </w:rPr>
              <w:t>Case 3</w:t>
            </w:r>
          </w:p>
        </w:tc>
        <w:tc>
          <w:tcPr>
            <w:tcW w:type="dxa" w:w="1128"/>
            <w:shd w:val="clear" w:color="auto" w:fill="F7F9FC"/>
          </w:tcPr>
          <w:p>
            <w:pPr>
              <w:jc w:val="center"/>
            </w:pPr>
            <w:r>
              <w:rPr>
                <w:rFonts w:ascii="Calibri" w:hAnsi="Calibri"/>
                <w:b w:val="0"/>
                <w:i w:val="0"/>
                <w:color w:val="1E2837"/>
                <w:sz w:val="17"/>
              </w:rPr>
              <w:t>Dormant Mule Funnel</w:t>
            </w:r>
          </w:p>
        </w:tc>
        <w:tc>
          <w:tcPr>
            <w:tcW w:type="dxa" w:w="1128"/>
            <w:shd w:val="clear" w:color="auto" w:fill="F7F9FC"/>
          </w:tcPr>
          <w:p>
            <w:pPr>
              <w:jc w:val="center"/>
            </w:pPr>
            <w:r>
              <w:rPr>
                <w:rFonts w:ascii="Calibri" w:hAnsi="Calibri"/>
                <w:b w:val="0"/>
                <w:i w:val="0"/>
                <w:color w:val="1E2837"/>
                <w:sz w:val="17"/>
              </w:rPr>
              <w:t>TRANSFER</w:t>
            </w:r>
          </w:p>
        </w:tc>
        <w:tc>
          <w:tcPr>
            <w:tcW w:type="dxa" w:w="1128"/>
            <w:shd w:val="clear" w:color="auto" w:fill="F7F9FC"/>
          </w:tcPr>
          <w:p>
            <w:pPr>
              <w:jc w:val="center"/>
            </w:pPr>
            <w:r>
              <w:rPr>
                <w:rFonts w:ascii="Calibri" w:hAnsi="Calibri"/>
                <w:b w:val="0"/>
                <w:i w:val="0"/>
                <w:color w:val="1E2837"/>
                <w:sz w:val="17"/>
              </w:rPr>
              <w:t>₹2,39,163</w:t>
            </w:r>
          </w:p>
        </w:tc>
        <w:tc>
          <w:tcPr>
            <w:tcW w:type="dxa" w:w="1128"/>
            <w:shd w:val="clear" w:color="auto" w:fill="F7F9FC"/>
          </w:tcPr>
          <w:p>
            <w:pPr>
              <w:jc w:val="center"/>
            </w:pPr>
            <w:r>
              <w:rPr>
                <w:rFonts w:ascii="Calibri" w:hAnsi="Calibri"/>
                <w:b w:val="0"/>
                <w:i w:val="0"/>
                <w:color w:val="1E2837"/>
                <w:sz w:val="17"/>
              </w:rPr>
              <w:t>₹0 → ₹0</w:t>
            </w:r>
          </w:p>
        </w:tc>
        <w:tc>
          <w:tcPr>
            <w:tcW w:type="dxa" w:w="1128"/>
            <w:shd w:val="clear" w:color="auto" w:fill="F7F9FC"/>
          </w:tcPr>
          <w:p>
            <w:pPr>
              <w:jc w:val="center"/>
            </w:pPr>
            <w:r>
              <w:rPr>
                <w:rFonts w:ascii="Calibri" w:hAnsi="Calibri"/>
                <w:b w:val="0"/>
                <w:i w:val="0"/>
                <w:color w:val="1E2837"/>
                <w:sz w:val="17"/>
              </w:rPr>
              <w:t>₹0</w:t>
            </w:r>
          </w:p>
        </w:tc>
        <w:tc>
          <w:tcPr>
            <w:tcW w:type="dxa" w:w="1128"/>
            <w:shd w:val="clear" w:color="auto" w:fill="F7F9FC"/>
          </w:tcPr>
          <w:p>
            <w:pPr>
              <w:jc w:val="center"/>
            </w:pPr>
            <w:r>
              <w:rPr>
                <w:rFonts w:ascii="Calibri" w:hAnsi="Calibri"/>
                <w:b w:val="0"/>
                <w:i w:val="0"/>
                <w:color w:val="1E2837"/>
                <w:sz w:val="17"/>
              </w:rPr>
              <w:t>76.0%</w:t>
            </w:r>
          </w:p>
        </w:tc>
        <w:tc>
          <w:tcPr>
            <w:tcW w:type="dxa" w:w="1128"/>
            <w:shd w:val="clear" w:color="auto" w:fill="F7F9FC"/>
          </w:tcPr>
          <w:p>
            <w:pPr>
              <w:jc w:val="center"/>
            </w:pPr>
            <w:r>
              <w:rPr>
                <w:rFonts w:ascii="Calibri" w:hAnsi="Calibri"/>
                <w:b w:val="0"/>
                <w:i w:val="0"/>
                <w:color w:val="1E2837"/>
                <w:sz w:val="17"/>
              </w:rPr>
              <w:t>Escalated Hold</w:t>
            </w:r>
          </w:p>
        </w:tc>
      </w:tr>
      <w:tr>
        <w:tc>
          <w:tcPr>
            <w:tcW w:type="dxa" w:w="1128"/>
            <w:shd w:val="clear" w:color="auto" w:fill="FFFFFF"/>
          </w:tcPr>
          <w:p>
            <w:pPr>
              <w:jc w:val="center"/>
            </w:pPr>
            <w:r>
              <w:rPr>
                <w:rFonts w:ascii="Calibri" w:hAnsi="Calibri"/>
                <w:b w:val="0"/>
                <w:i w:val="0"/>
                <w:color w:val="1E2837"/>
                <w:sz w:val="17"/>
              </w:rPr>
              <w:t>Case 4</w:t>
            </w:r>
          </w:p>
        </w:tc>
        <w:tc>
          <w:tcPr>
            <w:tcW w:type="dxa" w:w="1128"/>
            <w:shd w:val="clear" w:color="auto" w:fill="FFFFFF"/>
          </w:tcPr>
          <w:p>
            <w:pPr>
              <w:jc w:val="center"/>
            </w:pPr>
            <w:r>
              <w:rPr>
                <w:rFonts w:ascii="Calibri" w:hAnsi="Calibri"/>
                <w:b w:val="0"/>
                <w:i w:val="0"/>
                <w:color w:val="1E2837"/>
                <w:sz w:val="17"/>
              </w:rPr>
              <w:t>Nocturnal Ambiguity</w:t>
            </w:r>
          </w:p>
        </w:tc>
        <w:tc>
          <w:tcPr>
            <w:tcW w:type="dxa" w:w="1128"/>
            <w:shd w:val="clear" w:color="auto" w:fill="FFFFFF"/>
          </w:tcPr>
          <w:p>
            <w:pPr>
              <w:jc w:val="center"/>
            </w:pPr>
            <w:r>
              <w:rPr>
                <w:rFonts w:ascii="Calibri" w:hAnsi="Calibri"/>
                <w:b w:val="0"/>
                <w:i w:val="0"/>
                <w:color w:val="1E2837"/>
                <w:sz w:val="17"/>
              </w:rPr>
              <w:t>TRANSFER</w:t>
            </w:r>
          </w:p>
        </w:tc>
        <w:tc>
          <w:tcPr>
            <w:tcW w:type="dxa" w:w="1128"/>
            <w:shd w:val="clear" w:color="auto" w:fill="FFFFFF"/>
          </w:tcPr>
          <w:p>
            <w:pPr>
              <w:jc w:val="center"/>
            </w:pPr>
            <w:r>
              <w:rPr>
                <w:rFonts w:ascii="Calibri" w:hAnsi="Calibri"/>
                <w:b w:val="0"/>
                <w:i w:val="0"/>
                <w:color w:val="1E2837"/>
                <w:sz w:val="17"/>
              </w:rPr>
              <w:t>₹5,98,235</w:t>
            </w:r>
          </w:p>
        </w:tc>
        <w:tc>
          <w:tcPr>
            <w:tcW w:type="dxa" w:w="1128"/>
            <w:shd w:val="clear" w:color="auto" w:fill="FFFFFF"/>
          </w:tcPr>
          <w:p>
            <w:pPr>
              <w:jc w:val="center"/>
            </w:pPr>
            <w:r>
              <w:rPr>
                <w:rFonts w:ascii="Calibri" w:hAnsi="Calibri"/>
                <w:b w:val="0"/>
                <w:i w:val="0"/>
                <w:color w:val="1E2837"/>
                <w:sz w:val="17"/>
              </w:rPr>
              <w:t>₹0 → ₹0</w:t>
            </w:r>
          </w:p>
        </w:tc>
        <w:tc>
          <w:tcPr>
            <w:tcW w:type="dxa" w:w="1128"/>
            <w:shd w:val="clear" w:color="auto" w:fill="FFFFFF"/>
          </w:tcPr>
          <w:p>
            <w:pPr>
              <w:jc w:val="center"/>
            </w:pPr>
            <w:r>
              <w:rPr>
                <w:rFonts w:ascii="Calibri" w:hAnsi="Calibri"/>
                <w:b w:val="0"/>
                <w:i w:val="0"/>
                <w:color w:val="1E2837"/>
                <w:sz w:val="17"/>
              </w:rPr>
              <w:t>₹10,86,471</w:t>
            </w:r>
          </w:p>
        </w:tc>
        <w:tc>
          <w:tcPr>
            <w:tcW w:type="dxa" w:w="1128"/>
            <w:shd w:val="clear" w:color="auto" w:fill="FFFFFF"/>
          </w:tcPr>
          <w:p>
            <w:pPr>
              <w:jc w:val="center"/>
            </w:pPr>
            <w:r>
              <w:rPr>
                <w:rFonts w:ascii="Calibri" w:hAnsi="Calibri"/>
                <w:b w:val="0"/>
                <w:i w:val="0"/>
                <w:color w:val="1E2837"/>
                <w:sz w:val="17"/>
              </w:rPr>
              <w:t>44.6%</w:t>
            </w:r>
          </w:p>
        </w:tc>
        <w:tc>
          <w:tcPr>
            <w:tcW w:type="dxa" w:w="1128"/>
            <w:shd w:val="clear" w:color="auto" w:fill="FFFFFF"/>
          </w:tcPr>
          <w:p>
            <w:pPr>
              <w:jc w:val="center"/>
            </w:pPr>
            <w:r>
              <w:rPr>
                <w:rFonts w:ascii="Calibri" w:hAnsi="Calibri"/>
                <w:b w:val="0"/>
                <w:i w:val="0"/>
                <w:color w:val="1E2837"/>
                <w:sz w:val="17"/>
              </w:rPr>
              <w:t>Step-Up 2FA</w:t>
            </w:r>
          </w:p>
        </w:tc>
      </w:tr>
      <w:tr>
        <w:tc>
          <w:tcPr>
            <w:tcW w:type="dxa" w:w="1128"/>
            <w:shd w:val="clear" w:color="auto" w:fill="F7F9FC"/>
          </w:tcPr>
          <w:p>
            <w:pPr>
              <w:jc w:val="center"/>
            </w:pPr>
            <w:r>
              <w:rPr>
                <w:rFonts w:ascii="Calibri" w:hAnsi="Calibri"/>
                <w:b w:val="0"/>
                <w:i w:val="0"/>
                <w:color w:val="1E2837"/>
                <w:sz w:val="17"/>
              </w:rPr>
              <w:t>Case 5</w:t>
            </w:r>
          </w:p>
        </w:tc>
        <w:tc>
          <w:tcPr>
            <w:tcW w:type="dxa" w:w="1128"/>
            <w:shd w:val="clear" w:color="auto" w:fill="F7F9FC"/>
          </w:tcPr>
          <w:p>
            <w:pPr>
              <w:jc w:val="center"/>
            </w:pPr>
            <w:r>
              <w:rPr>
                <w:rFonts w:ascii="Calibri" w:hAnsi="Calibri"/>
                <w:b w:val="0"/>
                <w:i w:val="0"/>
                <w:color w:val="1E2837"/>
                <w:sz w:val="17"/>
              </w:rPr>
              <w:t>Solvent Escrow Settlement</w:t>
            </w:r>
          </w:p>
        </w:tc>
        <w:tc>
          <w:tcPr>
            <w:tcW w:type="dxa" w:w="1128"/>
            <w:shd w:val="clear" w:color="auto" w:fill="F7F9FC"/>
          </w:tcPr>
          <w:p>
            <w:pPr>
              <w:jc w:val="center"/>
            </w:pPr>
            <w:r>
              <w:rPr>
                <w:rFonts w:ascii="Calibri" w:hAnsi="Calibri"/>
                <w:b w:val="0"/>
                <w:i w:val="0"/>
                <w:color w:val="1E2837"/>
                <w:sz w:val="17"/>
              </w:rPr>
              <w:t>TRANSFER</w:t>
            </w:r>
          </w:p>
        </w:tc>
        <w:tc>
          <w:tcPr>
            <w:tcW w:type="dxa" w:w="1128"/>
            <w:shd w:val="clear" w:color="auto" w:fill="F7F9FC"/>
          </w:tcPr>
          <w:p>
            <w:pPr>
              <w:jc w:val="center"/>
            </w:pPr>
            <w:r>
              <w:rPr>
                <w:rFonts w:ascii="Calibri" w:hAnsi="Calibri"/>
                <w:b w:val="0"/>
                <w:i w:val="0"/>
                <w:color w:val="1E2837"/>
                <w:sz w:val="17"/>
              </w:rPr>
              <w:t>₹5,00,000</w:t>
            </w:r>
          </w:p>
        </w:tc>
        <w:tc>
          <w:tcPr>
            <w:tcW w:type="dxa" w:w="1128"/>
            <w:shd w:val="clear" w:color="auto" w:fill="F7F9FC"/>
          </w:tcPr>
          <w:p>
            <w:pPr>
              <w:jc w:val="center"/>
            </w:pPr>
            <w:r>
              <w:rPr>
                <w:rFonts w:ascii="Calibri" w:hAnsi="Calibri"/>
                <w:b w:val="0"/>
                <w:i w:val="0"/>
                <w:color w:val="1E2837"/>
                <w:sz w:val="17"/>
              </w:rPr>
              <w:t>₹0 → ₹0</w:t>
            </w:r>
          </w:p>
        </w:tc>
        <w:tc>
          <w:tcPr>
            <w:tcW w:type="dxa" w:w="1128"/>
            <w:shd w:val="clear" w:color="auto" w:fill="F7F9FC"/>
          </w:tcPr>
          <w:p>
            <w:pPr>
              <w:jc w:val="center"/>
            </w:pPr>
            <w:r>
              <w:rPr>
                <w:rFonts w:ascii="Calibri" w:hAnsi="Calibri"/>
                <w:b w:val="0"/>
                <w:i w:val="0"/>
                <w:color w:val="1E2837"/>
                <w:sz w:val="17"/>
              </w:rPr>
              <w:t>₹10,00,000</w:t>
            </w:r>
          </w:p>
        </w:tc>
        <w:tc>
          <w:tcPr>
            <w:tcW w:type="dxa" w:w="1128"/>
            <w:shd w:val="clear" w:color="auto" w:fill="F7F9FC"/>
          </w:tcPr>
          <w:p>
            <w:pPr>
              <w:jc w:val="center"/>
            </w:pPr>
            <w:r>
              <w:rPr>
                <w:rFonts w:ascii="Calibri" w:hAnsi="Calibri"/>
                <w:b w:val="0"/>
                <w:i w:val="0"/>
                <w:color w:val="1E2837"/>
                <w:sz w:val="17"/>
              </w:rPr>
              <w:t>15.6%</w:t>
            </w:r>
          </w:p>
        </w:tc>
        <w:tc>
          <w:tcPr>
            <w:tcW w:type="dxa" w:w="1128"/>
            <w:shd w:val="clear" w:color="auto" w:fill="F7F9FC"/>
          </w:tcPr>
          <w:p>
            <w:pPr>
              <w:jc w:val="center"/>
            </w:pPr>
            <w:r>
              <w:rPr>
                <w:rFonts w:ascii="Calibri" w:hAnsi="Calibri"/>
                <w:b w:val="0"/>
                <w:i w:val="0"/>
                <w:color w:val="1E2837"/>
                <w:sz w:val="17"/>
              </w:rPr>
              <w:t>Auto-Approve</w:t>
            </w:r>
          </w:p>
        </w:tc>
      </w:tr>
      <w:tr>
        <w:tc>
          <w:tcPr>
            <w:tcW w:type="dxa" w:w="1128"/>
            <w:shd w:val="clear" w:color="auto" w:fill="FFFFFF"/>
          </w:tcPr>
          <w:p>
            <w:pPr>
              <w:jc w:val="center"/>
            </w:pPr>
            <w:r>
              <w:rPr>
                <w:rFonts w:ascii="Calibri" w:hAnsi="Calibri"/>
                <w:b w:val="0"/>
                <w:i w:val="0"/>
                <w:color w:val="1E2837"/>
                <w:sz w:val="17"/>
              </w:rPr>
              <w:t>Case 6</w:t>
            </w:r>
          </w:p>
        </w:tc>
        <w:tc>
          <w:tcPr>
            <w:tcW w:type="dxa" w:w="1128"/>
            <w:shd w:val="clear" w:color="auto" w:fill="FFFFFF"/>
          </w:tcPr>
          <w:p>
            <w:pPr>
              <w:jc w:val="center"/>
            </w:pPr>
            <w:r>
              <w:rPr>
                <w:rFonts w:ascii="Calibri" w:hAnsi="Calibri"/>
                <w:b w:val="0"/>
                <w:i w:val="0"/>
                <w:color w:val="1E2837"/>
                <w:sz w:val="17"/>
              </w:rPr>
              <w:t>Everyday Safe P2P</w:t>
            </w:r>
          </w:p>
        </w:tc>
        <w:tc>
          <w:tcPr>
            <w:tcW w:type="dxa" w:w="1128"/>
            <w:shd w:val="clear" w:color="auto" w:fill="FFFFFF"/>
          </w:tcPr>
          <w:p>
            <w:pPr>
              <w:jc w:val="center"/>
            </w:pPr>
            <w:r>
              <w:rPr>
                <w:rFonts w:ascii="Calibri" w:hAnsi="Calibri"/>
                <w:b w:val="0"/>
                <w:i w:val="0"/>
                <w:color w:val="1E2837"/>
                <w:sz w:val="17"/>
              </w:rPr>
              <w:t>TRANSFER</w:t>
            </w:r>
          </w:p>
        </w:tc>
        <w:tc>
          <w:tcPr>
            <w:tcW w:type="dxa" w:w="1128"/>
            <w:shd w:val="clear" w:color="auto" w:fill="FFFFFF"/>
          </w:tcPr>
          <w:p>
            <w:pPr>
              <w:jc w:val="center"/>
            </w:pPr>
            <w:r>
              <w:rPr>
                <w:rFonts w:ascii="Calibri" w:hAnsi="Calibri"/>
                <w:b w:val="0"/>
                <w:i w:val="0"/>
                <w:color w:val="1E2837"/>
                <w:sz w:val="17"/>
              </w:rPr>
              <w:t>₹75,000</w:t>
            </w:r>
          </w:p>
        </w:tc>
        <w:tc>
          <w:tcPr>
            <w:tcW w:type="dxa" w:w="1128"/>
            <w:shd w:val="clear" w:color="auto" w:fill="FFFFFF"/>
          </w:tcPr>
          <w:p>
            <w:pPr>
              <w:jc w:val="center"/>
            </w:pPr>
            <w:r>
              <w:rPr>
                <w:rFonts w:ascii="Calibri" w:hAnsi="Calibri"/>
                <w:b w:val="0"/>
                <w:i w:val="0"/>
                <w:color w:val="1E2837"/>
                <w:sz w:val="17"/>
              </w:rPr>
              <w:t>₹80k → ₹5k</w:t>
            </w:r>
          </w:p>
        </w:tc>
        <w:tc>
          <w:tcPr>
            <w:tcW w:type="dxa" w:w="1128"/>
            <w:shd w:val="clear" w:color="auto" w:fill="FFFFFF"/>
          </w:tcPr>
          <w:p>
            <w:pPr>
              <w:jc w:val="center"/>
            </w:pPr>
            <w:r>
              <w:rPr>
                <w:rFonts w:ascii="Calibri" w:hAnsi="Calibri"/>
                <w:b w:val="0"/>
                <w:i w:val="0"/>
                <w:color w:val="1E2837"/>
                <w:sz w:val="17"/>
              </w:rPr>
              <w:t>₹20,000</w:t>
            </w:r>
          </w:p>
        </w:tc>
        <w:tc>
          <w:tcPr>
            <w:tcW w:type="dxa" w:w="1128"/>
            <w:shd w:val="clear" w:color="auto" w:fill="FFFFFF"/>
          </w:tcPr>
          <w:p>
            <w:pPr>
              <w:jc w:val="center"/>
            </w:pPr>
            <w:r>
              <w:rPr>
                <w:rFonts w:ascii="Calibri" w:hAnsi="Calibri"/>
                <w:b w:val="0"/>
                <w:i w:val="0"/>
                <w:color w:val="1E2837"/>
                <w:sz w:val="17"/>
              </w:rPr>
              <w:t>0.02%</w:t>
            </w:r>
          </w:p>
        </w:tc>
        <w:tc>
          <w:tcPr>
            <w:tcW w:type="dxa" w:w="1128"/>
            <w:shd w:val="clear" w:color="auto" w:fill="FFFFFF"/>
          </w:tcPr>
          <w:p>
            <w:pPr>
              <w:jc w:val="center"/>
            </w:pPr>
            <w:r>
              <w:rPr>
                <w:rFonts w:ascii="Calibri" w:hAnsi="Calibri"/>
                <w:b w:val="0"/>
                <w:i w:val="0"/>
                <w:color w:val="1E2837"/>
                <w:sz w:val="17"/>
              </w:rPr>
              <w:t>Instant Clearance</w:t>
            </w:r>
          </w:p>
        </w:tc>
      </w:tr>
      <w:tr>
        <w:tc>
          <w:tcPr>
            <w:tcW w:type="dxa" w:w="1128"/>
            <w:shd w:val="clear" w:color="auto" w:fill="F7F9FC"/>
          </w:tcPr>
          <w:p>
            <w:pPr>
              <w:jc w:val="center"/>
            </w:pPr>
            <w:r>
              <w:rPr>
                <w:rFonts w:ascii="Calibri" w:hAnsi="Calibri"/>
                <w:b w:val="0"/>
                <w:i w:val="0"/>
                <w:color w:val="1E2837"/>
                <w:sz w:val="17"/>
              </w:rPr>
              <w:t>Case 7</w:t>
            </w:r>
          </w:p>
        </w:tc>
        <w:tc>
          <w:tcPr>
            <w:tcW w:type="dxa" w:w="1128"/>
            <w:shd w:val="clear" w:color="auto" w:fill="F7F9FC"/>
          </w:tcPr>
          <w:p>
            <w:pPr>
              <w:jc w:val="center"/>
            </w:pPr>
            <w:r>
              <w:rPr>
                <w:rFonts w:ascii="Calibri" w:hAnsi="Calibri"/>
                <w:b w:val="0"/>
                <w:i w:val="0"/>
                <w:color w:val="1E2837"/>
                <w:sz w:val="17"/>
              </w:rPr>
              <w:t>Verified Merchant QR Payment</w:t>
            </w:r>
          </w:p>
        </w:tc>
        <w:tc>
          <w:tcPr>
            <w:tcW w:type="dxa" w:w="1128"/>
            <w:shd w:val="clear" w:color="auto" w:fill="F7F9FC"/>
          </w:tcPr>
          <w:p>
            <w:pPr>
              <w:jc w:val="center"/>
            </w:pPr>
            <w:r>
              <w:rPr>
                <w:rFonts w:ascii="Calibri" w:hAnsi="Calibri"/>
                <w:b w:val="0"/>
                <w:i w:val="0"/>
                <w:color w:val="1E2837"/>
                <w:sz w:val="17"/>
              </w:rPr>
              <w:t>PAYMENT</w:t>
            </w:r>
          </w:p>
        </w:tc>
        <w:tc>
          <w:tcPr>
            <w:tcW w:type="dxa" w:w="1128"/>
            <w:shd w:val="clear" w:color="auto" w:fill="F7F9FC"/>
          </w:tcPr>
          <w:p>
            <w:pPr>
              <w:jc w:val="center"/>
            </w:pPr>
            <w:r>
              <w:rPr>
                <w:rFonts w:ascii="Calibri" w:hAnsi="Calibri"/>
                <w:b w:val="0"/>
                <w:i w:val="0"/>
                <w:color w:val="1E2837"/>
                <w:sz w:val="17"/>
              </w:rPr>
              <w:t>₹8,450</w:t>
            </w:r>
          </w:p>
        </w:tc>
        <w:tc>
          <w:tcPr>
            <w:tcW w:type="dxa" w:w="1128"/>
            <w:shd w:val="clear" w:color="auto" w:fill="F7F9FC"/>
          </w:tcPr>
          <w:p>
            <w:pPr>
              <w:jc w:val="center"/>
            </w:pPr>
            <w:r>
              <w:rPr>
                <w:rFonts w:ascii="Calibri" w:hAnsi="Calibri"/>
                <w:b w:val="0"/>
                <w:i w:val="0"/>
                <w:color w:val="1E2837"/>
                <w:sz w:val="17"/>
              </w:rPr>
              <w:t>₹12k → ₹3.5k</w:t>
            </w:r>
          </w:p>
        </w:tc>
        <w:tc>
          <w:tcPr>
            <w:tcW w:type="dxa" w:w="1128"/>
            <w:shd w:val="clear" w:color="auto" w:fill="F7F9FC"/>
          </w:tcPr>
          <w:p>
            <w:pPr>
              <w:jc w:val="center"/>
            </w:pPr>
            <w:r>
              <w:rPr>
                <w:rFonts w:ascii="Calibri" w:hAnsi="Calibri"/>
                <w:b w:val="0"/>
                <w:i w:val="0"/>
                <w:color w:val="1E2837"/>
                <w:sz w:val="17"/>
              </w:rPr>
              <w:t>₹0</w:t>
            </w:r>
          </w:p>
        </w:tc>
        <w:tc>
          <w:tcPr>
            <w:tcW w:type="dxa" w:w="1128"/>
            <w:shd w:val="clear" w:color="auto" w:fill="F7F9FC"/>
          </w:tcPr>
          <w:p>
            <w:pPr>
              <w:jc w:val="center"/>
            </w:pPr>
            <w:r>
              <w:rPr>
                <w:rFonts w:ascii="Calibri" w:hAnsi="Calibri"/>
                <w:b w:val="0"/>
                <w:i w:val="0"/>
                <w:color w:val="1E2837"/>
                <w:sz w:val="17"/>
              </w:rPr>
              <w:t>0.02%</w:t>
            </w:r>
          </w:p>
        </w:tc>
        <w:tc>
          <w:tcPr>
            <w:tcW w:type="dxa" w:w="1128"/>
            <w:shd w:val="clear" w:color="auto" w:fill="F7F9FC"/>
          </w:tcPr>
          <w:p>
            <w:pPr>
              <w:jc w:val="center"/>
            </w:pPr>
            <w:r>
              <w:rPr>
                <w:rFonts w:ascii="Calibri" w:hAnsi="Calibri"/>
                <w:b w:val="0"/>
                <w:i w:val="0"/>
                <w:color w:val="1E2837"/>
                <w:sz w:val="17"/>
              </w:rPr>
              <w:t>Instant Clearance</w:t>
            </w:r>
          </w:p>
        </w:tc>
      </w:tr>
    </w:tbl>
    <w:p/>
    <w:p>
      <w:pPr>
        <w:pStyle w:val="Heading1"/>
        <w:spacing w:before="320" w:after="120"/>
        <w:jc w:val="left"/>
      </w:pPr>
      <w:r>
        <w:rPr>
          <w:rFonts w:ascii="Calibri" w:hAnsi="Calibri"/>
          <w:b/>
          <w:i w:val="0"/>
          <w:color w:val="07090D"/>
          <w:sz w:val="32"/>
        </w:rPr>
        <w:t>Model Performance Metrics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E2837"/>
          </w:tcPr>
          <w:p>
            <w:pPr>
              <w:jc w:val="left"/>
            </w:pPr>
            <w:r>
              <w:rPr>
                <w:rFonts w:ascii="Calibri" w:hAnsi="Calibri"/>
                <w:b/>
                <w:i w:val="0"/>
                <w:color w:val="FFFFFF"/>
                <w:sz w:val="20"/>
              </w:rPr>
              <w:t>Metric</w:t>
            </w:r>
          </w:p>
        </w:tc>
        <w:tc>
          <w:tcPr>
            <w:tcW w:type="dxa" w:w="3009"/>
            <w:shd w:val="clear" w:color="auto" w:fill="1E2837"/>
          </w:tcPr>
          <w:p>
            <w:pPr>
              <w:jc w:val="left"/>
            </w:pPr>
            <w:r>
              <w:rPr>
                <w:rFonts w:ascii="Calibri" w:hAnsi="Calibri"/>
                <w:b/>
                <w:i w:val="0"/>
                <w:color w:val="FFFFFF"/>
                <w:sz w:val="20"/>
              </w:rPr>
              <w:t>Value</w:t>
            </w:r>
          </w:p>
        </w:tc>
        <w:tc>
          <w:tcPr>
            <w:tcW w:type="dxa" w:w="3009"/>
            <w:shd w:val="clear" w:color="auto" w:fill="1E2837"/>
          </w:tcPr>
          <w:p>
            <w:pPr>
              <w:jc w:val="left"/>
            </w:pPr>
            <w:r>
              <w:rPr>
                <w:rFonts w:ascii="Calibri" w:hAnsi="Calibri"/>
                <w:b/>
                <w:i w:val="0"/>
                <w:color w:val="FFFFFF"/>
                <w:sz w:val="20"/>
              </w:rPr>
              <w:t>Interpretation</w:t>
            </w:r>
          </w:p>
        </w:tc>
      </w:tr>
      <w:tr>
        <w:tc>
          <w:tcPr>
            <w:tcW w:type="dxa" w:w="3009"/>
            <w:shd w:val="clear" w:color="auto" w:fill="F7F9FC"/>
          </w:tcPr>
          <w:p>
            <w:pPr>
              <w:jc w:val="left"/>
            </w:pPr>
            <w:r>
              <w:rPr>
                <w:rFonts w:ascii="Calibri" w:hAnsi="Calibri"/>
                <w:b/>
                <w:i w:val="0"/>
                <w:color w:val="1E2837"/>
                <w:sz w:val="19"/>
              </w:rPr>
              <w:t>PR-AUC (Precision-Recall Area Under Curve)</w:t>
            </w:r>
          </w:p>
        </w:tc>
        <w:tc>
          <w:tcPr>
            <w:tcW w:type="dxa" w:w="3009"/>
            <w:shd w:val="clear" w:color="auto" w:fill="F7F9FC"/>
          </w:tcPr>
          <w:p>
            <w:pPr>
              <w:jc w:val="center"/>
            </w:pPr>
            <w:r>
              <w:rPr>
                <w:rFonts w:ascii="Calibri" w:hAnsi="Calibri"/>
                <w:b/>
                <w:i w:val="0"/>
                <w:color w:val="6B8CFF"/>
                <w:sz w:val="20"/>
              </w:rPr>
              <w:t>0.9981</w:t>
            </w:r>
          </w:p>
        </w:tc>
        <w:tc>
          <w:tcPr>
            <w:tcW w:type="dxa" w:w="3009"/>
            <w:shd w:val="clear" w:color="auto" w:fill="F7F9FC"/>
          </w:tcPr>
          <w:p>
            <w:pPr>
              <w:jc w:val="left"/>
            </w:pPr>
            <w:r>
              <w:rPr>
                <w:rFonts w:ascii="Calibri" w:hAnsi="Calibri"/>
                <w:b w:val="0"/>
                <w:i w:val="0"/>
                <w:color w:val="1E2837"/>
                <w:sz w:val="19"/>
              </w:rPr>
              <w:t>Near-perfect detection on the imbalanced minority class.</w:t>
            </w:r>
          </w:p>
        </w:tc>
      </w:tr>
      <w:tr>
        <w:tc>
          <w:tcPr>
            <w:tcW w:type="dxa" w:w="3009"/>
            <w:shd w:val="clear" w:color="auto" w:fill="FFFFFF"/>
          </w:tcPr>
          <w:p>
            <w:pPr>
              <w:jc w:val="left"/>
            </w:pPr>
            <w:r>
              <w:rPr>
                <w:rFonts w:ascii="Calibri" w:hAnsi="Calibri"/>
                <w:b/>
                <w:i w:val="0"/>
                <w:color w:val="1E2837"/>
                <w:sz w:val="19"/>
              </w:rPr>
              <w:t>ROC-AUC</w:t>
            </w:r>
          </w:p>
        </w:tc>
        <w:tc>
          <w:tcPr>
            <w:tcW w:type="dxa" w:w="3009"/>
            <w:shd w:val="clear" w:color="auto" w:fill="FFFFFF"/>
          </w:tcPr>
          <w:p>
            <w:pPr>
              <w:jc w:val="center"/>
            </w:pPr>
            <w:r>
              <w:rPr>
                <w:rFonts w:ascii="Calibri" w:hAnsi="Calibri"/>
                <w:b/>
                <w:i w:val="0"/>
                <w:color w:val="6B8CFF"/>
                <w:sz w:val="20"/>
              </w:rPr>
              <w:t>0.9999</w:t>
            </w:r>
          </w:p>
        </w:tc>
        <w:tc>
          <w:tcPr>
            <w:tcW w:type="dxa" w:w="3009"/>
            <w:shd w:val="clear" w:color="auto" w:fill="FFFFFF"/>
          </w:tcPr>
          <w:p>
            <w:pPr>
              <w:jc w:val="left"/>
            </w:pPr>
            <w:r>
              <w:rPr>
                <w:rFonts w:ascii="Calibri" w:hAnsi="Calibri"/>
                <w:b w:val="0"/>
                <w:i w:val="0"/>
                <w:color w:val="1E2837"/>
                <w:sz w:val="19"/>
              </w:rPr>
              <w:t>Exceptional separation between fraud and legitimate classes.</w:t>
            </w:r>
          </w:p>
        </w:tc>
      </w:tr>
      <w:tr>
        <w:tc>
          <w:tcPr>
            <w:tcW w:type="dxa" w:w="3009"/>
            <w:shd w:val="clear" w:color="auto" w:fill="F7F9FC"/>
          </w:tcPr>
          <w:p>
            <w:pPr>
              <w:jc w:val="left"/>
            </w:pPr>
            <w:r>
              <w:rPr>
                <w:rFonts w:ascii="Calibri" w:hAnsi="Calibri"/>
                <w:b/>
                <w:i w:val="0"/>
                <w:color w:val="1E2837"/>
                <w:sz w:val="19"/>
              </w:rPr>
              <w:t>Brier Score</w:t>
            </w:r>
          </w:p>
        </w:tc>
        <w:tc>
          <w:tcPr>
            <w:tcW w:type="dxa" w:w="3009"/>
            <w:shd w:val="clear" w:color="auto" w:fill="F7F9FC"/>
          </w:tcPr>
          <w:p>
            <w:pPr>
              <w:jc w:val="center"/>
            </w:pPr>
            <w:r>
              <w:rPr>
                <w:rFonts w:ascii="Calibri" w:hAnsi="Calibri"/>
                <w:b/>
                <w:i w:val="0"/>
                <w:color w:val="6B8CFF"/>
                <w:sz w:val="20"/>
              </w:rPr>
              <w:t>0.0019</w:t>
            </w:r>
          </w:p>
        </w:tc>
        <w:tc>
          <w:tcPr>
            <w:tcW w:type="dxa" w:w="3009"/>
            <w:shd w:val="clear" w:color="auto" w:fill="F7F9FC"/>
          </w:tcPr>
          <w:p>
            <w:pPr>
              <w:jc w:val="left"/>
            </w:pPr>
            <w:r>
              <w:rPr>
                <w:rFonts w:ascii="Calibri" w:hAnsi="Calibri"/>
                <w:b w:val="0"/>
                <w:i w:val="0"/>
                <w:color w:val="1E2837"/>
                <w:sz w:val="19"/>
              </w:rPr>
              <w:t>Outstanding probability calibration quality.</w:t>
            </w:r>
          </w:p>
        </w:tc>
      </w:tr>
      <w:tr>
        <w:tc>
          <w:tcPr>
            <w:tcW w:type="dxa" w:w="3009"/>
            <w:shd w:val="clear" w:color="auto" w:fill="FFFFFF"/>
          </w:tcPr>
          <w:p>
            <w:pPr>
              <w:jc w:val="left"/>
            </w:pPr>
            <w:r>
              <w:rPr>
                <w:rFonts w:ascii="Calibri" w:hAnsi="Calibri"/>
                <w:b/>
                <w:i w:val="0"/>
                <w:color w:val="1E2837"/>
                <w:sz w:val="19"/>
              </w:rPr>
              <w:t>Inference Latency (XGBoost)</w:t>
            </w:r>
          </w:p>
        </w:tc>
        <w:tc>
          <w:tcPr>
            <w:tcW w:type="dxa" w:w="3009"/>
            <w:shd w:val="clear" w:color="auto" w:fill="FFFFFF"/>
          </w:tcPr>
          <w:p>
            <w:pPr>
              <w:jc w:val="center"/>
            </w:pPr>
            <w:r>
              <w:rPr>
                <w:rFonts w:ascii="Calibri" w:hAnsi="Calibri"/>
                <w:b/>
                <w:i w:val="0"/>
                <w:color w:val="6B8CFF"/>
                <w:sz w:val="20"/>
              </w:rPr>
              <w:t>0.012 ms</w:t>
            </w:r>
          </w:p>
        </w:tc>
        <w:tc>
          <w:tcPr>
            <w:tcW w:type="dxa" w:w="3009"/>
            <w:shd w:val="clear" w:color="auto" w:fill="FFFFFF"/>
          </w:tcPr>
          <w:p>
            <w:pPr>
              <w:jc w:val="left"/>
            </w:pPr>
            <w:r>
              <w:rPr>
                <w:rFonts w:ascii="Calibri" w:hAnsi="Calibri"/>
                <w:b w:val="0"/>
                <w:i w:val="0"/>
                <w:color w:val="1E2837"/>
                <w:sz w:val="19"/>
              </w:rPr>
              <w:t>Per-transaction tree traversal time.</w:t>
            </w:r>
          </w:p>
        </w:tc>
      </w:tr>
      <w:tr>
        <w:tc>
          <w:tcPr>
            <w:tcW w:type="dxa" w:w="3009"/>
            <w:shd w:val="clear" w:color="auto" w:fill="F7F9FC"/>
          </w:tcPr>
          <w:p>
            <w:pPr>
              <w:jc w:val="left"/>
            </w:pPr>
            <w:r>
              <w:rPr>
                <w:rFonts w:ascii="Calibri" w:hAnsi="Calibri"/>
                <w:b/>
                <w:i w:val="0"/>
                <w:color w:val="1E2837"/>
                <w:sz w:val="19"/>
              </w:rPr>
              <w:t>TreeSHAP Attribution Time</w:t>
            </w:r>
          </w:p>
        </w:tc>
        <w:tc>
          <w:tcPr>
            <w:tcW w:type="dxa" w:w="3009"/>
            <w:shd w:val="clear" w:color="auto" w:fill="F7F9FC"/>
          </w:tcPr>
          <w:p>
            <w:pPr>
              <w:jc w:val="center"/>
            </w:pPr>
            <w:r>
              <w:rPr>
                <w:rFonts w:ascii="Calibri" w:hAnsi="Calibri"/>
                <w:b/>
                <w:i w:val="0"/>
                <w:color w:val="6B8CFF"/>
                <w:sz w:val="20"/>
              </w:rPr>
              <w:t>0.004 ms</w:t>
            </w:r>
          </w:p>
        </w:tc>
        <w:tc>
          <w:tcPr>
            <w:tcW w:type="dxa" w:w="3009"/>
            <w:shd w:val="clear" w:color="auto" w:fill="F7F9FC"/>
          </w:tcPr>
          <w:p>
            <w:pPr>
              <w:jc w:val="left"/>
            </w:pPr>
            <w:r>
              <w:rPr>
                <w:rFonts w:ascii="Calibri" w:hAnsi="Calibri"/>
                <w:b w:val="0"/>
                <w:i w:val="0"/>
                <w:color w:val="1E2837"/>
                <w:sz w:val="19"/>
              </w:rPr>
              <w:t>Polynomial-time exact attribution.</w:t>
            </w:r>
          </w:p>
        </w:tc>
      </w:tr>
      <w:tr>
        <w:tc>
          <w:tcPr>
            <w:tcW w:type="dxa" w:w="3009"/>
            <w:shd w:val="clear" w:color="auto" w:fill="FFFFFF"/>
          </w:tcPr>
          <w:p>
            <w:pPr>
              <w:jc w:val="left"/>
            </w:pPr>
            <w:r>
              <w:rPr>
                <w:rFonts w:ascii="Calibri" w:hAnsi="Calibri"/>
                <w:b/>
                <w:i w:val="0"/>
                <w:color w:val="1E2837"/>
                <w:sz w:val="19"/>
              </w:rPr>
              <w:t>Total End-to-End Pipeline</w:t>
            </w:r>
          </w:p>
        </w:tc>
        <w:tc>
          <w:tcPr>
            <w:tcW w:type="dxa" w:w="3009"/>
            <w:shd w:val="clear" w:color="auto" w:fill="FFFFFF"/>
          </w:tcPr>
          <w:p>
            <w:pPr>
              <w:jc w:val="center"/>
            </w:pPr>
            <w:r>
              <w:rPr>
                <w:rFonts w:ascii="Calibri" w:hAnsi="Calibri"/>
                <w:b/>
                <w:i w:val="0"/>
                <w:color w:val="6B8CFF"/>
                <w:sz w:val="20"/>
              </w:rPr>
              <w:t>0.027 ms</w:t>
            </w:r>
          </w:p>
        </w:tc>
        <w:tc>
          <w:tcPr>
            <w:tcW w:type="dxa" w:w="3009"/>
            <w:shd w:val="clear" w:color="auto" w:fill="FFFFFF"/>
          </w:tcPr>
          <w:p>
            <w:pPr>
              <w:jc w:val="left"/>
            </w:pPr>
            <w:r>
              <w:rPr>
                <w:rFonts w:ascii="Calibri" w:hAnsi="Calibri"/>
                <w:b w:val="0"/>
                <w:i w:val="0"/>
                <w:color w:val="1E2837"/>
                <w:sz w:val="19"/>
              </w:rPr>
              <w:t>Feature engineering + inference + explanation.</w:t>
            </w:r>
          </w:p>
        </w:tc>
      </w:tr>
      <w:tr>
        <w:tc>
          <w:tcPr>
            <w:tcW w:type="dxa" w:w="3009"/>
            <w:shd w:val="clear" w:color="auto" w:fill="F7F9FC"/>
          </w:tcPr>
          <w:p>
            <w:pPr>
              <w:jc w:val="left"/>
            </w:pPr>
            <w:r>
              <w:rPr>
                <w:rFonts w:ascii="Calibri" w:hAnsi="Calibri"/>
                <w:b/>
                <w:i w:val="0"/>
                <w:color w:val="1E2837"/>
                <w:sz w:val="19"/>
              </w:rPr>
              <w:t>Training Dataset Size</w:t>
            </w:r>
          </w:p>
        </w:tc>
        <w:tc>
          <w:tcPr>
            <w:tcW w:type="dxa" w:w="3009"/>
            <w:shd w:val="clear" w:color="auto" w:fill="F7F9FC"/>
          </w:tcPr>
          <w:p>
            <w:pPr>
              <w:jc w:val="center"/>
            </w:pPr>
            <w:r>
              <w:rPr>
                <w:rFonts w:ascii="Calibri" w:hAnsi="Calibri"/>
                <w:b/>
                <w:i w:val="0"/>
                <w:color w:val="6B8CFF"/>
                <w:sz w:val="20"/>
              </w:rPr>
              <w:t>6,362,620 rows</w:t>
            </w:r>
          </w:p>
        </w:tc>
        <w:tc>
          <w:tcPr>
            <w:tcW w:type="dxa" w:w="3009"/>
            <w:shd w:val="clear" w:color="auto" w:fill="F7F9FC"/>
          </w:tcPr>
          <w:p>
            <w:pPr>
              <w:jc w:val="left"/>
            </w:pPr>
            <w:r>
              <w:rPr>
                <w:rFonts w:ascii="Calibri" w:hAnsi="Calibri"/>
                <w:b w:val="0"/>
                <w:i w:val="0"/>
                <w:color w:val="1E2837"/>
                <w:sz w:val="19"/>
              </w:rPr>
              <w:t>PaySim synthetic financial transactions.</w:t>
            </w:r>
          </w:p>
        </w:tc>
      </w:tr>
      <w:tr>
        <w:tc>
          <w:tcPr>
            <w:tcW w:type="dxa" w:w="3009"/>
            <w:shd w:val="clear" w:color="auto" w:fill="FFFFFF"/>
          </w:tcPr>
          <w:p>
            <w:pPr>
              <w:jc w:val="left"/>
            </w:pPr>
            <w:r>
              <w:rPr>
                <w:rFonts w:ascii="Calibri" w:hAnsi="Calibri"/>
                <w:b/>
                <w:i w:val="0"/>
                <w:color w:val="1E2837"/>
                <w:sz w:val="19"/>
              </w:rPr>
              <w:t>Held-Out Test Set</w:t>
            </w:r>
          </w:p>
        </w:tc>
        <w:tc>
          <w:tcPr>
            <w:tcW w:type="dxa" w:w="3009"/>
            <w:shd w:val="clear" w:color="auto" w:fill="FFFFFF"/>
          </w:tcPr>
          <w:p>
            <w:pPr>
              <w:jc w:val="center"/>
            </w:pPr>
            <w:r>
              <w:rPr>
                <w:rFonts w:ascii="Calibri" w:hAnsi="Calibri"/>
                <w:b/>
                <w:i w:val="0"/>
                <w:color w:val="6B8CFF"/>
                <w:sz w:val="20"/>
              </w:rPr>
              <w:t>41,643 rows</w:t>
            </w:r>
          </w:p>
        </w:tc>
        <w:tc>
          <w:tcPr>
            <w:tcW w:type="dxa" w:w="3009"/>
            <w:shd w:val="clear" w:color="auto" w:fill="FFFFFF"/>
          </w:tcPr>
          <w:p>
            <w:pPr>
              <w:jc w:val="left"/>
            </w:pPr>
            <w:r>
              <w:rPr>
                <w:rFonts w:ascii="Calibri" w:hAnsi="Calibri"/>
                <w:b w:val="0"/>
                <w:i w:val="0"/>
                <w:color w:val="1E2837"/>
                <w:sz w:val="19"/>
              </w:rPr>
              <w:t>No cherry-picking — authentic stratified partition.</w:t>
            </w:r>
          </w:p>
        </w:tc>
      </w:tr>
    </w:tbl>
    <w:p/>
    <w:p>
      <w:pPr>
        <w:pStyle w:val="Heading1"/>
        <w:spacing w:before="320" w:after="120"/>
        <w:jc w:val="left"/>
      </w:pPr>
      <w:r>
        <w:rPr>
          <w:rFonts w:ascii="Calibri" w:hAnsi="Calibri"/>
          <w:b/>
          <w:i w:val="0"/>
          <w:color w:val="07090D"/>
          <w:sz w:val="32"/>
        </w:rPr>
        <w:t>Technology Stack</w:t>
      </w:r>
    </w:p>
    <w:p>
      <w:pPr>
        <w:spacing w:after="80"/>
      </w:pPr>
      <w:r>
        <w:rPr>
          <w:rFonts w:ascii="Calibri" w:hAnsi="Calibri"/>
          <w:b/>
          <w:i w:val="0"/>
          <w:color w:val="6B8CFF"/>
          <w:sz w:val="22"/>
        </w:rPr>
        <w:t xml:space="preserve">Frontend: </w:t>
      </w:r>
      <w:r>
        <w:rPr>
          <w:rFonts w:ascii="Calibri" w:hAnsi="Calibri"/>
          <w:b w:val="0"/>
          <w:i w:val="0"/>
          <w:color w:val="1E2837"/>
          <w:sz w:val="22"/>
        </w:rPr>
        <w:t>Next.js 16, React 19, Tailwind CSS v4, Framer Motion, Lucide Icons</w:t>
      </w:r>
    </w:p>
    <w:p>
      <w:pPr>
        <w:spacing w:after="80"/>
      </w:pPr>
      <w:r>
        <w:rPr>
          <w:rFonts w:ascii="Calibri" w:hAnsi="Calibri"/>
          <w:b/>
          <w:i w:val="0"/>
          <w:color w:val="6B8CFF"/>
          <w:sz w:val="22"/>
        </w:rPr>
        <w:t xml:space="preserve">Backend: </w:t>
      </w:r>
      <w:r>
        <w:rPr>
          <w:rFonts w:ascii="Calibri" w:hAnsi="Calibri"/>
          <w:b w:val="0"/>
          <w:i w:val="0"/>
          <w:color w:val="1E2837"/>
          <w:sz w:val="22"/>
        </w:rPr>
        <w:t>Python 3.11, FastAPI, Uvicorn (ASGI), Pydantic v2</w:t>
      </w:r>
    </w:p>
    <w:p>
      <w:pPr>
        <w:spacing w:after="80"/>
      </w:pPr>
      <w:r>
        <w:rPr>
          <w:rFonts w:ascii="Calibri" w:hAnsi="Calibri"/>
          <w:b/>
          <w:i w:val="0"/>
          <w:color w:val="6B8CFF"/>
          <w:sz w:val="22"/>
        </w:rPr>
        <w:t xml:space="preserve">ML Engine: </w:t>
      </w:r>
      <w:r>
        <w:rPr>
          <w:rFonts w:ascii="Calibri" w:hAnsi="Calibri"/>
          <w:b w:val="0"/>
          <w:i w:val="0"/>
          <w:color w:val="1E2837"/>
          <w:sz w:val="22"/>
        </w:rPr>
        <w:t>XGBoost, SHAP (TreeExplainer), Scikit-Learn, Joblib</w:t>
      </w:r>
    </w:p>
    <w:p>
      <w:pPr>
        <w:spacing w:after="80"/>
      </w:pPr>
      <w:r>
        <w:rPr>
          <w:rFonts w:ascii="Calibri" w:hAnsi="Calibri"/>
          <w:b/>
          <w:i w:val="0"/>
          <w:color w:val="6B8CFF"/>
          <w:sz w:val="22"/>
        </w:rPr>
        <w:t xml:space="preserve">Data Processing: </w:t>
      </w:r>
      <w:r>
        <w:rPr>
          <w:rFonts w:ascii="Calibri" w:hAnsi="Calibri"/>
          <w:b w:val="0"/>
          <w:i w:val="0"/>
          <w:color w:val="1E2837"/>
          <w:sz w:val="22"/>
        </w:rPr>
        <w:t>Pandas, NumPy, PyArrow (Parquet I/O)</w:t>
      </w:r>
    </w:p>
    <w:p>
      <w:pPr>
        <w:spacing w:after="80"/>
      </w:pPr>
      <w:r>
        <w:rPr>
          <w:rFonts w:ascii="Calibri" w:hAnsi="Calibri"/>
          <w:b/>
          <w:i w:val="0"/>
          <w:color w:val="6B8CFF"/>
          <w:sz w:val="22"/>
        </w:rPr>
        <w:t xml:space="preserve">Dataset: </w:t>
      </w:r>
      <w:r>
        <w:rPr>
          <w:rFonts w:ascii="Calibri" w:hAnsi="Calibri"/>
          <w:b w:val="0"/>
          <w:i w:val="0"/>
          <w:color w:val="1E2837"/>
          <w:sz w:val="22"/>
        </w:rPr>
        <w:t>PaySim 6.36M synthetic financial transactions (Lopez-Rojas, 2016)</w:t>
      </w:r>
    </w:p>
    <w:p>
      <w:pPr>
        <w:spacing w:after="80"/>
      </w:pPr>
      <w:r>
        <w:rPr>
          <w:rFonts w:ascii="Calibri" w:hAnsi="Calibri"/>
          <w:b/>
          <w:i w:val="0"/>
          <w:color w:val="6B8CFF"/>
          <w:sz w:val="22"/>
        </w:rPr>
        <w:t xml:space="preserve">Regulatory Standards: </w:t>
      </w:r>
      <w:r>
        <w:rPr>
          <w:rFonts w:ascii="Calibri" w:hAnsi="Calibri"/>
          <w:b w:val="0"/>
          <w:i w:val="0"/>
          <w:color w:val="1E2837"/>
          <w:sz w:val="22"/>
        </w:rPr>
        <w:t>RBI Master Directions on Digital Payment Security, GDPR Article 22, Basel III Explainability</w:t>
      </w:r>
    </w:p>
    <w:p>
      <w:pPr>
        <w:pStyle w:val="Heading1"/>
        <w:spacing w:before="320" w:after="120"/>
        <w:jc w:val="left"/>
      </w:pPr>
      <w:r>
        <w:rPr>
          <w:rFonts w:ascii="Calibri" w:hAnsi="Calibri"/>
          <w:b/>
          <w:i w:val="0"/>
          <w:color w:val="07090D"/>
          <w:sz w:val="32"/>
        </w:rPr>
        <w:t>Conclusion</w:t>
      </w:r>
    </w:p>
    <w:p>
      <w:pPr>
        <w:spacing w:before="40" w:after="120"/>
        <w:jc w:val="left"/>
      </w:pPr>
      <w:r>
        <w:rPr>
          <w:rFonts w:ascii="Calibri" w:hAnsi="Calibri"/>
          <w:b w:val="0"/>
          <w:i w:val="0"/>
          <w:color w:val="1E2837"/>
          <w:sz w:val="22"/>
        </w:rPr>
        <w:t>SentinelUPI demonstrates that machine learning accuracy and regulatory transparency are not mutually exclusive in digital banking. By combining a 500-tree XGBoost ensemble with the mathematically exact TreeSHAP attribution engine, and implementing a Three-Tier Risk Decisioning architecture with a Yellow Review Zone for ambiguous transactions, the platform achieves state-of-the-art fraud detection (PR-AUC 0.9981) while producing human-readable, RBI-compliant audit rationales in under 0.03 milliseconds. This establishes SentinelUPI as a viable, production-ready foundation for transparent AI-powered financial security in modern UPI ecosystems.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