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0F172A"/>
          <w:sz w:val="26"/>
        </w:rPr>
        <w:t>ITM SKILLS UNIVERSITY</w:t>
        <w:br/>
        <w:t>School of Future Tech</w:t>
        <w:br/>
        <w:t>Department of Computer Science &amp; Engineering</w:t>
        <w:br/>
      </w:r>
    </w:p>
    <w:p>
      <w:pPr>
        <w:spacing w:after="400"/>
      </w:pPr>
    </w:p>
    <w:p>
      <w:pPr>
        <w:jc w:val="center"/>
      </w:pPr>
      <w:r>
        <w:rPr>
          <w:rFonts w:ascii="Helvetica" w:hAnsi="Helvetica"/>
          <w:b/>
          <w:color w:val="2563EB"/>
          <w:sz w:val="44"/>
        </w:rPr>
        <w:t>VIVA PRESENTATION SCRIPT &amp; DEFENSE GUIDE</w:t>
      </w:r>
    </w:p>
    <w:p>
      <w:pPr>
        <w:jc w:val="center"/>
      </w:pPr>
      <w:r>
        <w:rPr>
          <w:rFonts w:ascii="Helvetica" w:hAnsi="Helvetica"/>
          <w:i/>
          <w:color w:val="475569"/>
          <w:sz w:val="26"/>
        </w:rPr>
        <w:t>Device Risk Analysis | Case Study No. 86</w:t>
      </w:r>
    </w:p>
    <w:p>
      <w:pPr>
        <w:spacing w:after="600"/>
      </w:pPr>
    </w:p>
    <w:p>
      <w:pPr>
        <w:jc w:val="center"/>
      </w:pPr>
      <w:r>
        <w:rPr>
          <w:rFonts w:ascii="Helvetica" w:hAnsi="Helvetica"/>
          <w:color w:val="334155"/>
          <w:sz w:val="21"/>
        </w:rPr>
        <w:t>Student Name: Atharva Gahine</w:t>
        <w:br/>
        <w:t>Degree Program: B.Tech Computer Science &amp; Engineering</w:t>
        <w:br/>
        <w:t>Semester: V | Batch: 2024–2028</w:t>
        <w:br/>
        <w:t>Academic Course: Machine Learning (Case Study No. 86)</w:t>
        <w:br/>
        <w:t>Submission Date: October 2026</w:t>
      </w:r>
    </w:p>
    <w:p>
      <w:r>
        <w:br w:type="page"/>
      </w:r>
    </w:p>
    <w:p>
      <w:pPr>
        <w:spacing w:before="320" w:after="120"/>
      </w:pPr>
      <w:r>
        <w:rPr>
          <w:rFonts w:ascii="Helvetica" w:hAnsi="Helvetica"/>
          <w:b/>
          <w:color w:val="0F172A"/>
          <w:sz w:val="30"/>
        </w:rPr>
        <w:t>1. Presentation Overview &amp; Student Presentation Plan</w:t>
      </w:r>
    </w:p>
    <w:p>
      <w:pPr>
        <w:spacing w:after="100" w:line="276" w:lineRule="auto"/>
      </w:pPr>
      <w:r>
        <w:rPr>
          <w:rFonts w:ascii="Helvetica" w:hAnsi="Helvetica"/>
          <w:color w:val="334155"/>
          <w:sz w:val="20"/>
        </w:rPr>
        <w:t>This document provides the slide-by-slide oral script, technical speaking cues, time management allocations, and anticipated examiner questions for Atharva Gahine's B.Tech CSE Semester V Machine Learning viva presentation.</w:t>
      </w:r>
    </w:p>
    <w:p>
      <w:pPr>
        <w:spacing w:before="320" w:after="120"/>
      </w:pPr>
      <w:r>
        <w:rPr>
          <w:rFonts w:ascii="Helvetica" w:hAnsi="Helvetica"/>
          <w:b/>
          <w:color w:val="0F172A"/>
          <w:sz w:val="30"/>
        </w:rPr>
        <w:t>2. Slide-by-Slide Script &amp; Oral Commentary</w:t>
      </w:r>
    </w:p>
    <w:p>
      <w:pPr>
        <w:spacing w:before="220" w:after="80"/>
      </w:pPr>
      <w:r>
        <w:rPr>
          <w:rFonts w:ascii="Helvetica" w:hAnsi="Helvetica"/>
          <w:b/>
          <w:color w:val="2563EB"/>
          <w:sz w:val="25"/>
        </w:rPr>
        <w:t>Slide 1: Title &amp; Introduction (1 Minute)</w:t>
      </w:r>
    </w:p>
    <w:p>
      <w:pPr>
        <w:spacing w:after="100" w:line="276" w:lineRule="auto"/>
      </w:pPr>
      <w:r>
        <w:rPr>
          <w:rFonts w:ascii="Helvetica" w:hAnsi="Helvetica"/>
          <w:color w:val="334155"/>
          <w:sz w:val="20"/>
        </w:rPr>
        <w:t>Script: 'Respected examiners and faculty members, good morning. My name is Atharva Gahine, a fifth-semester B.Tech Computer Science student at ITM SKILLS UNIVERSITY. Today, I am presenting Case Study Number 86: Device Risk Analysis—an end-to-end machine learning system developed to analyze endpoint telemetry and classify devices into actionable security risk tiers.'</w:t>
      </w:r>
    </w:p>
    <w:p>
      <w:pPr>
        <w:spacing w:before="220" w:after="80"/>
      </w:pPr>
      <w:r>
        <w:rPr>
          <w:rFonts w:ascii="Helvetica" w:hAnsi="Helvetica"/>
          <w:b/>
          <w:color w:val="2563EB"/>
          <w:sz w:val="25"/>
        </w:rPr>
        <w:t>Slide 2: Problem Statement &amp; Industrial Motivation (1.5 Minutes)</w:t>
      </w:r>
    </w:p>
    <w:p>
      <w:pPr>
        <w:spacing w:after="100" w:line="276" w:lineRule="auto"/>
      </w:pPr>
      <w:r>
        <w:rPr>
          <w:rFonts w:ascii="Helvetica" w:hAnsi="Helvetica"/>
          <w:color w:val="334155"/>
          <w:sz w:val="20"/>
        </w:rPr>
        <w:t>Script: 'Modern enterprises manage thousands of varied endpoints: employee laptops, core database servers, smartphones, and IoT field gateways. When security analysts manually review vulnerability alerts, they face severe alert fatigue. Our problem statement focuses on: Analyzing device-related information and identifying patterns associated with elevated security concerns. By deploying machine learning, we automate triage and objectively classify devices into Low Risk, Medium Risk, or High Risk tiers.'</w:t>
      </w:r>
    </w:p>
    <w:p>
      <w:pPr>
        <w:spacing w:before="220" w:after="80"/>
      </w:pPr>
      <w:r>
        <w:rPr>
          <w:rFonts w:ascii="Helvetica" w:hAnsi="Helvetica"/>
          <w:b/>
          <w:color w:val="2563EB"/>
          <w:sz w:val="25"/>
        </w:rPr>
        <w:t>Slide 3: Dataset Telemetry &amp; Quality Auditing (1.5 Minutes)</w:t>
      </w:r>
    </w:p>
    <w:p>
      <w:pPr>
        <w:spacing w:after="100" w:line="276" w:lineRule="auto"/>
      </w:pPr>
      <w:r>
        <w:rPr>
          <w:rFonts w:ascii="Helvetica" w:hAnsi="Helvetica"/>
          <w:color w:val="334155"/>
          <w:sz w:val="20"/>
        </w:rPr>
        <w:t>Script: 'Our dataset captures 3,012 enterprise devices across 17 attributes, modeled after NIST SP 800-40 and CIS security controls. In our data quality audit, we identified and eliminated 12 exact duplicates, sanitized string casing variations in Antivirus Status, and handled realistic missing values in network traffic and firmware age using median imputation, and patch status using mode imputation, ensuring zero data leakage.'</w:t>
      </w:r>
    </w:p>
    <w:p>
      <w:pPr>
        <w:spacing w:before="220" w:after="80"/>
      </w:pPr>
      <w:r>
        <w:rPr>
          <w:rFonts w:ascii="Helvetica" w:hAnsi="Helvetica"/>
          <w:b/>
          <w:color w:val="2563EB"/>
          <w:sz w:val="25"/>
        </w:rPr>
        <w:t>Slide 4: Feature Engineering &amp; Preprocessing Pipeline (1.5 Minutes)</w:t>
      </w:r>
    </w:p>
    <w:p>
      <w:pPr>
        <w:spacing w:after="100" w:line="276" w:lineRule="auto"/>
      </w:pPr>
      <w:r>
        <w:rPr>
          <w:rFonts w:ascii="Helvetica" w:hAnsi="Helvetica"/>
          <w:color w:val="334155"/>
          <w:sz w:val="20"/>
        </w:rPr>
        <w:t>Script: 'To enrich model discriminability, we engineered three domain metrics: the Vulnerability-to-Firmware Ratio, the Attack Surface Index combining open ports and failed login spikes, and a Compliance Posture Score on a 0 to 10 scale. Our preprocessing pipeline leverages scikit-learn ColumnTransformer, routing numerical features to StandardScaler and categorical attributes to OneHotEncoder with handle_unknown set to ignore.'</w:t>
      </w:r>
    </w:p>
    <w:p>
      <w:pPr>
        <w:spacing w:before="220" w:after="80"/>
      </w:pPr>
      <w:r>
        <w:rPr>
          <w:rFonts w:ascii="Helvetica" w:hAnsi="Helvetica"/>
          <w:b/>
          <w:color w:val="2563EB"/>
          <w:sz w:val="25"/>
        </w:rPr>
        <w:t>Slide 5: Machine Learning Benchmarks &amp; Model Comparison (2 Minutes)</w:t>
      </w:r>
    </w:p>
    <w:p>
      <w:pPr>
        <w:spacing w:after="100" w:line="276" w:lineRule="auto"/>
      </w:pPr>
      <w:r>
        <w:rPr>
          <w:rFonts w:ascii="Helvetica" w:hAnsi="Helvetica"/>
          <w:color w:val="334155"/>
          <w:sz w:val="20"/>
        </w:rPr>
        <w:t>Script: 'We partitioned the data using an 80/20 stratified split into 2,400 training and 600 test instances. We benchmarked six classification algorithms under identical pipeline conditions: Logistic Regression, Decision Tree, K-Nearest Neighbors, Support Vector Machine, Random Forest, and Gradient Boosting. We evaluated them using multi-class weighted Accuracy, Precision, Recall, F1-Score, and One-vs-Rest ROC-AUC.'</w:t>
      </w:r>
    </w:p>
    <w:p>
      <w:pPr>
        <w:spacing w:before="220" w:after="80"/>
      </w:pPr>
      <w:r>
        <w:rPr>
          <w:rFonts w:ascii="Helvetica" w:hAnsi="Helvetica"/>
          <w:b/>
          <w:color w:val="2563EB"/>
          <w:sz w:val="25"/>
        </w:rPr>
        <w:t>Slide 6: Champion Selection &amp; Hyperparameter Tuning (1.5 Minutes)</w:t>
      </w:r>
    </w:p>
    <w:p>
      <w:pPr>
        <w:spacing w:after="100" w:line="276" w:lineRule="auto"/>
      </w:pPr>
      <w:r>
        <w:rPr>
          <w:rFonts w:ascii="Helvetica" w:hAnsi="Helvetica"/>
          <w:color w:val="334155"/>
          <w:sz w:val="20"/>
        </w:rPr>
        <w:t>Script: 'Using 5-fold Stratified GridSearchCV, we optimized regularization across candidate models. Logistic Regression with C=5.0 achieved a 5-fold CV F1 of 0.9084, outperforming all other models. On the unseen test set of 600 devices, our champion model achieved 89.00% accuracy, an F1-Score of 0.8898, and an outstanding multi-class ROC-AUC of 0.9756.'</w:t>
      </w:r>
    </w:p>
    <w:p>
      <w:pPr>
        <w:spacing w:before="220" w:after="80"/>
      </w:pPr>
      <w:r>
        <w:rPr>
          <w:rFonts w:ascii="Helvetica" w:hAnsi="Helvetica"/>
          <w:b/>
          <w:color w:val="2563EB"/>
          <w:sz w:val="25"/>
        </w:rPr>
        <w:t>Slide 7: Feature Importance &amp; Security Insights (1.5 Minutes)</w:t>
      </w:r>
    </w:p>
    <w:p>
      <w:pPr>
        <w:spacing w:after="100" w:line="276" w:lineRule="auto"/>
      </w:pPr>
      <w:r>
        <w:rPr>
          <w:rFonts w:ascii="Helvetica" w:hAnsi="Helvetica"/>
          <w:color w:val="334155"/>
          <w:sz w:val="20"/>
        </w:rPr>
        <w:t>Script: 'Interpreting model coefficients revealed that Operating System architecture, Patch Latency, Unpatched CVE Count, and Suspicious Network Flags are the strongest predictors associated with elevated device risk. We avoid asserting direct causality, emphasizing these as strong statistical associations.'</w:t>
      </w:r>
    </w:p>
    <w:p>
      <w:pPr>
        <w:spacing w:before="220" w:after="80"/>
      </w:pPr>
      <w:r>
        <w:rPr>
          <w:rFonts w:ascii="Helvetica" w:hAnsi="Helvetica"/>
          <w:b/>
          <w:color w:val="2563EB"/>
          <w:sz w:val="25"/>
        </w:rPr>
        <w:t>Slide 8: Interactive Streamlit Demonstration (1.5 Minutes)</w:t>
      </w:r>
    </w:p>
    <w:p>
      <w:pPr>
        <w:spacing w:after="100" w:line="276" w:lineRule="auto"/>
      </w:pPr>
      <w:r>
        <w:rPr>
          <w:rFonts w:ascii="Helvetica" w:hAnsi="Helvetica"/>
          <w:color w:val="334155"/>
          <w:sz w:val="20"/>
        </w:rPr>
        <w:t>Script: 'We deployed our champion pipeline in an interactive Streamlit application. The dashboard features 6 navigation views: executive fleet KPIs, live multi-parameter risk prediction with instant device templates, exploratory telemetry charts, model performance tables, and security insights.'</w:t>
      </w:r>
    </w:p>
    <w:p>
      <w:pPr>
        <w:spacing w:before="320" w:after="120"/>
      </w:pPr>
      <w:r>
        <w:rPr>
          <w:rFonts w:ascii="Helvetica" w:hAnsi="Helvetica"/>
          <w:b/>
          <w:color w:val="0F172A"/>
          <w:sz w:val="30"/>
        </w:rPr>
        <w:t>3. Top 10 Technical Viva Questions &amp; Model Answers</w:t>
      </w:r>
    </w:p>
    <w:p>
      <w:pPr>
        <w:spacing w:after="100" w:line="276" w:lineRule="auto"/>
      </w:pPr>
      <w:r>
        <w:rPr>
          <w:rFonts w:ascii="Helvetica" w:hAnsi="Helvetica"/>
          <w:b/>
          <w:color w:val="1E293B"/>
          <w:sz w:val="20"/>
        </w:rPr>
        <w:t xml:space="preserve">Question: </w:t>
      </w:r>
      <w:r>
        <w:rPr>
          <w:rFonts w:ascii="Helvetica" w:hAnsi="Helvetica"/>
          <w:color w:val="334155"/>
          <w:sz w:val="20"/>
        </w:rPr>
        <w:t>Q1: Why did Logistic Regression outperform Random Forest and Decision Trees?</w:t>
      </w:r>
    </w:p>
    <w:p>
      <w:pPr>
        <w:spacing w:after="100" w:line="276" w:lineRule="auto"/>
      </w:pPr>
      <w:r>
        <w:rPr>
          <w:rFonts w:ascii="Helvetica" w:hAnsi="Helvetica"/>
          <w:b/>
          <w:color w:val="1E293B"/>
          <w:sz w:val="20"/>
        </w:rPr>
        <w:t xml:space="preserve">Model Answer: </w:t>
      </w:r>
      <w:r>
        <w:rPr>
          <w:rFonts w:ascii="Helvetica" w:hAnsi="Helvetica"/>
          <w:color w:val="334155"/>
          <w:sz w:val="20"/>
        </w:rPr>
        <w:t>A1: Device security risk acts primarily as an additive latent scoring function, where risk accumulates monotonically with vulnerabilities, failed logins, open ports, and protection penalties. Linear models with L2 regularization excel at capturing additive boundaries without the risk of overfitting or leaf fragmentation that affected tree models on this tabular dataset.</w:t>
      </w:r>
    </w:p>
    <w:p>
      <w:pPr>
        <w:spacing w:after="100" w:line="276" w:lineRule="auto"/>
      </w:pPr>
      <w:r>
        <w:rPr>
          <w:rFonts w:ascii="Helvetica" w:hAnsi="Helvetica"/>
          <w:b/>
          <w:color w:val="1E293B"/>
          <w:sz w:val="20"/>
        </w:rPr>
        <w:t xml:space="preserve">Question: </w:t>
      </w:r>
      <w:r>
        <w:rPr>
          <w:rFonts w:ascii="Helvetica" w:hAnsi="Helvetica"/>
          <w:color w:val="334155"/>
          <w:sz w:val="20"/>
        </w:rPr>
        <w:t>Q2: How did you ensure your model does not suffer from data leakage?</w:t>
      </w:r>
    </w:p>
    <w:p>
      <w:pPr>
        <w:spacing w:after="100" w:line="276" w:lineRule="auto"/>
      </w:pPr>
      <w:r>
        <w:rPr>
          <w:rFonts w:ascii="Helvetica" w:hAnsi="Helvetica"/>
          <w:b/>
          <w:color w:val="1E293B"/>
          <w:sz w:val="20"/>
        </w:rPr>
        <w:t xml:space="preserve">Model Answer: </w:t>
      </w:r>
      <w:r>
        <w:rPr>
          <w:rFonts w:ascii="Helvetica" w:hAnsi="Helvetica"/>
          <w:color w:val="334155"/>
          <w:sz w:val="20"/>
        </w:rPr>
        <w:t>A2: We performed all imputation, scaling, and one-hot encoding strictly inside scikit-learn Pipeline objects. Transformers were fit exclusively on training folds during both train-test splitting and 5-fold cross-validation, and merely applied to validation folds.</w:t>
      </w:r>
    </w:p>
    <w:p>
      <w:pPr>
        <w:spacing w:after="100" w:line="276" w:lineRule="auto"/>
      </w:pPr>
      <w:r>
        <w:rPr>
          <w:rFonts w:ascii="Helvetica" w:hAnsi="Helvetica"/>
          <w:b/>
          <w:color w:val="1E293B"/>
          <w:sz w:val="20"/>
        </w:rPr>
        <w:t xml:space="preserve">Question: </w:t>
      </w:r>
      <w:r>
        <w:rPr>
          <w:rFonts w:ascii="Helvetica" w:hAnsi="Helvetica"/>
          <w:color w:val="334155"/>
          <w:sz w:val="20"/>
        </w:rPr>
        <w:t>Q3: Why use Weighted F1-Score instead of simple Accuracy as your primary evaluation metric?</w:t>
      </w:r>
    </w:p>
    <w:p>
      <w:pPr>
        <w:spacing w:after="100" w:line="276" w:lineRule="auto"/>
      </w:pPr>
      <w:r>
        <w:rPr>
          <w:rFonts w:ascii="Helvetica" w:hAnsi="Helvetica"/>
          <w:b/>
          <w:color w:val="1E293B"/>
          <w:sz w:val="20"/>
        </w:rPr>
        <w:t xml:space="preserve">Model Answer: </w:t>
      </w:r>
      <w:r>
        <w:rPr>
          <w:rFonts w:ascii="Helvetica" w:hAnsi="Helvetica"/>
          <w:color w:val="334155"/>
          <w:sz w:val="20"/>
        </w:rPr>
        <w:t>A3: While our dataset is relatively balanced (42.1% Medium, 32.1% Low, 25.7% High), Weighted F1-Score accounts for class-specific precision-recall trade-offs. In cybersecurity, false negatives (classifying a High Risk device as Low Risk) carry far more severe consequences than false positives.</w:t>
      </w:r>
    </w:p>
    <w:p>
      <w:pPr>
        <w:spacing w:after="100" w:line="276" w:lineRule="auto"/>
      </w:pPr>
      <w:r>
        <w:rPr>
          <w:rFonts w:ascii="Helvetica" w:hAnsi="Helvetica"/>
          <w:b/>
          <w:color w:val="1E293B"/>
          <w:sz w:val="20"/>
        </w:rPr>
        <w:t xml:space="preserve">Question: </w:t>
      </w:r>
      <w:r>
        <w:rPr>
          <w:rFonts w:ascii="Helvetica" w:hAnsi="Helvetica"/>
          <w:color w:val="334155"/>
          <w:sz w:val="20"/>
        </w:rPr>
        <w:t>Q4: What is the purpose of the Attack Surface Index feature?</w:t>
      </w:r>
    </w:p>
    <w:p>
      <w:pPr>
        <w:spacing w:after="100" w:line="276" w:lineRule="auto"/>
      </w:pPr>
      <w:r>
        <w:rPr>
          <w:rFonts w:ascii="Helvetica" w:hAnsi="Helvetica"/>
          <w:b/>
          <w:color w:val="1E293B"/>
          <w:sz w:val="20"/>
        </w:rPr>
        <w:t xml:space="preserve">Model Answer: </w:t>
      </w:r>
      <w:r>
        <w:rPr>
          <w:rFonts w:ascii="Helvetica" w:hAnsi="Helvetica"/>
          <w:color w:val="334155"/>
          <w:sz w:val="20"/>
        </w:rPr>
        <w:t>A4: It synthesizes network perimeter exposure (open listening ports) with authentication pressure (failed login spikes) using the weighted formula: 0.4 * Open_Ports + 0.6 * Failed_Logins, providing a single consolidated metric of external exposure.</w:t>
      </w:r>
    </w:p>
    <w:p>
      <w:pPr>
        <w:spacing w:after="100" w:line="276" w:lineRule="auto"/>
      </w:pPr>
      <w:r>
        <w:rPr>
          <w:rFonts w:ascii="Helvetica" w:hAnsi="Helvetica"/>
          <w:b/>
          <w:color w:val="1E293B"/>
          <w:sz w:val="20"/>
        </w:rPr>
        <w:t xml:space="preserve">Question: </w:t>
      </w:r>
      <w:r>
        <w:rPr>
          <w:rFonts w:ascii="Helvetica" w:hAnsi="Helvetica"/>
          <w:color w:val="334155"/>
          <w:sz w:val="20"/>
        </w:rPr>
        <w:t>Q5: What does handle_unknown='ignore' do in OneHotEncoder?</w:t>
      </w:r>
    </w:p>
    <w:p>
      <w:pPr>
        <w:spacing w:after="100" w:line="276" w:lineRule="auto"/>
      </w:pPr>
      <w:r>
        <w:rPr>
          <w:rFonts w:ascii="Helvetica" w:hAnsi="Helvetica"/>
          <w:b/>
          <w:color w:val="1E293B"/>
          <w:sz w:val="20"/>
        </w:rPr>
        <w:t xml:space="preserve">Model Answer: </w:t>
      </w:r>
      <w:r>
        <w:rPr>
          <w:rFonts w:ascii="Helvetica" w:hAnsi="Helvetica"/>
          <w:color w:val="334155"/>
          <w:sz w:val="20"/>
        </w:rPr>
        <w:t>A5: In production environments, a device might report a rare or novel operating system. Setting handle_unknown='ignore' ensures all one-hot encoded columns for that feature become zero, preventing dimension mismatch runtime crashes.</w:t>
      </w:r>
    </w:p>
    <w:p>
      <w:pPr>
        <w:spacing w:after="100" w:line="276" w:lineRule="auto"/>
      </w:pPr>
      <w:r>
        <w:rPr>
          <w:rFonts w:ascii="Helvetica" w:hAnsi="Helvetica"/>
          <w:b/>
          <w:color w:val="1E293B"/>
          <w:sz w:val="20"/>
        </w:rPr>
        <w:t xml:space="preserve">Question: </w:t>
      </w:r>
      <w:r>
        <w:rPr>
          <w:rFonts w:ascii="Helvetica" w:hAnsi="Helvetica"/>
          <w:color w:val="334155"/>
          <w:sz w:val="20"/>
        </w:rPr>
        <w:t>Q6: How does your Streamlit application handle missing model files?</w:t>
      </w:r>
    </w:p>
    <w:p>
      <w:pPr>
        <w:spacing w:after="100" w:line="276" w:lineRule="auto"/>
      </w:pPr>
      <w:r>
        <w:rPr>
          <w:rFonts w:ascii="Helvetica" w:hAnsi="Helvetica"/>
          <w:b/>
          <w:color w:val="1E293B"/>
          <w:sz w:val="20"/>
        </w:rPr>
        <w:t xml:space="preserve">Model Answer: </w:t>
      </w:r>
      <w:r>
        <w:rPr>
          <w:rFonts w:ascii="Helvetica" w:hAnsi="Helvetica"/>
          <w:color w:val="334155"/>
          <w:sz w:val="20"/>
        </w:rPr>
        <w:t>A6: We implemented defensive loading using @st.cache_resource. If the serialized model pickle file is missing, the application intercepts the FileNotFoundError and renders an informative st.error banner guiding the user rather than terminating the process.</w:t>
      </w:r>
    </w:p>
    <w:p>
      <w:pPr>
        <w:spacing w:after="100" w:line="276" w:lineRule="auto"/>
      </w:pPr>
      <w:r>
        <w:rPr>
          <w:rFonts w:ascii="Helvetica" w:hAnsi="Helvetica"/>
          <w:b/>
          <w:color w:val="1E293B"/>
          <w:sz w:val="20"/>
        </w:rPr>
        <w:t xml:space="preserve">Question: </w:t>
      </w:r>
      <w:r>
        <w:rPr>
          <w:rFonts w:ascii="Helvetica" w:hAnsi="Helvetica"/>
          <w:color w:val="334155"/>
          <w:sz w:val="20"/>
        </w:rPr>
        <w:t>Q7: How did you handle multi-class ROC-AUC computation?</w:t>
      </w:r>
    </w:p>
    <w:p>
      <w:pPr>
        <w:spacing w:after="100" w:line="276" w:lineRule="auto"/>
      </w:pPr>
      <w:r>
        <w:rPr>
          <w:rFonts w:ascii="Helvetica" w:hAnsi="Helvetica"/>
          <w:b/>
          <w:color w:val="1E293B"/>
          <w:sz w:val="20"/>
        </w:rPr>
        <w:t xml:space="preserve">Model Answer: </w:t>
      </w:r>
      <w:r>
        <w:rPr>
          <w:rFonts w:ascii="Helvetica" w:hAnsi="Helvetica"/>
          <w:color w:val="334155"/>
          <w:sz w:val="20"/>
        </w:rPr>
        <w:t>A7: Because ROC-AUC is fundamentally binary, we used the One-vs-Rest (OvR) approach with label_binarize, computing individual ROC curves for Low Risk, Medium Risk, and High Risk against the rest, followed by weighted aggregation.</w:t>
      </w:r>
    </w:p>
    <w:p>
      <w:pPr>
        <w:spacing w:after="100" w:line="276" w:lineRule="auto"/>
      </w:pPr>
      <w:r>
        <w:rPr>
          <w:rFonts w:ascii="Helvetica" w:hAnsi="Helvetica"/>
          <w:b/>
          <w:color w:val="1E293B"/>
          <w:sz w:val="20"/>
        </w:rPr>
        <w:t xml:space="preserve">Question: </w:t>
      </w:r>
      <w:r>
        <w:rPr>
          <w:rFonts w:ascii="Helvetica" w:hAnsi="Helvetica"/>
          <w:color w:val="334155"/>
          <w:sz w:val="20"/>
        </w:rPr>
        <w:t>Q8: Why did Decision Tree achieve the lowest accuracy (71.67%)?</w:t>
      </w:r>
    </w:p>
    <w:p>
      <w:pPr>
        <w:spacing w:after="100" w:line="276" w:lineRule="auto"/>
      </w:pPr>
      <w:r>
        <w:rPr>
          <w:rFonts w:ascii="Helvetica" w:hAnsi="Helvetica"/>
          <w:b/>
          <w:color w:val="1E293B"/>
          <w:sz w:val="20"/>
        </w:rPr>
        <w:t xml:space="preserve">Model Answer: </w:t>
      </w:r>
      <w:r>
        <w:rPr>
          <w:rFonts w:ascii="Helvetica" w:hAnsi="Helvetica"/>
          <w:color w:val="334155"/>
          <w:sz w:val="20"/>
        </w:rPr>
        <w:t>A8: A single decision tree relies on orthogonal axis-aligned splits. Because security risk involves continuous combinations of several interacting numerical and categorical variables, an unpruned single tree either underfits or overfits localized noise.</w:t>
      </w:r>
    </w:p>
    <w:p>
      <w:pPr>
        <w:spacing w:after="100" w:line="276" w:lineRule="auto"/>
      </w:pPr>
      <w:r>
        <w:rPr>
          <w:rFonts w:ascii="Helvetica" w:hAnsi="Helvetica"/>
          <w:b/>
          <w:color w:val="1E293B"/>
          <w:sz w:val="20"/>
        </w:rPr>
        <w:t xml:space="preserve">Question: </w:t>
      </w:r>
      <w:r>
        <w:rPr>
          <w:rFonts w:ascii="Helvetica" w:hAnsi="Helvetica"/>
          <w:color w:val="334155"/>
          <w:sz w:val="20"/>
        </w:rPr>
        <w:t>Q9: Can this model be used for automated endpoint isolation?</w:t>
      </w:r>
    </w:p>
    <w:p>
      <w:pPr>
        <w:spacing w:after="100" w:line="276" w:lineRule="auto"/>
      </w:pPr>
      <w:r>
        <w:rPr>
          <w:rFonts w:ascii="Helvetica" w:hAnsi="Helvetica"/>
          <w:b/>
          <w:color w:val="1E293B"/>
          <w:sz w:val="20"/>
        </w:rPr>
        <w:t xml:space="preserve">Model Answer: </w:t>
      </w:r>
      <w:r>
        <w:rPr>
          <w:rFonts w:ascii="Helvetica" w:hAnsi="Helvetica"/>
          <w:color w:val="334155"/>
          <w:sz w:val="20"/>
        </w:rPr>
        <w:t>A9: In an operational SecOps environment, this model serves as an intelligent decision-support system to prioritize analyst queues. For High Risk classifications with confidence &gt; 95%, automated temporary quarantine VLAN assignment can be safely configured.</w:t>
      </w:r>
    </w:p>
    <w:p>
      <w:pPr>
        <w:spacing w:after="100" w:line="276" w:lineRule="auto"/>
      </w:pPr>
      <w:r>
        <w:rPr>
          <w:rFonts w:ascii="Helvetica" w:hAnsi="Helvetica"/>
          <w:b/>
          <w:color w:val="1E293B"/>
          <w:sz w:val="20"/>
        </w:rPr>
        <w:t xml:space="preserve">Question: </w:t>
      </w:r>
      <w:r>
        <w:rPr>
          <w:rFonts w:ascii="Helvetica" w:hAnsi="Helvetica"/>
          <w:color w:val="334155"/>
          <w:sz w:val="20"/>
        </w:rPr>
        <w:t>Q10: What are the primary future enhancements for this project?</w:t>
      </w:r>
    </w:p>
    <w:p>
      <w:pPr>
        <w:spacing w:after="100" w:line="276" w:lineRule="auto"/>
      </w:pPr>
      <w:r>
        <w:rPr>
          <w:rFonts w:ascii="Helvetica" w:hAnsi="Helvetica"/>
          <w:b/>
          <w:color w:val="1E293B"/>
          <w:sz w:val="20"/>
        </w:rPr>
        <w:t xml:space="preserve">Model Answer: </w:t>
      </w:r>
      <w:r>
        <w:rPr>
          <w:rFonts w:ascii="Helvetica" w:hAnsi="Helvetica"/>
          <w:color w:val="334155"/>
          <w:sz w:val="20"/>
        </w:rPr>
        <w:t>A10: Future extensions include ingesting streaming network flow logs via Kafka, exploring semi-supervised learning for zero-day threat detection, and integrating automated policy webhooks with enterprise firewall APIs.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