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color w:val="0F172A"/>
          <w:sz w:val="26"/>
        </w:rPr>
        <w:t>ITM SKILLS UNIVERSITY</w:t>
        <w:br/>
        <w:t>School of Future Tech</w:t>
        <w:br/>
        <w:t>Department of Computer Science &amp; Engineering</w:t>
        <w:br/>
      </w:r>
    </w:p>
    <w:p>
      <w:pPr>
        <w:spacing w:after="400"/>
      </w:pPr>
    </w:p>
    <w:p>
      <w:pPr>
        <w:jc w:val="center"/>
      </w:pPr>
      <w:r>
        <w:rPr>
          <w:rFonts w:ascii="Helvetica" w:hAnsi="Helvetica"/>
          <w:b/>
          <w:color w:val="2563EB"/>
          <w:sz w:val="44"/>
        </w:rPr>
        <w:t>DEVICE RISK ANALYSIS: MACHINE LEARNING BASED ENDPOINT SECURITY CLASSIFICATION</w:t>
      </w:r>
    </w:p>
    <w:p>
      <w:pPr>
        <w:jc w:val="center"/>
      </w:pPr>
      <w:r>
        <w:rPr>
          <w:rFonts w:ascii="Helvetica" w:hAnsi="Helvetica"/>
          <w:i/>
          <w:color w:val="475569"/>
          <w:sz w:val="26"/>
        </w:rPr>
        <w:t>A Comprehensive Academic Project Report | Case Study No. 86</w:t>
      </w:r>
    </w:p>
    <w:p>
      <w:pPr>
        <w:spacing w:after="600"/>
      </w:pPr>
    </w:p>
    <w:p>
      <w:pPr>
        <w:jc w:val="center"/>
      </w:pPr>
      <w:r>
        <w:rPr>
          <w:rFonts w:ascii="Helvetica" w:hAnsi="Helvetica"/>
          <w:color w:val="334155"/>
          <w:sz w:val="21"/>
        </w:rPr>
        <w:t>Student Name: Atharva Gahine</w:t>
        <w:br/>
        <w:t>Degree Program: B.Tech Computer Science &amp; Engineering</w:t>
        <w:br/>
        <w:t>Semester: V | Batch: 2024–2028</w:t>
        <w:br/>
        <w:t>Academic Course: Machine Learning (Case Study No. 86)</w:t>
        <w:br/>
        <w:t>Submission Date: October 2026</w:t>
      </w:r>
    </w:p>
    <w:p>
      <w:r>
        <w:br w:type="page"/>
      </w:r>
    </w:p>
    <w:p>
      <w:pPr>
        <w:spacing w:before="320" w:after="120"/>
      </w:pPr>
      <w:r>
        <w:rPr>
          <w:rFonts w:ascii="Helvetica" w:hAnsi="Helvetica"/>
          <w:b/>
          <w:color w:val="0F172A"/>
          <w:sz w:val="30"/>
        </w:rPr>
        <w:t>CERTIFICATE OF ORIGINALITY</w:t>
      </w:r>
    </w:p>
    <w:p>
      <w:pPr>
        <w:spacing w:after="100" w:line="276" w:lineRule="auto"/>
      </w:pPr>
      <w:r>
        <w:rPr>
          <w:rFonts w:ascii="Helvetica" w:hAnsi="Helvetica"/>
          <w:color w:val="334155"/>
          <w:sz w:val="20"/>
        </w:rPr>
        <w:t>This is to certify that the project report entitled 'DEVICE RISK ANALYSIS' submitted by Atharva Gahine (Enrolment / Roll No: ITM-CSE-2024-86) in partial fulfillment of the requirements for the award of the degree of Bachelor of Technology in Computer Science &amp; Engineering at ITM SKILLS UNIVERSITY (School of Future Tech) is an authentic record of academic work carried out under supervision during Semester V (Academic Year 2024–2028).</w:t>
      </w:r>
    </w:p>
    <w:p>
      <w:pPr>
        <w:spacing w:after="100" w:line="276" w:lineRule="auto"/>
      </w:pPr>
      <w:r>
        <w:rPr>
          <w:rFonts w:ascii="Helvetica" w:hAnsi="Helvetica"/>
          <w:color w:val="334155"/>
          <w:sz w:val="20"/>
        </w:rPr>
        <w:br/>
        <w:br/>
        <w:t>_______________________</w:t>
        <w:br/>
        <w:t>Project Guide / Faculty Evaluator</w:t>
        <w:br/>
        <w:t>Department of Computer Science &amp; Engineering</w:t>
        <w:br/>
        <w:t>ITM SKILLS UNIVERSITY</w:t>
      </w:r>
    </w:p>
    <w:p>
      <w:r>
        <w:br w:type="page"/>
      </w:r>
    </w:p>
    <w:p>
      <w:pPr>
        <w:spacing w:before="320" w:after="120"/>
      </w:pPr>
      <w:r>
        <w:rPr>
          <w:rFonts w:ascii="Helvetica" w:hAnsi="Helvetica"/>
          <w:b/>
          <w:color w:val="0F172A"/>
          <w:sz w:val="30"/>
        </w:rPr>
        <w:t>CANDIDATE DECLARATION</w:t>
      </w:r>
    </w:p>
    <w:p>
      <w:pPr>
        <w:spacing w:after="100" w:line="276" w:lineRule="auto"/>
      </w:pPr>
      <w:r>
        <w:rPr>
          <w:rFonts w:ascii="Helvetica" w:hAnsi="Helvetica"/>
          <w:color w:val="334155"/>
          <w:sz w:val="20"/>
        </w:rPr>
        <w:t>I hereby declare that this project report titled 'DEVICE RISK ANALYSIS' submitted to the Department of Computer Science &amp; Engineering, ITM SKILLS UNIVERSITY, is my own original work. The results, algorithms, metrics, and application code presented in this report have been implemented and validated by me. All literature, benchmark datasets, and reference frameworks used have been duly cited and acknowledged.</w:t>
      </w:r>
    </w:p>
    <w:p>
      <w:pPr>
        <w:spacing w:after="100" w:line="276" w:lineRule="auto"/>
      </w:pPr>
      <w:r>
        <w:rPr>
          <w:rFonts w:ascii="Helvetica" w:hAnsi="Helvetica"/>
          <w:color w:val="334155"/>
          <w:sz w:val="20"/>
        </w:rPr>
        <w:br/>
        <w:br/>
        <w:t>_______________________</w:t>
        <w:br/>
        <w:t>Atharva Gahine</w:t>
        <w:br/>
        <w:t>B.Tech CSE, Semester V</w:t>
        <w:br/>
        <w:t>ITM SKILLS UNIVERSITY</w:t>
      </w:r>
    </w:p>
    <w:p>
      <w:r>
        <w:br w:type="page"/>
      </w:r>
    </w:p>
    <w:p>
      <w:pPr>
        <w:spacing w:before="320" w:after="120"/>
      </w:pPr>
      <w:r>
        <w:rPr>
          <w:rFonts w:ascii="Helvetica" w:hAnsi="Helvetica"/>
          <w:b/>
          <w:color w:val="0F172A"/>
          <w:sz w:val="30"/>
        </w:rPr>
        <w:t>ACKNOWLEDGEMENT</w:t>
      </w:r>
    </w:p>
    <w:p>
      <w:pPr>
        <w:spacing w:after="100" w:line="276" w:lineRule="auto"/>
      </w:pPr>
      <w:r>
        <w:rPr>
          <w:rFonts w:ascii="Helvetica" w:hAnsi="Helvetica"/>
          <w:color w:val="334155"/>
          <w:sz w:val="20"/>
        </w:rPr>
        <w:t>I express my profound gratitude to the faculty and mentors at ITM SKILLS UNIVERSITY, School of Future Tech, for their continuous academic guidance, invaluable encouragement, and constructive critique throughout the course of this Machine Learning project. I would also like to thank the open-source software and machine learning research community for providing robust, transparent tools and standardized cybersecurity frameworks (such as NIST and CIS Controls) that made this research possible.</w:t>
      </w:r>
    </w:p>
    <w:p>
      <w:r>
        <w:br w:type="page"/>
      </w:r>
    </w:p>
    <w:p>
      <w:pPr>
        <w:spacing w:before="320" w:after="120"/>
      </w:pPr>
      <w:r>
        <w:rPr>
          <w:rFonts w:ascii="Helvetica" w:hAnsi="Helvetica"/>
          <w:b/>
          <w:color w:val="0F172A"/>
          <w:sz w:val="30"/>
        </w:rPr>
        <w:t>ABSTRACT</w:t>
      </w:r>
    </w:p>
    <w:p>
      <w:pPr>
        <w:spacing w:after="100" w:line="276" w:lineRule="auto"/>
      </w:pPr>
      <w:r>
        <w:rPr>
          <w:rFonts w:ascii="Helvetica" w:hAnsi="Helvetica"/>
          <w:color w:val="334155"/>
          <w:sz w:val="20"/>
        </w:rPr>
        <w:t>In modern digital enterprise environments, safeguarding diverse fleets of networked devices—such as laptops, database servers, smartphones, and Internet of Things (IoT) gateways—against cyber exploitation is an urgent operational priority. Traditional static rule-based security audits struggle to capture subtle, multi-factor dependencies across vulnerability density, authentication pressure, patch status, and defensive configuration states. This study develops a complete, reproducible Machine Learning classification system that ingests multi-dimensional endpoint telemetry and categorizes devices into three actionable risk tiers: Low Risk, Medium Risk, and High Risk.</w:t>
      </w:r>
    </w:p>
    <w:p>
      <w:pPr>
        <w:spacing w:after="100" w:line="276" w:lineRule="auto"/>
      </w:pPr>
      <w:r>
        <w:rPr>
          <w:rFonts w:ascii="Helvetica" w:hAnsi="Helvetica"/>
          <w:color w:val="334155"/>
          <w:sz w:val="20"/>
        </w:rPr>
        <w:t>The dataset comprises 3,012 device telemetry records structured across 17 attributes. A disciplined data cleaning pipeline purges duplicates, standardizes categorical representations, and imputes missing telemetry using statistical median and mode methods. Three domain features—Vulnerability-Firmware Ratio, Attack Surface Index, and Compliance Posture Score—are synthesized to enrich predictive signal. Six classification algorithms are systematically trained and evaluated under stratified conditions: Logistic Regression, Decision Tree, K-Nearest Neighbors, Support Vector Machine (SVM), Random Forest, and Gradient Boosting. Hyperparameter optimization using 5-fold Stratified Cross-Validation via GridSearchCV establishes tuned Logistic Regression as the champion model, achieving 89.00% test accuracy, a weighted F1-Score of 0.8898, and an exceptional multi-class One-vs-Rest ROC-AUC of 0.9756. An interactive, modern light Streamlit web application is developed to enable real-time risk classification, fleet telemetry exploration, and transparent security factor interpretation.</w:t>
      </w:r>
    </w:p>
    <w:p>
      <w:r>
        <w:br w:type="page"/>
      </w:r>
    </w:p>
    <w:p>
      <w:pPr>
        <w:spacing w:before="320" w:after="120"/>
      </w:pPr>
      <w:r>
        <w:rPr>
          <w:rFonts w:ascii="Helvetica" w:hAnsi="Helvetica"/>
          <w:b/>
          <w:color w:val="0F172A"/>
          <w:sz w:val="30"/>
        </w:rPr>
        <w:t>CHAPTER 1: INTRODUCTION</w:t>
      </w:r>
    </w:p>
    <w:p>
      <w:pPr>
        <w:spacing w:after="100" w:line="276" w:lineRule="auto"/>
      </w:pPr>
      <w:r>
        <w:rPr>
          <w:rFonts w:ascii="Helvetica" w:hAnsi="Helvetica"/>
          <w:b/>
          <w:color w:val="1E293B"/>
          <w:sz w:val="20"/>
        </w:rPr>
        <w:t xml:space="preserve">Sub-section: </w:t>
      </w:r>
      <w:r>
        <w:rPr>
          <w:rFonts w:ascii="Helvetica" w:hAnsi="Helvetica"/>
          <w:color w:val="334155"/>
          <w:sz w:val="20"/>
        </w:rPr>
        <w:t>1.1 Background &amp; Context</w:t>
      </w:r>
    </w:p>
    <w:p>
      <w:pPr>
        <w:spacing w:after="100" w:line="276" w:lineRule="auto"/>
      </w:pPr>
      <w:r>
        <w:rPr>
          <w:rFonts w:ascii="Helvetica" w:hAnsi="Helvetica"/>
          <w:color w:val="334155"/>
          <w:sz w:val="20"/>
        </w:rPr>
        <w:t>The rapid proliferation of hybrid workforce endpoints and edge computing infrastructure has radically broadened the attack surface of contemporary enterprises. Modern organizations operate thousands of digital devices across varied operating systems, hardware revisions, and firmware levels. Maintaining security consistency across this heterogeneous fleet is notoriously complex. Security analysts face alert fatigue, siloed vulnerability scanner outputs, and an inability to rank remediation actions based on true multi-factor exposure.</w:t>
      </w:r>
    </w:p>
    <w:p>
      <w:pPr>
        <w:spacing w:after="100" w:line="276" w:lineRule="auto"/>
      </w:pPr>
      <w:r>
        <w:rPr>
          <w:rFonts w:ascii="Helvetica" w:hAnsi="Helvetica"/>
          <w:b/>
          <w:color w:val="1E293B"/>
          <w:sz w:val="20"/>
        </w:rPr>
        <w:t xml:space="preserve">Sub-section: </w:t>
      </w:r>
      <w:r>
        <w:rPr>
          <w:rFonts w:ascii="Helvetica" w:hAnsi="Helvetica"/>
          <w:color w:val="334155"/>
          <w:sz w:val="20"/>
        </w:rPr>
        <w:t>1.2 Academic Relevance</w:t>
      </w:r>
    </w:p>
    <w:p>
      <w:pPr>
        <w:spacing w:after="100" w:line="276" w:lineRule="auto"/>
      </w:pPr>
      <w:r>
        <w:rPr>
          <w:rFonts w:ascii="Helvetica" w:hAnsi="Helvetica"/>
          <w:color w:val="334155"/>
          <w:sz w:val="20"/>
        </w:rPr>
        <w:t>Within the B.Tech Computer Science &amp; Engineering curriculum at ITM SKILLS UNIVERSITY, this project serves as a comprehensive case study (Case Study No. 86) demonstrating end-to-end applied machine learning. It covers the complete lifecycle: problem formalization, benchmark telemetry curation, rigorous data quality audits, exploratory visual analysis, scikit-learn pipeline engineering, multi-algorithm benchmarking, cross-validated hyperparameter optimization, and interactive deployment.</w:t>
      </w:r>
    </w:p>
    <w:p>
      <w:pPr>
        <w:spacing w:before="320" w:after="120"/>
      </w:pPr>
      <w:r>
        <w:rPr>
          <w:rFonts w:ascii="Helvetica" w:hAnsi="Helvetica"/>
          <w:b/>
          <w:color w:val="0F172A"/>
          <w:sz w:val="30"/>
        </w:rPr>
        <w:t>CHAPTER 2: PROBLEM DEFINITION</w:t>
      </w:r>
    </w:p>
    <w:p>
      <w:pPr>
        <w:spacing w:after="100" w:line="276" w:lineRule="auto"/>
      </w:pPr>
      <w:r>
        <w:rPr>
          <w:rFonts w:ascii="Helvetica" w:hAnsi="Helvetica"/>
          <w:b/>
          <w:color w:val="1E293B"/>
          <w:sz w:val="20"/>
        </w:rPr>
        <w:t xml:space="preserve">Formal Statement: </w:t>
      </w:r>
      <w:r>
        <w:rPr>
          <w:rFonts w:ascii="Helvetica" w:hAnsi="Helvetica"/>
          <w:color w:val="334155"/>
          <w:sz w:val="20"/>
        </w:rPr>
        <w:t>"An organization wants to analyze device-related information and identify patterns associated with elevated security concerns."</w:t>
      </w:r>
    </w:p>
    <w:p>
      <w:pPr>
        <w:spacing w:after="100" w:line="276" w:lineRule="auto"/>
      </w:pPr>
      <w:r>
        <w:rPr>
          <w:rFonts w:ascii="Helvetica" w:hAnsi="Helvetica"/>
          <w:color w:val="334155"/>
          <w:sz w:val="20"/>
        </w:rPr>
        <w:t>The objective is to formulate device security risk assessment as a supervised multi-class classification problem. Given a feature vector X representing hardware properties, operating system state, patch levels, authentication anomalies, network bandwidth, and protection statuses, the model must output a predicted risk tier y in {Low Risk, Medium Risk, High Risk}, accompanied by well-calibrated class probability distributions.</w:t>
      </w:r>
    </w:p>
    <w:p>
      <w:pPr>
        <w:spacing w:before="320" w:after="120"/>
      </w:pPr>
      <w:r>
        <w:rPr>
          <w:rFonts w:ascii="Helvetica" w:hAnsi="Helvetica"/>
          <w:b/>
          <w:color w:val="0F172A"/>
          <w:sz w:val="30"/>
        </w:rPr>
        <w:t>CHAPTER 3: OBJECTIVES &amp; SCOPE</w:t>
      </w:r>
    </w:p>
    <w:p>
      <w:pPr>
        <w:pStyle w:val="ListBullet"/>
        <w:spacing w:after="60" w:line="276" w:lineRule="auto"/>
      </w:pPr>
      <w:r>
        <w:rPr>
          <w:rFonts w:ascii="Helvetica" w:hAnsi="Helvetica"/>
          <w:color w:val="334155"/>
          <w:sz w:val="20"/>
        </w:rPr>
        <w:t>Define and document a supervised machine learning classification workflow.</w:t>
      </w:r>
    </w:p>
    <w:p>
      <w:pPr>
        <w:pStyle w:val="ListBullet"/>
        <w:spacing w:after="60" w:line="276" w:lineRule="auto"/>
      </w:pPr>
      <w:r>
        <w:rPr>
          <w:rFonts w:ascii="Helvetica" w:hAnsi="Helvetica"/>
          <w:color w:val="334155"/>
          <w:sz w:val="20"/>
        </w:rPr>
        <w:t>Curate and document a clean benchmark dataset reflecting realistic enterprise endpoint distributions.</w:t>
      </w:r>
    </w:p>
    <w:p>
      <w:pPr>
        <w:pStyle w:val="ListBullet"/>
        <w:spacing w:after="60" w:line="276" w:lineRule="auto"/>
      </w:pPr>
      <w:r>
        <w:rPr>
          <w:rFonts w:ascii="Helvetica" w:hAnsi="Helvetica"/>
          <w:color w:val="334155"/>
          <w:sz w:val="20"/>
        </w:rPr>
        <w:t>Perform thorough data quality auditing, missing value imputation, and deduplication.</w:t>
      </w:r>
    </w:p>
    <w:p>
      <w:pPr>
        <w:pStyle w:val="ListBullet"/>
        <w:spacing w:after="60" w:line="276" w:lineRule="auto"/>
      </w:pPr>
      <w:r>
        <w:rPr>
          <w:rFonts w:ascii="Helvetica" w:hAnsi="Helvetica"/>
          <w:color w:val="334155"/>
          <w:sz w:val="20"/>
        </w:rPr>
        <w:t>Conduct exploratory data analysis across univariate, bivariate, and correlation dimensions.</w:t>
      </w:r>
    </w:p>
    <w:p>
      <w:pPr>
        <w:pStyle w:val="ListBullet"/>
        <w:spacing w:after="60" w:line="276" w:lineRule="auto"/>
      </w:pPr>
      <w:r>
        <w:rPr>
          <w:rFonts w:ascii="Helvetica" w:hAnsi="Helvetica"/>
          <w:color w:val="334155"/>
          <w:sz w:val="20"/>
        </w:rPr>
        <w:t>Engineer three domain-relevant security metrics capturing attack surface and compliance health.</w:t>
      </w:r>
    </w:p>
    <w:p>
      <w:pPr>
        <w:pStyle w:val="ListBullet"/>
        <w:spacing w:after="60" w:line="276" w:lineRule="auto"/>
      </w:pPr>
      <w:r>
        <w:rPr>
          <w:rFonts w:ascii="Helvetica" w:hAnsi="Helvetica"/>
          <w:color w:val="334155"/>
          <w:sz w:val="20"/>
        </w:rPr>
        <w:t>Construct robust, leak-free scikit-learn Pipeline objects combining StandardScaler and OneHotEncoder.</w:t>
      </w:r>
    </w:p>
    <w:p>
      <w:pPr>
        <w:pStyle w:val="ListBullet"/>
        <w:spacing w:after="60" w:line="276" w:lineRule="auto"/>
      </w:pPr>
      <w:r>
        <w:rPr>
          <w:rFonts w:ascii="Helvetica" w:hAnsi="Helvetica"/>
          <w:color w:val="334155"/>
          <w:sz w:val="20"/>
        </w:rPr>
        <w:t>Train, benchmark, and cross-validate 6 classification algorithms.</w:t>
      </w:r>
    </w:p>
    <w:p>
      <w:pPr>
        <w:pStyle w:val="ListBullet"/>
        <w:spacing w:after="60" w:line="276" w:lineRule="auto"/>
      </w:pPr>
      <w:r>
        <w:rPr>
          <w:rFonts w:ascii="Helvetica" w:hAnsi="Helvetica"/>
          <w:color w:val="334155"/>
          <w:sz w:val="20"/>
        </w:rPr>
        <w:t>Deploy an interactive, light-modern Streamlit dashboard for real-time endpoint inference.</w:t>
      </w:r>
    </w:p>
    <w:p>
      <w:pPr>
        <w:spacing w:before="320" w:after="120"/>
      </w:pPr>
      <w:r>
        <w:rPr>
          <w:rFonts w:ascii="Helvetica" w:hAnsi="Helvetica"/>
          <w:b/>
          <w:color w:val="0F172A"/>
          <w:sz w:val="30"/>
        </w:rPr>
        <w:t>CHAPTER 4: LITERATURE &amp; BACKGROUND STUDY</w:t>
      </w:r>
    </w:p>
    <w:p>
      <w:pPr>
        <w:spacing w:after="100" w:line="276" w:lineRule="auto"/>
      </w:pPr>
      <w:r>
        <w:rPr>
          <w:rFonts w:ascii="Helvetica" w:hAnsi="Helvetica"/>
          <w:color w:val="334155"/>
          <w:sz w:val="20"/>
        </w:rPr>
        <w:t>Endpoint risk scoring has historically relied on static scoring rubrics such as the Common Vulnerability Scoring System (CVSS) and Center for Internet Security (CIS) Controls benchmarks. However, research by NIST (Special Publication 800-40) highlights that vulnerability scores alone do not reflect real operational exposure. An unpatched server residing in an isolated management VLAN with active intrusion monitoring exhibits far lower operational risk than an unencrypted developer laptop with open listening ports and disabled antivirus definitions. Supervised classification enables holistic multi-attribute synthesis, discovering non-linear interactions that traditional threshold-based systems overlook.</w:t>
      </w:r>
    </w:p>
    <w:p>
      <w:pPr>
        <w:spacing w:before="320" w:after="120"/>
      </w:pPr>
      <w:r>
        <w:rPr>
          <w:rFonts w:ascii="Helvetica" w:hAnsi="Helvetica"/>
          <w:b/>
          <w:color w:val="0F172A"/>
          <w:sz w:val="30"/>
        </w:rPr>
        <w:t>CHAPTER 5: DATASET TELEMETRY &amp; ATTRIBUTE DESCRIPTION</w:t>
      </w:r>
    </w:p>
    <w:p>
      <w:pPr>
        <w:spacing w:after="100" w:line="276" w:lineRule="auto"/>
      </w:pPr>
      <w:r>
        <w:rPr>
          <w:rFonts w:ascii="Helvetica" w:hAnsi="Helvetica"/>
          <w:color w:val="334155"/>
          <w:sz w:val="20"/>
        </w:rPr>
        <w:t>The dataset comprises 3,012 device instances (including 12 duplicate records for auditing verification) and 17 attributes: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293B"/>
          </w:tcPr>
          <w:p>
            <w:pPr>
              <w:jc w:val="center"/>
            </w:pPr>
            <w:r>
              <w:rPr>
                <w:rFonts w:ascii="Helvetica" w:hAnsi="Helvetica"/>
                <w:b/>
                <w:color w:val="FFFFFF"/>
                <w:sz w:val="18"/>
              </w:rPr>
              <w:t>Attribute Name</w:t>
            </w:r>
          </w:p>
        </w:tc>
        <w:tc>
          <w:tcPr>
            <w:tcW w:type="dxa" w:w="2340"/>
            <w:shd w:val="clear" w:color="auto" w:fill="1E293B"/>
          </w:tcPr>
          <w:p>
            <w:pPr>
              <w:jc w:val="center"/>
            </w:pPr>
            <w:r>
              <w:rPr>
                <w:rFonts w:ascii="Helvetica" w:hAnsi="Helvetica"/>
                <w:b/>
                <w:color w:val="FFFFFF"/>
                <w:sz w:val="18"/>
              </w:rPr>
              <w:t>Type</w:t>
            </w:r>
          </w:p>
        </w:tc>
        <w:tc>
          <w:tcPr>
            <w:tcW w:type="dxa" w:w="2340"/>
            <w:shd w:val="clear" w:color="auto" w:fill="1E293B"/>
          </w:tcPr>
          <w:p>
            <w:pPr>
              <w:jc w:val="center"/>
            </w:pPr>
            <w:r>
              <w:rPr>
                <w:rFonts w:ascii="Helvetica" w:hAnsi="Helvetica"/>
                <w:b/>
                <w:color w:val="FFFFFF"/>
                <w:sz w:val="18"/>
              </w:rPr>
              <w:t>Domain Range</w:t>
            </w:r>
          </w:p>
        </w:tc>
        <w:tc>
          <w:tcPr>
            <w:tcW w:type="dxa" w:w="2340"/>
            <w:shd w:val="clear" w:color="auto" w:fill="1E293B"/>
          </w:tcPr>
          <w:p>
            <w:pPr>
              <w:jc w:val="center"/>
            </w:pPr>
            <w:r>
              <w:rPr>
                <w:rFonts w:ascii="Helvetica" w:hAnsi="Helvetica"/>
                <w:b/>
                <w:color w:val="FFFFFF"/>
                <w:sz w:val="18"/>
              </w:rPr>
              <w:t>Operational Significance</w:t>
            </w:r>
          </w:p>
        </w:tc>
      </w:tr>
      <w:tr>
        <w:tc>
          <w:tcPr>
            <w:tcW w:type="dxa" w:w="2340"/>
            <w:shd w:val="clear" w:color="auto" w:fill="F8FAFC"/>
          </w:tcPr>
          <w:p>
            <w:r>
              <w:rPr>
                <w:rFonts w:ascii="Helvetica" w:hAnsi="Helvetica"/>
                <w:color w:val="334155"/>
                <w:sz w:val="17"/>
              </w:rPr>
              <w:t>Device_Type</w:t>
            </w:r>
          </w:p>
        </w:tc>
        <w:tc>
          <w:tcPr>
            <w:tcW w:type="dxa" w:w="2340"/>
            <w:shd w:val="clear" w:color="auto" w:fill="F8FAFC"/>
          </w:tcPr>
          <w:p>
            <w:r>
              <w:rPr>
                <w:rFonts w:ascii="Helvetica" w:hAnsi="Helvetica"/>
                <w:color w:val="334155"/>
                <w:sz w:val="17"/>
              </w:rPr>
              <w:t>Categorical</w:t>
            </w:r>
          </w:p>
        </w:tc>
        <w:tc>
          <w:tcPr>
            <w:tcW w:type="dxa" w:w="2340"/>
            <w:shd w:val="clear" w:color="auto" w:fill="F8FAFC"/>
          </w:tcPr>
          <w:p>
            <w:r>
              <w:rPr>
                <w:rFonts w:ascii="Helvetica" w:hAnsi="Helvetica"/>
                <w:color w:val="334155"/>
                <w:sz w:val="17"/>
              </w:rPr>
              <w:t>6 classes (Laptop, Server, etc.)</w:t>
            </w:r>
          </w:p>
        </w:tc>
        <w:tc>
          <w:tcPr>
            <w:tcW w:type="dxa" w:w="2340"/>
            <w:shd w:val="clear" w:color="auto" w:fill="F8FAFC"/>
          </w:tcPr>
          <w:p>
            <w:r>
              <w:rPr>
                <w:rFonts w:ascii="Helvetica" w:hAnsi="Helvetica"/>
                <w:color w:val="334155"/>
                <w:sz w:val="17"/>
              </w:rPr>
              <w:t>Baseline operational exposure tier</w:t>
            </w:r>
          </w:p>
        </w:tc>
      </w:tr>
      <w:tr>
        <w:tc>
          <w:tcPr>
            <w:tcW w:type="dxa" w:w="2340"/>
            <w:shd w:val="clear" w:color="auto" w:fill="FFFFFF"/>
          </w:tcPr>
          <w:p>
            <w:r>
              <w:rPr>
                <w:rFonts w:ascii="Helvetica" w:hAnsi="Helvetica"/>
                <w:color w:val="334155"/>
                <w:sz w:val="17"/>
              </w:rPr>
              <w:t>Operating_System</w:t>
            </w:r>
          </w:p>
        </w:tc>
        <w:tc>
          <w:tcPr>
            <w:tcW w:type="dxa" w:w="2340"/>
            <w:shd w:val="clear" w:color="auto" w:fill="FFFFFF"/>
          </w:tcPr>
          <w:p>
            <w:r>
              <w:rPr>
                <w:rFonts w:ascii="Helvetica" w:hAnsi="Helvetica"/>
                <w:color w:val="334155"/>
                <w:sz w:val="17"/>
              </w:rPr>
              <w:t>Categorical</w:t>
            </w:r>
          </w:p>
        </w:tc>
        <w:tc>
          <w:tcPr>
            <w:tcW w:type="dxa" w:w="2340"/>
            <w:shd w:val="clear" w:color="auto" w:fill="FFFFFF"/>
          </w:tcPr>
          <w:p>
            <w:r>
              <w:rPr>
                <w:rFonts w:ascii="Helvetica" w:hAnsi="Helvetica"/>
                <w:color w:val="334155"/>
                <w:sz w:val="17"/>
              </w:rPr>
              <w:t>11 OS classes (Win11, Linux, etc.)</w:t>
            </w:r>
          </w:p>
        </w:tc>
        <w:tc>
          <w:tcPr>
            <w:tcW w:type="dxa" w:w="2340"/>
            <w:shd w:val="clear" w:color="auto" w:fill="FFFFFF"/>
          </w:tcPr>
          <w:p>
            <w:r>
              <w:rPr>
                <w:rFonts w:ascii="Helvetica" w:hAnsi="Helvetica"/>
                <w:color w:val="334155"/>
                <w:sz w:val="17"/>
              </w:rPr>
              <w:t>Kernel update channel and attack vector profile</w:t>
            </w:r>
          </w:p>
        </w:tc>
      </w:tr>
      <w:tr>
        <w:tc>
          <w:tcPr>
            <w:tcW w:type="dxa" w:w="2340"/>
            <w:shd w:val="clear" w:color="auto" w:fill="F8FAFC"/>
          </w:tcPr>
          <w:p>
            <w:r>
              <w:rPr>
                <w:rFonts w:ascii="Helvetica" w:hAnsi="Helvetica"/>
                <w:color w:val="334155"/>
                <w:sz w:val="17"/>
              </w:rPr>
              <w:t>Device_Age_Months</w:t>
            </w:r>
          </w:p>
        </w:tc>
        <w:tc>
          <w:tcPr>
            <w:tcW w:type="dxa" w:w="2340"/>
            <w:shd w:val="clear" w:color="auto" w:fill="F8FAFC"/>
          </w:tcPr>
          <w:p>
            <w:r>
              <w:rPr>
                <w:rFonts w:ascii="Helvetica" w:hAnsi="Helvetica"/>
                <w:color w:val="334155"/>
                <w:sz w:val="17"/>
              </w:rPr>
              <w:t>Numerical</w:t>
            </w:r>
          </w:p>
        </w:tc>
        <w:tc>
          <w:tcPr>
            <w:tcW w:type="dxa" w:w="2340"/>
            <w:shd w:val="clear" w:color="auto" w:fill="F8FAFC"/>
          </w:tcPr>
          <w:p>
            <w:r>
              <w:rPr>
                <w:rFonts w:ascii="Helvetica" w:hAnsi="Helvetica"/>
                <w:color w:val="334155"/>
                <w:sz w:val="17"/>
              </w:rPr>
              <w:t>1 to 72 months</w:t>
            </w:r>
          </w:p>
        </w:tc>
        <w:tc>
          <w:tcPr>
            <w:tcW w:type="dxa" w:w="2340"/>
            <w:shd w:val="clear" w:color="auto" w:fill="F8FAFC"/>
          </w:tcPr>
          <w:p>
            <w:r>
              <w:rPr>
                <w:rFonts w:ascii="Helvetica" w:hAnsi="Helvetica"/>
                <w:color w:val="334155"/>
                <w:sz w:val="17"/>
              </w:rPr>
              <w:t>Hardware lifecycle and physical obsolescence</w:t>
            </w:r>
          </w:p>
        </w:tc>
      </w:tr>
      <w:tr>
        <w:tc>
          <w:tcPr>
            <w:tcW w:type="dxa" w:w="2340"/>
            <w:shd w:val="clear" w:color="auto" w:fill="FFFFFF"/>
          </w:tcPr>
          <w:p>
            <w:r>
              <w:rPr>
                <w:rFonts w:ascii="Helvetica" w:hAnsi="Helvetica"/>
                <w:color w:val="334155"/>
                <w:sz w:val="17"/>
              </w:rPr>
              <w:t>Firmware_Age_Months</w:t>
            </w:r>
          </w:p>
        </w:tc>
        <w:tc>
          <w:tcPr>
            <w:tcW w:type="dxa" w:w="2340"/>
            <w:shd w:val="clear" w:color="auto" w:fill="FFFFFF"/>
          </w:tcPr>
          <w:p>
            <w:r>
              <w:rPr>
                <w:rFonts w:ascii="Helvetica" w:hAnsi="Helvetica"/>
                <w:color w:val="334155"/>
                <w:sz w:val="17"/>
              </w:rPr>
              <w:t>Numerical</w:t>
            </w:r>
          </w:p>
        </w:tc>
        <w:tc>
          <w:tcPr>
            <w:tcW w:type="dxa" w:w="2340"/>
            <w:shd w:val="clear" w:color="auto" w:fill="FFFFFF"/>
          </w:tcPr>
          <w:p>
            <w:r>
              <w:rPr>
                <w:rFonts w:ascii="Helvetica" w:hAnsi="Helvetica"/>
                <w:color w:val="334155"/>
                <w:sz w:val="17"/>
              </w:rPr>
              <w:t>0 to 36 months</w:t>
            </w:r>
          </w:p>
        </w:tc>
        <w:tc>
          <w:tcPr>
            <w:tcW w:type="dxa" w:w="2340"/>
            <w:shd w:val="clear" w:color="auto" w:fill="FFFFFF"/>
          </w:tcPr>
          <w:p>
            <w:r>
              <w:rPr>
                <w:rFonts w:ascii="Helvetica" w:hAnsi="Helvetica"/>
                <w:color w:val="334155"/>
                <w:sz w:val="17"/>
              </w:rPr>
              <w:t>Latency since last BIOS/UEFI security flash</w:t>
            </w:r>
          </w:p>
        </w:tc>
      </w:tr>
      <w:tr>
        <w:tc>
          <w:tcPr>
            <w:tcW w:type="dxa" w:w="2340"/>
            <w:shd w:val="clear" w:color="auto" w:fill="F8FAFC"/>
          </w:tcPr>
          <w:p>
            <w:r>
              <w:rPr>
                <w:rFonts w:ascii="Helvetica" w:hAnsi="Helvetica"/>
                <w:color w:val="334155"/>
                <w:sz w:val="17"/>
              </w:rPr>
              <w:t>Failed_Login_Attempts</w:t>
            </w:r>
          </w:p>
        </w:tc>
        <w:tc>
          <w:tcPr>
            <w:tcW w:type="dxa" w:w="2340"/>
            <w:shd w:val="clear" w:color="auto" w:fill="F8FAFC"/>
          </w:tcPr>
          <w:p>
            <w:r>
              <w:rPr>
                <w:rFonts w:ascii="Helvetica" w:hAnsi="Helvetica"/>
                <w:color w:val="334155"/>
                <w:sz w:val="17"/>
              </w:rPr>
              <w:t>Numerical</w:t>
            </w:r>
          </w:p>
        </w:tc>
        <w:tc>
          <w:tcPr>
            <w:tcW w:type="dxa" w:w="2340"/>
            <w:shd w:val="clear" w:color="auto" w:fill="F8FAFC"/>
          </w:tcPr>
          <w:p>
            <w:r>
              <w:rPr>
                <w:rFonts w:ascii="Helvetica" w:hAnsi="Helvetica"/>
                <w:color w:val="334155"/>
                <w:sz w:val="17"/>
              </w:rPr>
              <w:t>0 to 50 attempts / month</w:t>
            </w:r>
          </w:p>
        </w:tc>
        <w:tc>
          <w:tcPr>
            <w:tcW w:type="dxa" w:w="2340"/>
            <w:shd w:val="clear" w:color="auto" w:fill="F8FAFC"/>
          </w:tcPr>
          <w:p>
            <w:r>
              <w:rPr>
                <w:rFonts w:ascii="Helvetica" w:hAnsi="Helvetica"/>
                <w:color w:val="334155"/>
                <w:sz w:val="17"/>
              </w:rPr>
              <w:t>Indicator of brute-force authentication activity</w:t>
            </w:r>
          </w:p>
        </w:tc>
      </w:tr>
      <w:tr>
        <w:tc>
          <w:tcPr>
            <w:tcW w:type="dxa" w:w="2340"/>
            <w:shd w:val="clear" w:color="auto" w:fill="FFFFFF"/>
          </w:tcPr>
          <w:p>
            <w:r>
              <w:rPr>
                <w:rFonts w:ascii="Helvetica" w:hAnsi="Helvetica"/>
                <w:color w:val="334155"/>
                <w:sz w:val="17"/>
              </w:rPr>
              <w:t>Open_Ports_Count</w:t>
            </w:r>
          </w:p>
        </w:tc>
        <w:tc>
          <w:tcPr>
            <w:tcW w:type="dxa" w:w="2340"/>
            <w:shd w:val="clear" w:color="auto" w:fill="FFFFFF"/>
          </w:tcPr>
          <w:p>
            <w:r>
              <w:rPr>
                <w:rFonts w:ascii="Helvetica" w:hAnsi="Helvetica"/>
                <w:color w:val="334155"/>
                <w:sz w:val="17"/>
              </w:rPr>
              <w:t>Numerical</w:t>
            </w:r>
          </w:p>
        </w:tc>
        <w:tc>
          <w:tcPr>
            <w:tcW w:type="dxa" w:w="2340"/>
            <w:shd w:val="clear" w:color="auto" w:fill="FFFFFF"/>
          </w:tcPr>
          <w:p>
            <w:r>
              <w:rPr>
                <w:rFonts w:ascii="Helvetica" w:hAnsi="Helvetica"/>
                <w:color w:val="334155"/>
                <w:sz w:val="17"/>
              </w:rPr>
              <w:t>1 to 25 ports</w:t>
            </w:r>
          </w:p>
        </w:tc>
        <w:tc>
          <w:tcPr>
            <w:tcW w:type="dxa" w:w="2340"/>
            <w:shd w:val="clear" w:color="auto" w:fill="FFFFFF"/>
          </w:tcPr>
          <w:p>
            <w:r>
              <w:rPr>
                <w:rFonts w:ascii="Helvetica" w:hAnsi="Helvetica"/>
                <w:color w:val="334155"/>
                <w:sz w:val="17"/>
              </w:rPr>
              <w:t>Network listening surface exposure</w:t>
            </w:r>
          </w:p>
        </w:tc>
      </w:tr>
      <w:tr>
        <w:tc>
          <w:tcPr>
            <w:tcW w:type="dxa" w:w="2340"/>
            <w:shd w:val="clear" w:color="auto" w:fill="F8FAFC"/>
          </w:tcPr>
          <w:p>
            <w:r>
              <w:rPr>
                <w:rFonts w:ascii="Helvetica" w:hAnsi="Helvetica"/>
                <w:color w:val="334155"/>
                <w:sz w:val="17"/>
              </w:rPr>
              <w:t>Vulnerability_Count</w:t>
            </w:r>
          </w:p>
        </w:tc>
        <w:tc>
          <w:tcPr>
            <w:tcW w:type="dxa" w:w="2340"/>
            <w:shd w:val="clear" w:color="auto" w:fill="F8FAFC"/>
          </w:tcPr>
          <w:p>
            <w:r>
              <w:rPr>
                <w:rFonts w:ascii="Helvetica" w:hAnsi="Helvetica"/>
                <w:color w:val="334155"/>
                <w:sz w:val="17"/>
              </w:rPr>
              <w:t>Numerical</w:t>
            </w:r>
          </w:p>
        </w:tc>
        <w:tc>
          <w:tcPr>
            <w:tcW w:type="dxa" w:w="2340"/>
            <w:shd w:val="clear" w:color="auto" w:fill="F8FAFC"/>
          </w:tcPr>
          <w:p>
            <w:r>
              <w:rPr>
                <w:rFonts w:ascii="Helvetica" w:hAnsi="Helvetica"/>
                <w:color w:val="334155"/>
                <w:sz w:val="17"/>
              </w:rPr>
              <w:t>0 to 20 CVEs</w:t>
            </w:r>
          </w:p>
        </w:tc>
        <w:tc>
          <w:tcPr>
            <w:tcW w:type="dxa" w:w="2340"/>
            <w:shd w:val="clear" w:color="auto" w:fill="F8FAFC"/>
          </w:tcPr>
          <w:p>
            <w:r>
              <w:rPr>
                <w:rFonts w:ascii="Helvetica" w:hAnsi="Helvetica"/>
                <w:color w:val="334155"/>
                <w:sz w:val="17"/>
              </w:rPr>
              <w:t>Known unmitigated software vulnerabilities</w:t>
            </w:r>
          </w:p>
        </w:tc>
      </w:tr>
      <w:tr>
        <w:tc>
          <w:tcPr>
            <w:tcW w:type="dxa" w:w="2340"/>
            <w:shd w:val="clear" w:color="auto" w:fill="FFFFFF"/>
          </w:tcPr>
          <w:p>
            <w:r>
              <w:rPr>
                <w:rFonts w:ascii="Helvetica" w:hAnsi="Helvetica"/>
                <w:color w:val="334155"/>
                <w:sz w:val="17"/>
              </w:rPr>
              <w:t>Security_Updates_Pending</w:t>
            </w:r>
          </w:p>
        </w:tc>
        <w:tc>
          <w:tcPr>
            <w:tcW w:type="dxa" w:w="2340"/>
            <w:shd w:val="clear" w:color="auto" w:fill="FFFFFF"/>
          </w:tcPr>
          <w:p>
            <w:r>
              <w:rPr>
                <w:rFonts w:ascii="Helvetica" w:hAnsi="Helvetica"/>
                <w:color w:val="334155"/>
                <w:sz w:val="17"/>
              </w:rPr>
              <w:t>Numerical</w:t>
            </w:r>
          </w:p>
        </w:tc>
        <w:tc>
          <w:tcPr>
            <w:tcW w:type="dxa" w:w="2340"/>
            <w:shd w:val="clear" w:color="auto" w:fill="FFFFFF"/>
          </w:tcPr>
          <w:p>
            <w:r>
              <w:rPr>
                <w:rFonts w:ascii="Helvetica" w:hAnsi="Helvetica"/>
                <w:color w:val="334155"/>
                <w:sz w:val="17"/>
              </w:rPr>
              <w:t>0 to 15 updates</w:t>
            </w:r>
          </w:p>
        </w:tc>
        <w:tc>
          <w:tcPr>
            <w:tcW w:type="dxa" w:w="2340"/>
            <w:shd w:val="clear" w:color="auto" w:fill="FFFFFF"/>
          </w:tcPr>
          <w:p>
            <w:r>
              <w:rPr>
                <w:rFonts w:ascii="Helvetica" w:hAnsi="Helvetica"/>
                <w:color w:val="334155"/>
                <w:sz w:val="17"/>
              </w:rPr>
              <w:t>Backlog of released operating system patches</w:t>
            </w:r>
          </w:p>
        </w:tc>
      </w:tr>
      <w:tr>
        <w:tc>
          <w:tcPr>
            <w:tcW w:type="dxa" w:w="2340"/>
            <w:shd w:val="clear" w:color="auto" w:fill="F8FAFC"/>
          </w:tcPr>
          <w:p>
            <w:r>
              <w:rPr>
                <w:rFonts w:ascii="Helvetica" w:hAnsi="Helvetica"/>
                <w:color w:val="334155"/>
                <w:sz w:val="17"/>
              </w:rPr>
              <w:t>Encryption_Enabled</w:t>
            </w:r>
          </w:p>
        </w:tc>
        <w:tc>
          <w:tcPr>
            <w:tcW w:type="dxa" w:w="2340"/>
            <w:shd w:val="clear" w:color="auto" w:fill="F8FAFC"/>
          </w:tcPr>
          <w:p>
            <w:r>
              <w:rPr>
                <w:rFonts w:ascii="Helvetica" w:hAnsi="Helvetica"/>
                <w:color w:val="334155"/>
                <w:sz w:val="17"/>
              </w:rPr>
              <w:t>Categorical</w:t>
            </w:r>
          </w:p>
        </w:tc>
        <w:tc>
          <w:tcPr>
            <w:tcW w:type="dxa" w:w="2340"/>
            <w:shd w:val="clear" w:color="auto" w:fill="F8FAFC"/>
          </w:tcPr>
          <w:p>
            <w:r>
              <w:rPr>
                <w:rFonts w:ascii="Helvetica" w:hAnsi="Helvetica"/>
                <w:color w:val="334155"/>
                <w:sz w:val="17"/>
              </w:rPr>
              <w:t>Yes, No</w:t>
            </w:r>
          </w:p>
        </w:tc>
        <w:tc>
          <w:tcPr>
            <w:tcW w:type="dxa" w:w="2340"/>
            <w:shd w:val="clear" w:color="auto" w:fill="F8FAFC"/>
          </w:tcPr>
          <w:p>
            <w:r>
              <w:rPr>
                <w:rFonts w:ascii="Helvetica" w:hAnsi="Helvetica"/>
                <w:color w:val="334155"/>
                <w:sz w:val="17"/>
              </w:rPr>
              <w:t>Full disk cryptographic data protection</w:t>
            </w:r>
          </w:p>
        </w:tc>
      </w:tr>
      <w:tr>
        <w:tc>
          <w:tcPr>
            <w:tcW w:type="dxa" w:w="2340"/>
            <w:shd w:val="clear" w:color="auto" w:fill="FFFFFF"/>
          </w:tcPr>
          <w:p>
            <w:r>
              <w:rPr>
                <w:rFonts w:ascii="Helvetica" w:hAnsi="Helvetica"/>
                <w:color w:val="334155"/>
                <w:sz w:val="17"/>
              </w:rPr>
              <w:t>Antivirus_Status</w:t>
            </w:r>
          </w:p>
        </w:tc>
        <w:tc>
          <w:tcPr>
            <w:tcW w:type="dxa" w:w="2340"/>
            <w:shd w:val="clear" w:color="auto" w:fill="FFFFFF"/>
          </w:tcPr>
          <w:p>
            <w:r>
              <w:rPr>
                <w:rFonts w:ascii="Helvetica" w:hAnsi="Helvetica"/>
                <w:color w:val="334155"/>
                <w:sz w:val="17"/>
              </w:rPr>
              <w:t>Categorical</w:t>
            </w:r>
          </w:p>
        </w:tc>
        <w:tc>
          <w:tcPr>
            <w:tcW w:type="dxa" w:w="2340"/>
            <w:shd w:val="clear" w:color="auto" w:fill="FFFFFF"/>
          </w:tcPr>
          <w:p>
            <w:r>
              <w:rPr>
                <w:rFonts w:ascii="Helvetica" w:hAnsi="Helvetica"/>
                <w:color w:val="334155"/>
                <w:sz w:val="17"/>
              </w:rPr>
              <w:t>Active, Outdated, Disabled</w:t>
            </w:r>
          </w:p>
        </w:tc>
        <w:tc>
          <w:tcPr>
            <w:tcW w:type="dxa" w:w="2340"/>
            <w:shd w:val="clear" w:color="auto" w:fill="FFFFFF"/>
          </w:tcPr>
          <w:p>
            <w:r>
              <w:rPr>
                <w:rFonts w:ascii="Helvetica" w:hAnsi="Helvetica"/>
                <w:color w:val="334155"/>
                <w:sz w:val="17"/>
              </w:rPr>
              <w:t>Endpoint detection and signature status</w:t>
            </w:r>
          </w:p>
        </w:tc>
      </w:tr>
      <w:tr>
        <w:tc>
          <w:tcPr>
            <w:tcW w:type="dxa" w:w="2340"/>
            <w:shd w:val="clear" w:color="auto" w:fill="F8FAFC"/>
          </w:tcPr>
          <w:p>
            <w:r>
              <w:rPr>
                <w:rFonts w:ascii="Helvetica" w:hAnsi="Helvetica"/>
                <w:color w:val="334155"/>
                <w:sz w:val="17"/>
              </w:rPr>
              <w:t>Suspicious_Activity_Flags</w:t>
            </w:r>
          </w:p>
        </w:tc>
        <w:tc>
          <w:tcPr>
            <w:tcW w:type="dxa" w:w="2340"/>
            <w:shd w:val="clear" w:color="auto" w:fill="F8FAFC"/>
          </w:tcPr>
          <w:p>
            <w:r>
              <w:rPr>
                <w:rFonts w:ascii="Helvetica" w:hAnsi="Helvetica"/>
                <w:color w:val="334155"/>
                <w:sz w:val="17"/>
              </w:rPr>
              <w:t>Numerical</w:t>
            </w:r>
          </w:p>
        </w:tc>
        <w:tc>
          <w:tcPr>
            <w:tcW w:type="dxa" w:w="2340"/>
            <w:shd w:val="clear" w:color="auto" w:fill="F8FAFC"/>
          </w:tcPr>
          <w:p>
            <w:r>
              <w:rPr>
                <w:rFonts w:ascii="Helvetica" w:hAnsi="Helvetica"/>
                <w:color w:val="334155"/>
                <w:sz w:val="17"/>
              </w:rPr>
              <w:t>0 to 10 alerts</w:t>
            </w:r>
          </w:p>
        </w:tc>
        <w:tc>
          <w:tcPr>
            <w:tcW w:type="dxa" w:w="2340"/>
            <w:shd w:val="clear" w:color="auto" w:fill="F8FAFC"/>
          </w:tcPr>
          <w:p>
            <w:r>
              <w:rPr>
                <w:rFonts w:ascii="Helvetica" w:hAnsi="Helvetica"/>
                <w:color w:val="334155"/>
                <w:sz w:val="17"/>
              </w:rPr>
              <w:t>Network IDS behavioral anomaly events</w:t>
            </w:r>
          </w:p>
        </w:tc>
      </w:tr>
      <w:tr>
        <w:tc>
          <w:tcPr>
            <w:tcW w:type="dxa" w:w="2340"/>
            <w:shd w:val="clear" w:color="auto" w:fill="FFFFFF"/>
          </w:tcPr>
          <w:p>
            <w:r>
              <w:rPr>
                <w:rFonts w:ascii="Helvetica" w:hAnsi="Helvetica"/>
                <w:color w:val="334155"/>
                <w:sz w:val="17"/>
              </w:rPr>
              <w:t>Average_Daily_Traffic_MB</w:t>
            </w:r>
          </w:p>
        </w:tc>
        <w:tc>
          <w:tcPr>
            <w:tcW w:type="dxa" w:w="2340"/>
            <w:shd w:val="clear" w:color="auto" w:fill="FFFFFF"/>
          </w:tcPr>
          <w:p>
            <w:r>
              <w:rPr>
                <w:rFonts w:ascii="Helvetica" w:hAnsi="Helvetica"/>
                <w:color w:val="334155"/>
                <w:sz w:val="17"/>
              </w:rPr>
              <w:t>Numerical</w:t>
            </w:r>
          </w:p>
        </w:tc>
        <w:tc>
          <w:tcPr>
            <w:tcW w:type="dxa" w:w="2340"/>
            <w:shd w:val="clear" w:color="auto" w:fill="FFFFFF"/>
          </w:tcPr>
          <w:p>
            <w:r>
              <w:rPr>
                <w:rFonts w:ascii="Helvetica" w:hAnsi="Helvetica"/>
                <w:color w:val="334155"/>
                <w:sz w:val="17"/>
              </w:rPr>
              <w:t>50.0 to 15,000.0 MB</w:t>
            </w:r>
          </w:p>
        </w:tc>
        <w:tc>
          <w:tcPr>
            <w:tcW w:type="dxa" w:w="2340"/>
            <w:shd w:val="clear" w:color="auto" w:fill="FFFFFF"/>
          </w:tcPr>
          <w:p>
            <w:r>
              <w:rPr>
                <w:rFonts w:ascii="Helvetica" w:hAnsi="Helvetica"/>
                <w:color w:val="334155"/>
                <w:sz w:val="17"/>
              </w:rPr>
              <w:t>Daily bandwidth consumption volume</w:t>
            </w:r>
          </w:p>
        </w:tc>
      </w:tr>
      <w:tr>
        <w:tc>
          <w:tcPr>
            <w:tcW w:type="dxa" w:w="2340"/>
            <w:shd w:val="clear" w:color="auto" w:fill="F8FAFC"/>
          </w:tcPr>
          <w:p>
            <w:r>
              <w:rPr>
                <w:rFonts w:ascii="Helvetica" w:hAnsi="Helvetica"/>
                <w:color w:val="334155"/>
                <w:sz w:val="17"/>
              </w:rPr>
              <w:t>Access_Frequency_Score</w:t>
            </w:r>
          </w:p>
        </w:tc>
        <w:tc>
          <w:tcPr>
            <w:tcW w:type="dxa" w:w="2340"/>
            <w:shd w:val="clear" w:color="auto" w:fill="F8FAFC"/>
          </w:tcPr>
          <w:p>
            <w:r>
              <w:rPr>
                <w:rFonts w:ascii="Helvetica" w:hAnsi="Helvetica"/>
                <w:color w:val="334155"/>
                <w:sz w:val="17"/>
              </w:rPr>
              <w:t>Numerical</w:t>
            </w:r>
          </w:p>
        </w:tc>
        <w:tc>
          <w:tcPr>
            <w:tcW w:type="dxa" w:w="2340"/>
            <w:shd w:val="clear" w:color="auto" w:fill="F8FAFC"/>
          </w:tcPr>
          <w:p>
            <w:r>
              <w:rPr>
                <w:rFonts w:ascii="Helvetica" w:hAnsi="Helvetica"/>
                <w:color w:val="334155"/>
                <w:sz w:val="17"/>
              </w:rPr>
              <w:t>1.0 to 10.0 index</w:t>
            </w:r>
          </w:p>
        </w:tc>
        <w:tc>
          <w:tcPr>
            <w:tcW w:type="dxa" w:w="2340"/>
            <w:shd w:val="clear" w:color="auto" w:fill="F8FAFC"/>
          </w:tcPr>
          <w:p>
            <w:r>
              <w:rPr>
                <w:rFonts w:ascii="Helvetica" w:hAnsi="Helvetica"/>
                <w:color w:val="334155"/>
                <w:sz w:val="17"/>
              </w:rPr>
              <w:t>User session access frequency index</w:t>
            </w:r>
          </w:p>
        </w:tc>
      </w:tr>
      <w:tr>
        <w:tc>
          <w:tcPr>
            <w:tcW w:type="dxa" w:w="2340"/>
            <w:shd w:val="clear" w:color="auto" w:fill="FFFFFF"/>
          </w:tcPr>
          <w:p>
            <w:r>
              <w:rPr>
                <w:rFonts w:ascii="Helvetica" w:hAnsi="Helvetica"/>
                <w:color w:val="334155"/>
                <w:sz w:val="17"/>
              </w:rPr>
              <w:t>Previous_Security_Incidents</w:t>
            </w:r>
          </w:p>
        </w:tc>
        <w:tc>
          <w:tcPr>
            <w:tcW w:type="dxa" w:w="2340"/>
            <w:shd w:val="clear" w:color="auto" w:fill="FFFFFF"/>
          </w:tcPr>
          <w:p>
            <w:r>
              <w:rPr>
                <w:rFonts w:ascii="Helvetica" w:hAnsi="Helvetica"/>
                <w:color w:val="334155"/>
                <w:sz w:val="17"/>
              </w:rPr>
              <w:t>Numerical</w:t>
            </w:r>
          </w:p>
        </w:tc>
        <w:tc>
          <w:tcPr>
            <w:tcW w:type="dxa" w:w="2340"/>
            <w:shd w:val="clear" w:color="auto" w:fill="FFFFFF"/>
          </w:tcPr>
          <w:p>
            <w:r>
              <w:rPr>
                <w:rFonts w:ascii="Helvetica" w:hAnsi="Helvetica"/>
                <w:color w:val="334155"/>
                <w:sz w:val="17"/>
              </w:rPr>
              <w:t>0 to 5 events</w:t>
            </w:r>
          </w:p>
        </w:tc>
        <w:tc>
          <w:tcPr>
            <w:tcW w:type="dxa" w:w="2340"/>
            <w:shd w:val="clear" w:color="auto" w:fill="FFFFFF"/>
          </w:tcPr>
          <w:p>
            <w:r>
              <w:rPr>
                <w:rFonts w:ascii="Helvetica" w:hAnsi="Helvetica"/>
                <w:color w:val="334155"/>
                <w:sz w:val="17"/>
              </w:rPr>
              <w:t>Historical quarantine and breach occurrences</w:t>
            </w:r>
          </w:p>
        </w:tc>
      </w:tr>
      <w:tr>
        <w:tc>
          <w:tcPr>
            <w:tcW w:type="dxa" w:w="2340"/>
            <w:shd w:val="clear" w:color="auto" w:fill="F8FAFC"/>
          </w:tcPr>
          <w:p>
            <w:r>
              <w:rPr>
                <w:rFonts w:ascii="Helvetica" w:hAnsi="Helvetica"/>
                <w:color w:val="334155"/>
                <w:sz w:val="17"/>
              </w:rPr>
              <w:t>Patch_Status</w:t>
            </w:r>
          </w:p>
        </w:tc>
        <w:tc>
          <w:tcPr>
            <w:tcW w:type="dxa" w:w="2340"/>
            <w:shd w:val="clear" w:color="auto" w:fill="F8FAFC"/>
          </w:tcPr>
          <w:p>
            <w:r>
              <w:rPr>
                <w:rFonts w:ascii="Helvetica" w:hAnsi="Helvetica"/>
                <w:color w:val="334155"/>
                <w:sz w:val="17"/>
              </w:rPr>
              <w:t>Categorical</w:t>
            </w:r>
          </w:p>
        </w:tc>
        <w:tc>
          <w:tcPr>
            <w:tcW w:type="dxa" w:w="2340"/>
            <w:shd w:val="clear" w:color="auto" w:fill="F8FAFC"/>
          </w:tcPr>
          <w:p>
            <w:r>
              <w:rPr>
                <w:rFonts w:ascii="Helvetica" w:hAnsi="Helvetica"/>
                <w:color w:val="334155"/>
                <w:sz w:val="17"/>
              </w:rPr>
              <w:t>Fully Patched, Partially, Outdated</w:t>
            </w:r>
          </w:p>
        </w:tc>
        <w:tc>
          <w:tcPr>
            <w:tcW w:type="dxa" w:w="2340"/>
            <w:shd w:val="clear" w:color="auto" w:fill="F8FAFC"/>
          </w:tcPr>
          <w:p>
            <w:r>
              <w:rPr>
                <w:rFonts w:ascii="Helvetica" w:hAnsi="Helvetica"/>
                <w:color w:val="334155"/>
                <w:sz w:val="17"/>
              </w:rPr>
              <w:t>Qualitative compliance categorization</w:t>
            </w:r>
          </w:p>
        </w:tc>
      </w:tr>
      <w:tr>
        <w:tc>
          <w:tcPr>
            <w:tcW w:type="dxa" w:w="2340"/>
            <w:shd w:val="clear" w:color="auto" w:fill="FFFFFF"/>
          </w:tcPr>
          <w:p>
            <w:r>
              <w:rPr>
                <w:rFonts w:ascii="Helvetica" w:hAnsi="Helvetica"/>
                <w:color w:val="334155"/>
                <w:sz w:val="17"/>
              </w:rPr>
              <w:t>Risk_Level</w:t>
            </w:r>
          </w:p>
        </w:tc>
        <w:tc>
          <w:tcPr>
            <w:tcW w:type="dxa" w:w="2340"/>
            <w:shd w:val="clear" w:color="auto" w:fill="FFFFFF"/>
          </w:tcPr>
          <w:p>
            <w:r>
              <w:rPr>
                <w:rFonts w:ascii="Helvetica" w:hAnsi="Helvetica"/>
                <w:color w:val="334155"/>
                <w:sz w:val="17"/>
              </w:rPr>
              <w:t>Target</w:t>
            </w:r>
          </w:p>
        </w:tc>
        <w:tc>
          <w:tcPr>
            <w:tcW w:type="dxa" w:w="2340"/>
            <w:shd w:val="clear" w:color="auto" w:fill="FFFFFF"/>
          </w:tcPr>
          <w:p>
            <w:r>
              <w:rPr>
                <w:rFonts w:ascii="Helvetica" w:hAnsi="Helvetica"/>
                <w:color w:val="334155"/>
                <w:sz w:val="17"/>
              </w:rPr>
              <w:t>Low Risk, Medium Risk, High Risk</w:t>
            </w:r>
          </w:p>
        </w:tc>
        <w:tc>
          <w:tcPr>
            <w:tcW w:type="dxa" w:w="2340"/>
            <w:shd w:val="clear" w:color="auto" w:fill="FFFFFF"/>
          </w:tcPr>
          <w:p>
            <w:r>
              <w:rPr>
                <w:rFonts w:ascii="Helvetica" w:hAnsi="Helvetica"/>
                <w:color w:val="334155"/>
                <w:sz w:val="17"/>
              </w:rPr>
              <w:t>Supervised classification ground truth</w:t>
            </w:r>
          </w:p>
        </w:tc>
      </w:tr>
    </w:tbl>
    <w:p>
      <w:pPr>
        <w:spacing w:after="120"/>
      </w:pPr>
    </w:p>
    <w:p>
      <w:pPr>
        <w:spacing w:before="320" w:after="120"/>
      </w:pPr>
      <w:r>
        <w:rPr>
          <w:rFonts w:ascii="Helvetica" w:hAnsi="Helvetica"/>
          <w:b/>
          <w:color w:val="0F172A"/>
          <w:sz w:val="30"/>
        </w:rPr>
        <w:t>CHAPTER 6: DATA PREPROCESSING &amp; CLEANING</w:t>
      </w:r>
    </w:p>
    <w:p>
      <w:pPr>
        <w:spacing w:after="100" w:line="276" w:lineRule="auto"/>
      </w:pPr>
      <w:r>
        <w:rPr>
          <w:rFonts w:ascii="Helvetica" w:hAnsi="Helvetica"/>
          <w:color w:val="334155"/>
          <w:sz w:val="20"/>
        </w:rPr>
        <w:t>1. Deduplication: The 12 duplicate records were removed, yielding exactly 3,000 clean device records.</w:t>
      </w:r>
    </w:p>
    <w:p>
      <w:pPr>
        <w:spacing w:after="100" w:line="276" w:lineRule="auto"/>
      </w:pPr>
      <w:r>
        <w:rPr>
          <w:rFonts w:ascii="Helvetica" w:hAnsi="Helvetica"/>
          <w:color w:val="334155"/>
          <w:sz w:val="20"/>
        </w:rPr>
        <w:t>2. Casing Standardization: Inconsistent strings in Antivirus_Status ('active', 'ACTIVE') were standardized to 'Active'.</w:t>
      </w:r>
    </w:p>
    <w:p>
      <w:pPr>
        <w:spacing w:after="100" w:line="276" w:lineRule="auto"/>
      </w:pPr>
      <w:r>
        <w:rPr>
          <w:rFonts w:ascii="Helvetica" w:hAnsi="Helvetica"/>
          <w:color w:val="334155"/>
          <w:sz w:val="20"/>
        </w:rPr>
        <w:t>3. Missing Value Imputation: Numeric fields (Average_Daily_Traffic_MB, Firmware_Age_Months) were imputed using median values to preserve distribution medians; categorical Patch_Status was imputed using the mode ('Fully Patched').</w:t>
      </w:r>
    </w:p>
    <w:p>
      <w:pPr>
        <w:spacing w:after="100" w:line="276" w:lineRule="auto"/>
      </w:pPr>
      <w:r>
        <w:rPr>
          <w:rFonts w:ascii="Helvetica" w:hAnsi="Helvetica"/>
          <w:color w:val="334155"/>
          <w:sz w:val="20"/>
        </w:rPr>
        <w:t>4. Pipeline Architecture: ColumnTransformer was employed to route numerical columns to SimpleImputer(median) + StandardScaler(), and categorical columns to SimpleImputer(mode) + OneHotEncoder(handle_unknown='ignore').</w:t>
      </w:r>
    </w:p>
    <w:p>
      <w:pPr>
        <w:spacing w:before="320" w:after="120"/>
      </w:pPr>
      <w:r>
        <w:rPr>
          <w:rFonts w:ascii="Helvetica" w:hAnsi="Helvetica"/>
          <w:b/>
          <w:color w:val="0F172A"/>
          <w:sz w:val="30"/>
        </w:rPr>
        <w:t>CHAPTER 7: EXPLORATORY DATA ANALYSIS (EDA)</w:t>
      </w:r>
    </w:p>
    <w:p>
      <w:pPr>
        <w:spacing w:after="100" w:line="276" w:lineRule="auto"/>
      </w:pPr>
      <w:r>
        <w:rPr>
          <w:rFonts w:ascii="Helvetica" w:hAnsi="Helvetica"/>
          <w:color w:val="334155"/>
          <w:sz w:val="20"/>
        </w:rPr>
        <w:t>Key empirical findings from exploratory analysis:</w:t>
      </w:r>
    </w:p>
    <w:p>
      <w:pPr>
        <w:pStyle w:val="ListBullet"/>
        <w:spacing w:after="60" w:line="276" w:lineRule="auto"/>
      </w:pPr>
      <w:r>
        <w:rPr>
          <w:rFonts w:ascii="Helvetica" w:hAnsi="Helvetica"/>
          <w:color w:val="334155"/>
          <w:sz w:val="20"/>
        </w:rPr>
        <w:t>Target Class Balance: The clean fleet exhibits 1,264 Medium Risk (42.1%), 964 Low Risk (32.1%), and 772 High Risk (25.7%) devices.</w:t>
      </w:r>
    </w:p>
    <w:p>
      <w:pPr>
        <w:pStyle w:val="ListBullet"/>
        <w:spacing w:after="60" w:line="276" w:lineRule="auto"/>
      </w:pPr>
      <w:r>
        <w:rPr>
          <w:rFonts w:ascii="Helvetica" w:hAnsi="Helvetica"/>
          <w:color w:val="334155"/>
          <w:sz w:val="20"/>
        </w:rPr>
        <w:t>Vulnerability Distribution: High Risk devices display a median of 12 unpatched CVEs, compared to 5 for Medium Risk and 1 for Low Risk devices.</w:t>
      </w:r>
    </w:p>
    <w:p>
      <w:pPr>
        <w:pStyle w:val="ListBullet"/>
        <w:spacing w:after="60" w:line="276" w:lineRule="auto"/>
      </w:pPr>
      <w:r>
        <w:rPr>
          <w:rFonts w:ascii="Helvetica" w:hAnsi="Helvetica"/>
          <w:color w:val="334155"/>
          <w:sz w:val="20"/>
        </w:rPr>
        <w:t>Antivirus Influence: Devices with disabled antivirus protection showed a &gt;75% probability of falling into the High Risk tier.</w:t>
      </w:r>
    </w:p>
    <w:p>
      <w:pPr>
        <w:pStyle w:val="ListBullet"/>
        <w:spacing w:after="60" w:line="276" w:lineRule="auto"/>
      </w:pPr>
      <w:r>
        <w:rPr>
          <w:rFonts w:ascii="Helvetica" w:hAnsi="Helvetica"/>
          <w:color w:val="334155"/>
          <w:sz w:val="20"/>
        </w:rPr>
        <w:t>Perimeter Exposure: Open ports and failed login spikes strongly correlate with suspicious activity alerts (Pearson r = 0.52).</w:t>
      </w:r>
    </w:p>
    <w:p>
      <w:pPr>
        <w:spacing w:before="320" w:after="120"/>
      </w:pPr>
      <w:r>
        <w:rPr>
          <w:rFonts w:ascii="Helvetica" w:hAnsi="Helvetica"/>
          <w:b/>
          <w:color w:val="0F172A"/>
          <w:sz w:val="30"/>
        </w:rPr>
        <w:t>CHAPTER 8: MACHINE LEARNING METHODOLOGY</w:t>
      </w:r>
    </w:p>
    <w:p>
      <w:pPr>
        <w:spacing w:after="100" w:line="276" w:lineRule="auto"/>
      </w:pPr>
      <w:r>
        <w:rPr>
          <w:rFonts w:ascii="Helvetica" w:hAnsi="Helvetica"/>
          <w:color w:val="334155"/>
          <w:sz w:val="20"/>
        </w:rPr>
        <w:t>To prevent data leakage, all preprocessing transformations were fit strictly on the 80% training split (2,400 samples) and applied to the 20% test split (600 samples). Stratified sampling guaranteed identical class proportions across both subsets. A 5-fold Stratified Cross-Validation scheme was employed during hyperparameter tuning.</w:t>
      </w:r>
    </w:p>
    <w:p>
      <w:pPr>
        <w:spacing w:before="320" w:after="120"/>
      </w:pPr>
      <w:r>
        <w:rPr>
          <w:rFonts w:ascii="Helvetica" w:hAnsi="Helvetica"/>
          <w:b/>
          <w:color w:val="0F172A"/>
          <w:sz w:val="30"/>
        </w:rPr>
        <w:t>CHAPTER 9: ALGORITHMS EVALUATED</w:t>
      </w:r>
    </w:p>
    <w:p>
      <w:pPr>
        <w:spacing w:after="100" w:line="276" w:lineRule="auto"/>
      </w:pPr>
      <w:r>
        <w:rPr>
          <w:rFonts w:ascii="Helvetica" w:hAnsi="Helvetica"/>
          <w:color w:val="334155"/>
          <w:sz w:val="20"/>
        </w:rPr>
        <w:t>Six core algorithms representing linear, non-parametric, distance-based, kernel, bagging, and boosting paradigms were evaluated: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293B"/>
          </w:tcPr>
          <w:p>
            <w:pPr>
              <w:jc w:val="center"/>
            </w:pPr>
            <w:r>
              <w:rPr>
                <w:rFonts w:ascii="Helvetica" w:hAnsi="Helvetica"/>
                <w:b/>
                <w:color w:val="FFFFFF"/>
                <w:sz w:val="18"/>
              </w:rPr>
              <w:t>Algorithm</w:t>
            </w:r>
          </w:p>
        </w:tc>
        <w:tc>
          <w:tcPr>
            <w:tcW w:type="dxa" w:w="2340"/>
            <w:shd w:val="clear" w:color="auto" w:fill="1E293B"/>
          </w:tcPr>
          <w:p>
            <w:pPr>
              <w:jc w:val="center"/>
            </w:pPr>
            <w:r>
              <w:rPr>
                <w:rFonts w:ascii="Helvetica" w:hAnsi="Helvetica"/>
                <w:b/>
                <w:color w:val="FFFFFF"/>
                <w:sz w:val="18"/>
              </w:rPr>
              <w:t>Paradigm</w:t>
            </w:r>
          </w:p>
        </w:tc>
        <w:tc>
          <w:tcPr>
            <w:tcW w:type="dxa" w:w="2340"/>
            <w:shd w:val="clear" w:color="auto" w:fill="1E293B"/>
          </w:tcPr>
          <w:p>
            <w:pPr>
              <w:jc w:val="center"/>
            </w:pPr>
            <w:r>
              <w:rPr>
                <w:rFonts w:ascii="Helvetica" w:hAnsi="Helvetica"/>
                <w:b/>
                <w:color w:val="FFFFFF"/>
                <w:sz w:val="18"/>
              </w:rPr>
              <w:t>Primary Advantage</w:t>
            </w:r>
          </w:p>
        </w:tc>
        <w:tc>
          <w:tcPr>
            <w:tcW w:type="dxa" w:w="2340"/>
            <w:shd w:val="clear" w:color="auto" w:fill="1E293B"/>
          </w:tcPr>
          <w:p>
            <w:pPr>
              <w:jc w:val="center"/>
            </w:pPr>
            <w:r>
              <w:rPr>
                <w:rFonts w:ascii="Helvetica" w:hAnsi="Helvetica"/>
                <w:b/>
                <w:color w:val="FFFFFF"/>
                <w:sz w:val="18"/>
              </w:rPr>
              <w:t>Key Limitation</w:t>
            </w:r>
          </w:p>
        </w:tc>
      </w:tr>
      <w:tr>
        <w:tc>
          <w:tcPr>
            <w:tcW w:type="dxa" w:w="2340"/>
            <w:shd w:val="clear" w:color="auto" w:fill="F8FAFC"/>
          </w:tcPr>
          <w:p>
            <w:r>
              <w:rPr>
                <w:rFonts w:ascii="Helvetica" w:hAnsi="Helvetica"/>
                <w:color w:val="334155"/>
                <w:sz w:val="17"/>
              </w:rPr>
              <w:t>Logistic Regression</w:t>
            </w:r>
          </w:p>
        </w:tc>
        <w:tc>
          <w:tcPr>
            <w:tcW w:type="dxa" w:w="2340"/>
            <w:shd w:val="clear" w:color="auto" w:fill="F8FAFC"/>
          </w:tcPr>
          <w:p>
            <w:r>
              <w:rPr>
                <w:rFonts w:ascii="Helvetica" w:hAnsi="Helvetica"/>
                <w:color w:val="334155"/>
                <w:sz w:val="17"/>
              </w:rPr>
              <w:t>Generalized Linear</w:t>
            </w:r>
          </w:p>
        </w:tc>
        <w:tc>
          <w:tcPr>
            <w:tcW w:type="dxa" w:w="2340"/>
            <w:shd w:val="clear" w:color="auto" w:fill="F8FAFC"/>
          </w:tcPr>
          <w:p>
            <w:r>
              <w:rPr>
                <w:rFonts w:ascii="Helvetica" w:hAnsi="Helvetica"/>
                <w:color w:val="334155"/>
                <w:sz w:val="17"/>
              </w:rPr>
              <w:t>Fast, convex, highly interpretable odds ratios</w:t>
            </w:r>
          </w:p>
        </w:tc>
        <w:tc>
          <w:tcPr>
            <w:tcW w:type="dxa" w:w="2340"/>
            <w:shd w:val="clear" w:color="auto" w:fill="F8FAFC"/>
          </w:tcPr>
          <w:p>
            <w:r>
              <w:rPr>
                <w:rFonts w:ascii="Helvetica" w:hAnsi="Helvetica"/>
                <w:color w:val="334155"/>
                <w:sz w:val="17"/>
              </w:rPr>
              <w:t>Requires linear decision boundaries</w:t>
            </w:r>
          </w:p>
        </w:tc>
      </w:tr>
      <w:tr>
        <w:tc>
          <w:tcPr>
            <w:tcW w:type="dxa" w:w="2340"/>
            <w:shd w:val="clear" w:color="auto" w:fill="FFFFFF"/>
          </w:tcPr>
          <w:p>
            <w:r>
              <w:rPr>
                <w:rFonts w:ascii="Helvetica" w:hAnsi="Helvetica"/>
                <w:color w:val="334155"/>
                <w:sz w:val="17"/>
              </w:rPr>
              <w:t>Decision Tree</w:t>
            </w:r>
          </w:p>
        </w:tc>
        <w:tc>
          <w:tcPr>
            <w:tcW w:type="dxa" w:w="2340"/>
            <w:shd w:val="clear" w:color="auto" w:fill="FFFFFF"/>
          </w:tcPr>
          <w:p>
            <w:r>
              <w:rPr>
                <w:rFonts w:ascii="Helvetica" w:hAnsi="Helvetica"/>
                <w:color w:val="334155"/>
                <w:sz w:val="17"/>
              </w:rPr>
              <w:t>Rule-based Non-parametric</w:t>
            </w:r>
          </w:p>
        </w:tc>
        <w:tc>
          <w:tcPr>
            <w:tcW w:type="dxa" w:w="2340"/>
            <w:shd w:val="clear" w:color="auto" w:fill="FFFFFF"/>
          </w:tcPr>
          <w:p>
            <w:r>
              <w:rPr>
                <w:rFonts w:ascii="Helvetica" w:hAnsi="Helvetica"/>
                <w:color w:val="334155"/>
                <w:sz w:val="17"/>
              </w:rPr>
              <w:t>Intuitive decision splits, handles non-linearities</w:t>
            </w:r>
          </w:p>
        </w:tc>
        <w:tc>
          <w:tcPr>
            <w:tcW w:type="dxa" w:w="2340"/>
            <w:shd w:val="clear" w:color="auto" w:fill="FFFFFF"/>
          </w:tcPr>
          <w:p>
            <w:r>
              <w:rPr>
                <w:rFonts w:ascii="Helvetica" w:hAnsi="Helvetica"/>
                <w:color w:val="334155"/>
                <w:sz w:val="17"/>
              </w:rPr>
              <w:t>High variance, prone to overfitting</w:t>
            </w:r>
          </w:p>
        </w:tc>
      </w:tr>
      <w:tr>
        <w:tc>
          <w:tcPr>
            <w:tcW w:type="dxa" w:w="2340"/>
            <w:shd w:val="clear" w:color="auto" w:fill="F8FAFC"/>
          </w:tcPr>
          <w:p>
            <w:r>
              <w:rPr>
                <w:rFonts w:ascii="Helvetica" w:hAnsi="Helvetica"/>
                <w:color w:val="334155"/>
                <w:sz w:val="17"/>
              </w:rPr>
              <w:t>K-Nearest Neighbors</w:t>
            </w:r>
          </w:p>
        </w:tc>
        <w:tc>
          <w:tcPr>
            <w:tcW w:type="dxa" w:w="2340"/>
            <w:shd w:val="clear" w:color="auto" w:fill="F8FAFC"/>
          </w:tcPr>
          <w:p>
            <w:r>
              <w:rPr>
                <w:rFonts w:ascii="Helvetica" w:hAnsi="Helvetica"/>
                <w:color w:val="334155"/>
                <w:sz w:val="17"/>
              </w:rPr>
              <w:t>Instance-based Distance</w:t>
            </w:r>
          </w:p>
        </w:tc>
        <w:tc>
          <w:tcPr>
            <w:tcW w:type="dxa" w:w="2340"/>
            <w:shd w:val="clear" w:color="auto" w:fill="F8FAFC"/>
          </w:tcPr>
          <w:p>
            <w:r>
              <w:rPr>
                <w:rFonts w:ascii="Helvetica" w:hAnsi="Helvetica"/>
                <w:color w:val="334155"/>
                <w:sz w:val="17"/>
              </w:rPr>
              <w:t>No training phase, adapts to localized clusters</w:t>
            </w:r>
          </w:p>
        </w:tc>
        <w:tc>
          <w:tcPr>
            <w:tcW w:type="dxa" w:w="2340"/>
            <w:shd w:val="clear" w:color="auto" w:fill="F8FAFC"/>
          </w:tcPr>
          <w:p>
            <w:r>
              <w:rPr>
                <w:rFonts w:ascii="Helvetica" w:hAnsi="Helvetica"/>
                <w:color w:val="334155"/>
                <w:sz w:val="17"/>
              </w:rPr>
              <w:t>High inference cost, sensitive to irrelevant features</w:t>
            </w:r>
          </w:p>
        </w:tc>
      </w:tr>
      <w:tr>
        <w:tc>
          <w:tcPr>
            <w:tcW w:type="dxa" w:w="2340"/>
            <w:shd w:val="clear" w:color="auto" w:fill="FFFFFF"/>
          </w:tcPr>
          <w:p>
            <w:r>
              <w:rPr>
                <w:rFonts w:ascii="Helvetica" w:hAnsi="Helvetica"/>
                <w:color w:val="334155"/>
                <w:sz w:val="17"/>
              </w:rPr>
              <w:t>Support Vector Machine</w:t>
            </w:r>
          </w:p>
        </w:tc>
        <w:tc>
          <w:tcPr>
            <w:tcW w:type="dxa" w:w="2340"/>
            <w:shd w:val="clear" w:color="auto" w:fill="FFFFFF"/>
          </w:tcPr>
          <w:p>
            <w:r>
              <w:rPr>
                <w:rFonts w:ascii="Helvetica" w:hAnsi="Helvetica"/>
                <w:color w:val="334155"/>
                <w:sz w:val="17"/>
              </w:rPr>
              <w:t>Kernel Maximum Margin</w:t>
            </w:r>
          </w:p>
        </w:tc>
        <w:tc>
          <w:tcPr>
            <w:tcW w:type="dxa" w:w="2340"/>
            <w:shd w:val="clear" w:color="auto" w:fill="FFFFFF"/>
          </w:tcPr>
          <w:p>
            <w:r>
              <w:rPr>
                <w:rFonts w:ascii="Helvetica" w:hAnsi="Helvetica"/>
                <w:color w:val="334155"/>
                <w:sz w:val="17"/>
              </w:rPr>
              <w:t>Effective in high-dimensional transformed spaces</w:t>
            </w:r>
          </w:p>
        </w:tc>
        <w:tc>
          <w:tcPr>
            <w:tcW w:type="dxa" w:w="2340"/>
            <w:shd w:val="clear" w:color="auto" w:fill="FFFFFF"/>
          </w:tcPr>
          <w:p>
            <w:r>
              <w:rPr>
                <w:rFonts w:ascii="Helvetica" w:hAnsi="Helvetica"/>
                <w:color w:val="334155"/>
                <w:sz w:val="17"/>
              </w:rPr>
              <w:t>Higher training compute, slower scaling</w:t>
            </w:r>
          </w:p>
        </w:tc>
      </w:tr>
      <w:tr>
        <w:tc>
          <w:tcPr>
            <w:tcW w:type="dxa" w:w="2340"/>
            <w:shd w:val="clear" w:color="auto" w:fill="F8FAFC"/>
          </w:tcPr>
          <w:p>
            <w:r>
              <w:rPr>
                <w:rFonts w:ascii="Helvetica" w:hAnsi="Helvetica"/>
                <w:color w:val="334155"/>
                <w:sz w:val="17"/>
              </w:rPr>
              <w:t>Random Forest</w:t>
            </w:r>
          </w:p>
        </w:tc>
        <w:tc>
          <w:tcPr>
            <w:tcW w:type="dxa" w:w="2340"/>
            <w:shd w:val="clear" w:color="auto" w:fill="F8FAFC"/>
          </w:tcPr>
          <w:p>
            <w:r>
              <w:rPr>
                <w:rFonts w:ascii="Helvetica" w:hAnsi="Helvetica"/>
                <w:color w:val="334155"/>
                <w:sz w:val="17"/>
              </w:rPr>
              <w:t>Bagging Ensemble</w:t>
            </w:r>
          </w:p>
        </w:tc>
        <w:tc>
          <w:tcPr>
            <w:tcW w:type="dxa" w:w="2340"/>
            <w:shd w:val="clear" w:color="auto" w:fill="F8FAFC"/>
          </w:tcPr>
          <w:p>
            <w:r>
              <w:rPr>
                <w:rFonts w:ascii="Helvetica" w:hAnsi="Helvetica"/>
                <w:color w:val="334155"/>
                <w:sz w:val="17"/>
              </w:rPr>
              <w:t>Reduces variance via bootstrap aggregation</w:t>
            </w:r>
          </w:p>
        </w:tc>
        <w:tc>
          <w:tcPr>
            <w:tcW w:type="dxa" w:w="2340"/>
            <w:shd w:val="clear" w:color="auto" w:fill="F8FAFC"/>
          </w:tcPr>
          <w:p>
            <w:r>
              <w:rPr>
                <w:rFonts w:ascii="Helvetica" w:hAnsi="Helvetica"/>
                <w:color w:val="334155"/>
                <w:sz w:val="17"/>
              </w:rPr>
              <w:t>Ensemble size increases memory footprint</w:t>
            </w:r>
          </w:p>
        </w:tc>
      </w:tr>
      <w:tr>
        <w:tc>
          <w:tcPr>
            <w:tcW w:type="dxa" w:w="2340"/>
            <w:shd w:val="clear" w:color="auto" w:fill="FFFFFF"/>
          </w:tcPr>
          <w:p>
            <w:r>
              <w:rPr>
                <w:rFonts w:ascii="Helvetica" w:hAnsi="Helvetica"/>
                <w:color w:val="334155"/>
                <w:sz w:val="17"/>
              </w:rPr>
              <w:t>Gradient Boosting</w:t>
            </w:r>
          </w:p>
        </w:tc>
        <w:tc>
          <w:tcPr>
            <w:tcW w:type="dxa" w:w="2340"/>
            <w:shd w:val="clear" w:color="auto" w:fill="FFFFFF"/>
          </w:tcPr>
          <w:p>
            <w:r>
              <w:rPr>
                <w:rFonts w:ascii="Helvetica" w:hAnsi="Helvetica"/>
                <w:color w:val="334155"/>
                <w:sz w:val="17"/>
              </w:rPr>
              <w:t>Boosting Ensemble</w:t>
            </w:r>
          </w:p>
        </w:tc>
        <w:tc>
          <w:tcPr>
            <w:tcW w:type="dxa" w:w="2340"/>
            <w:shd w:val="clear" w:color="auto" w:fill="FFFFFF"/>
          </w:tcPr>
          <w:p>
            <w:r>
              <w:rPr>
                <w:rFonts w:ascii="Helvetica" w:hAnsi="Helvetica"/>
                <w:color w:val="334155"/>
                <w:sz w:val="17"/>
              </w:rPr>
              <w:t>Sequentially minimizes pseudo-residuals</w:t>
            </w:r>
          </w:p>
        </w:tc>
        <w:tc>
          <w:tcPr>
            <w:tcW w:type="dxa" w:w="2340"/>
            <w:shd w:val="clear" w:color="auto" w:fill="FFFFFF"/>
          </w:tcPr>
          <w:p>
            <w:r>
              <w:rPr>
                <w:rFonts w:ascii="Helvetica" w:hAnsi="Helvetica"/>
                <w:color w:val="334155"/>
                <w:sz w:val="17"/>
              </w:rPr>
              <w:t>Sensitive to noisy labels, prone to overfit if unregularized</w:t>
            </w:r>
          </w:p>
        </w:tc>
      </w:tr>
    </w:tbl>
    <w:p>
      <w:pPr>
        <w:spacing w:after="120"/>
      </w:pPr>
    </w:p>
    <w:p>
      <w:pPr>
        <w:spacing w:before="320" w:after="120"/>
      </w:pPr>
      <w:r>
        <w:rPr>
          <w:rFonts w:ascii="Helvetica" w:hAnsi="Helvetica"/>
          <w:b/>
          <w:color w:val="0F172A"/>
          <w:sz w:val="30"/>
        </w:rPr>
        <w:t>CHAPTER 10, 11 &amp; 12: MODEL TRAINING, EVALUATION &amp; COMPARISON</w:t>
      </w:r>
    </w:p>
    <w:p>
      <w:pPr>
        <w:spacing w:after="100" w:line="276" w:lineRule="auto"/>
      </w:pPr>
      <w:r>
        <w:rPr>
          <w:rFonts w:ascii="Helvetica" w:hAnsi="Helvetica"/>
          <w:color w:val="334155"/>
          <w:sz w:val="20"/>
        </w:rPr>
        <w:t>All six classifiers were trained under identical pipeline conditions. Multi-class metrics were calculated using weighted averaging: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color="auto" w:fill="1E293B"/>
          </w:tcPr>
          <w:p>
            <w:pPr>
              <w:jc w:val="center"/>
            </w:pPr>
            <w:r>
              <w:rPr>
                <w:rFonts w:ascii="Helvetica" w:hAnsi="Helvetica"/>
                <w:b/>
                <w:color w:val="FFFFFF"/>
                <w:sz w:val="18"/>
              </w:rPr>
              <w:t>Algorithm</w:t>
            </w:r>
          </w:p>
        </w:tc>
        <w:tc>
          <w:tcPr>
            <w:tcW w:type="dxa" w:w="1560"/>
            <w:shd w:val="clear" w:color="auto" w:fill="1E293B"/>
          </w:tcPr>
          <w:p>
            <w:pPr>
              <w:jc w:val="center"/>
            </w:pPr>
            <w:r>
              <w:rPr>
                <w:rFonts w:ascii="Helvetica" w:hAnsi="Helvetica"/>
                <w:b/>
                <w:color w:val="FFFFFF"/>
                <w:sz w:val="18"/>
              </w:rPr>
              <w:t>Accuracy</w:t>
            </w:r>
          </w:p>
        </w:tc>
        <w:tc>
          <w:tcPr>
            <w:tcW w:type="dxa" w:w="1560"/>
            <w:shd w:val="clear" w:color="auto" w:fill="1E293B"/>
          </w:tcPr>
          <w:p>
            <w:pPr>
              <w:jc w:val="center"/>
            </w:pPr>
            <w:r>
              <w:rPr>
                <w:rFonts w:ascii="Helvetica" w:hAnsi="Helvetica"/>
                <w:b/>
                <w:color w:val="FFFFFF"/>
                <w:sz w:val="18"/>
              </w:rPr>
              <w:t>Precision</w:t>
            </w:r>
          </w:p>
        </w:tc>
        <w:tc>
          <w:tcPr>
            <w:tcW w:type="dxa" w:w="1560"/>
            <w:shd w:val="clear" w:color="auto" w:fill="1E293B"/>
          </w:tcPr>
          <w:p>
            <w:pPr>
              <w:jc w:val="center"/>
            </w:pPr>
            <w:r>
              <w:rPr>
                <w:rFonts w:ascii="Helvetica" w:hAnsi="Helvetica"/>
                <w:b/>
                <w:color w:val="FFFFFF"/>
                <w:sz w:val="18"/>
              </w:rPr>
              <w:t>Recall</w:t>
            </w:r>
          </w:p>
        </w:tc>
        <w:tc>
          <w:tcPr>
            <w:tcW w:type="dxa" w:w="1560"/>
            <w:shd w:val="clear" w:color="auto" w:fill="1E293B"/>
          </w:tcPr>
          <w:p>
            <w:pPr>
              <w:jc w:val="center"/>
            </w:pPr>
            <w:r>
              <w:rPr>
                <w:rFonts w:ascii="Helvetica" w:hAnsi="Helvetica"/>
                <w:b/>
                <w:color w:val="FFFFFF"/>
                <w:sz w:val="18"/>
              </w:rPr>
              <w:t>F1 Score</w:t>
            </w:r>
          </w:p>
        </w:tc>
        <w:tc>
          <w:tcPr>
            <w:tcW w:type="dxa" w:w="1560"/>
            <w:shd w:val="clear" w:color="auto" w:fill="1E293B"/>
          </w:tcPr>
          <w:p>
            <w:pPr>
              <w:jc w:val="center"/>
            </w:pPr>
            <w:r>
              <w:rPr>
                <w:rFonts w:ascii="Helvetica" w:hAnsi="Helvetica"/>
                <w:b/>
                <w:color w:val="FFFFFF"/>
                <w:sz w:val="18"/>
              </w:rPr>
              <w:t>ROC_AUC</w:t>
            </w:r>
          </w:p>
        </w:tc>
      </w:tr>
      <w:tr>
        <w:tc>
          <w:tcPr>
            <w:tcW w:type="dxa" w:w="1560"/>
            <w:shd w:val="clear" w:color="auto" w:fill="F8FAFC"/>
          </w:tcPr>
          <w:p>
            <w:r>
              <w:rPr>
                <w:rFonts w:ascii="Helvetica" w:hAnsi="Helvetica"/>
                <w:color w:val="334155"/>
                <w:sz w:val="17"/>
              </w:rPr>
              <w:t>Logistic Regression (Baseline)</w:t>
            </w:r>
          </w:p>
        </w:tc>
        <w:tc>
          <w:tcPr>
            <w:tcW w:type="dxa" w:w="1560"/>
            <w:shd w:val="clear" w:color="auto" w:fill="F8FAFC"/>
          </w:tcPr>
          <w:p>
            <w:r>
              <w:rPr>
                <w:rFonts w:ascii="Helvetica" w:hAnsi="Helvetica"/>
                <w:color w:val="334155"/>
                <w:sz w:val="17"/>
              </w:rPr>
              <w:t>0.8883</w:t>
            </w:r>
          </w:p>
        </w:tc>
        <w:tc>
          <w:tcPr>
            <w:tcW w:type="dxa" w:w="1560"/>
            <w:shd w:val="clear" w:color="auto" w:fill="F8FAFC"/>
          </w:tcPr>
          <w:p>
            <w:r>
              <w:rPr>
                <w:rFonts w:ascii="Helvetica" w:hAnsi="Helvetica"/>
                <w:color w:val="334155"/>
                <w:sz w:val="17"/>
              </w:rPr>
              <w:t>0.8884</w:t>
            </w:r>
          </w:p>
        </w:tc>
        <w:tc>
          <w:tcPr>
            <w:tcW w:type="dxa" w:w="1560"/>
            <w:shd w:val="clear" w:color="auto" w:fill="F8FAFC"/>
          </w:tcPr>
          <w:p>
            <w:r>
              <w:rPr>
                <w:rFonts w:ascii="Helvetica" w:hAnsi="Helvetica"/>
                <w:color w:val="334155"/>
                <w:sz w:val="17"/>
              </w:rPr>
              <w:t>0.8883</w:t>
            </w:r>
          </w:p>
        </w:tc>
        <w:tc>
          <w:tcPr>
            <w:tcW w:type="dxa" w:w="1560"/>
            <w:shd w:val="clear" w:color="auto" w:fill="F8FAFC"/>
          </w:tcPr>
          <w:p>
            <w:r>
              <w:rPr>
                <w:rFonts w:ascii="Helvetica" w:hAnsi="Helvetica"/>
                <w:color w:val="334155"/>
                <w:sz w:val="17"/>
              </w:rPr>
              <w:t>0.8883</w:t>
            </w:r>
          </w:p>
        </w:tc>
        <w:tc>
          <w:tcPr>
            <w:tcW w:type="dxa" w:w="1560"/>
            <w:shd w:val="clear" w:color="auto" w:fill="F8FAFC"/>
          </w:tcPr>
          <w:p>
            <w:r>
              <w:rPr>
                <w:rFonts w:ascii="Helvetica" w:hAnsi="Helvetica"/>
                <w:color w:val="334155"/>
                <w:sz w:val="17"/>
              </w:rPr>
              <w:t>0.9759</w:t>
            </w:r>
          </w:p>
        </w:tc>
      </w:tr>
      <w:tr>
        <w:tc>
          <w:tcPr>
            <w:tcW w:type="dxa" w:w="1560"/>
            <w:shd w:val="clear" w:color="auto" w:fill="FFFFFF"/>
          </w:tcPr>
          <w:p>
            <w:r>
              <w:rPr>
                <w:rFonts w:ascii="Helvetica" w:hAnsi="Helvetica"/>
                <w:color w:val="334155"/>
                <w:sz w:val="17"/>
              </w:rPr>
              <w:t>Support Vector Machine</w:t>
            </w:r>
          </w:p>
        </w:tc>
        <w:tc>
          <w:tcPr>
            <w:tcW w:type="dxa" w:w="1560"/>
            <w:shd w:val="clear" w:color="auto" w:fill="FFFFFF"/>
          </w:tcPr>
          <w:p>
            <w:r>
              <w:rPr>
                <w:rFonts w:ascii="Helvetica" w:hAnsi="Helvetica"/>
                <w:color w:val="334155"/>
                <w:sz w:val="17"/>
              </w:rPr>
              <w:t>0.8800</w:t>
            </w:r>
          </w:p>
        </w:tc>
        <w:tc>
          <w:tcPr>
            <w:tcW w:type="dxa" w:w="1560"/>
            <w:shd w:val="clear" w:color="auto" w:fill="FFFFFF"/>
          </w:tcPr>
          <w:p>
            <w:r>
              <w:rPr>
                <w:rFonts w:ascii="Helvetica" w:hAnsi="Helvetica"/>
                <w:color w:val="334155"/>
                <w:sz w:val="17"/>
              </w:rPr>
              <w:t>0.8802</w:t>
            </w:r>
          </w:p>
        </w:tc>
        <w:tc>
          <w:tcPr>
            <w:tcW w:type="dxa" w:w="1560"/>
            <w:shd w:val="clear" w:color="auto" w:fill="FFFFFF"/>
          </w:tcPr>
          <w:p>
            <w:r>
              <w:rPr>
                <w:rFonts w:ascii="Helvetica" w:hAnsi="Helvetica"/>
                <w:color w:val="334155"/>
                <w:sz w:val="17"/>
              </w:rPr>
              <w:t>0.8800</w:t>
            </w:r>
          </w:p>
        </w:tc>
        <w:tc>
          <w:tcPr>
            <w:tcW w:type="dxa" w:w="1560"/>
            <w:shd w:val="clear" w:color="auto" w:fill="FFFFFF"/>
          </w:tcPr>
          <w:p>
            <w:r>
              <w:rPr>
                <w:rFonts w:ascii="Helvetica" w:hAnsi="Helvetica"/>
                <w:color w:val="334155"/>
                <w:sz w:val="17"/>
              </w:rPr>
              <w:t>0.8801</w:t>
            </w:r>
          </w:p>
        </w:tc>
        <w:tc>
          <w:tcPr>
            <w:tcW w:type="dxa" w:w="1560"/>
            <w:shd w:val="clear" w:color="auto" w:fill="FFFFFF"/>
          </w:tcPr>
          <w:p>
            <w:r>
              <w:rPr>
                <w:rFonts w:ascii="Helvetica" w:hAnsi="Helvetica"/>
                <w:color w:val="334155"/>
                <w:sz w:val="17"/>
              </w:rPr>
              <w:t>0.9710</w:t>
            </w:r>
          </w:p>
        </w:tc>
      </w:tr>
      <w:tr>
        <w:tc>
          <w:tcPr>
            <w:tcW w:type="dxa" w:w="1560"/>
            <w:shd w:val="clear" w:color="auto" w:fill="F8FAFC"/>
          </w:tcPr>
          <w:p>
            <w:r>
              <w:rPr>
                <w:rFonts w:ascii="Helvetica" w:hAnsi="Helvetica"/>
                <w:color w:val="334155"/>
                <w:sz w:val="17"/>
              </w:rPr>
              <w:t>Gradient Boosting (Baseline)</w:t>
            </w:r>
          </w:p>
        </w:tc>
        <w:tc>
          <w:tcPr>
            <w:tcW w:type="dxa" w:w="1560"/>
            <w:shd w:val="clear" w:color="auto" w:fill="F8FAFC"/>
          </w:tcPr>
          <w:p>
            <w:r>
              <w:rPr>
                <w:rFonts w:ascii="Helvetica" w:hAnsi="Helvetica"/>
                <w:color w:val="334155"/>
                <w:sz w:val="17"/>
              </w:rPr>
              <w:t>0.8450</w:t>
            </w:r>
          </w:p>
        </w:tc>
        <w:tc>
          <w:tcPr>
            <w:tcW w:type="dxa" w:w="1560"/>
            <w:shd w:val="clear" w:color="auto" w:fill="F8FAFC"/>
          </w:tcPr>
          <w:p>
            <w:r>
              <w:rPr>
                <w:rFonts w:ascii="Helvetica" w:hAnsi="Helvetica"/>
                <w:color w:val="334155"/>
                <w:sz w:val="17"/>
              </w:rPr>
              <w:t>0.8476</w:t>
            </w:r>
          </w:p>
        </w:tc>
        <w:tc>
          <w:tcPr>
            <w:tcW w:type="dxa" w:w="1560"/>
            <w:shd w:val="clear" w:color="auto" w:fill="F8FAFC"/>
          </w:tcPr>
          <w:p>
            <w:r>
              <w:rPr>
                <w:rFonts w:ascii="Helvetica" w:hAnsi="Helvetica"/>
                <w:color w:val="334155"/>
                <w:sz w:val="17"/>
              </w:rPr>
              <w:t>0.8450</w:t>
            </w:r>
          </w:p>
        </w:tc>
        <w:tc>
          <w:tcPr>
            <w:tcW w:type="dxa" w:w="1560"/>
            <w:shd w:val="clear" w:color="auto" w:fill="F8FAFC"/>
          </w:tcPr>
          <w:p>
            <w:r>
              <w:rPr>
                <w:rFonts w:ascii="Helvetica" w:hAnsi="Helvetica"/>
                <w:color w:val="334155"/>
                <w:sz w:val="17"/>
              </w:rPr>
              <w:t>0.8452</w:t>
            </w:r>
          </w:p>
        </w:tc>
        <w:tc>
          <w:tcPr>
            <w:tcW w:type="dxa" w:w="1560"/>
            <w:shd w:val="clear" w:color="auto" w:fill="F8FAFC"/>
          </w:tcPr>
          <w:p>
            <w:r>
              <w:rPr>
                <w:rFonts w:ascii="Helvetica" w:hAnsi="Helvetica"/>
                <w:color w:val="334155"/>
                <w:sz w:val="17"/>
              </w:rPr>
              <w:t>0.9551</w:t>
            </w:r>
          </w:p>
        </w:tc>
      </w:tr>
      <w:tr>
        <w:tc>
          <w:tcPr>
            <w:tcW w:type="dxa" w:w="1560"/>
            <w:shd w:val="clear" w:color="auto" w:fill="FFFFFF"/>
          </w:tcPr>
          <w:p>
            <w:r>
              <w:rPr>
                <w:rFonts w:ascii="Helvetica" w:hAnsi="Helvetica"/>
                <w:color w:val="334155"/>
                <w:sz w:val="17"/>
              </w:rPr>
              <w:t>Random Forest Classifier</w:t>
            </w:r>
          </w:p>
        </w:tc>
        <w:tc>
          <w:tcPr>
            <w:tcW w:type="dxa" w:w="1560"/>
            <w:shd w:val="clear" w:color="auto" w:fill="FFFFFF"/>
          </w:tcPr>
          <w:p>
            <w:r>
              <w:rPr>
                <w:rFonts w:ascii="Helvetica" w:hAnsi="Helvetica"/>
                <w:color w:val="334155"/>
                <w:sz w:val="17"/>
              </w:rPr>
              <w:t>0.8017</w:t>
            </w:r>
          </w:p>
        </w:tc>
        <w:tc>
          <w:tcPr>
            <w:tcW w:type="dxa" w:w="1560"/>
            <w:shd w:val="clear" w:color="auto" w:fill="FFFFFF"/>
          </w:tcPr>
          <w:p>
            <w:r>
              <w:rPr>
                <w:rFonts w:ascii="Helvetica" w:hAnsi="Helvetica"/>
                <w:color w:val="334155"/>
                <w:sz w:val="17"/>
              </w:rPr>
              <w:t>0.8101</w:t>
            </w:r>
          </w:p>
        </w:tc>
        <w:tc>
          <w:tcPr>
            <w:tcW w:type="dxa" w:w="1560"/>
            <w:shd w:val="clear" w:color="auto" w:fill="FFFFFF"/>
          </w:tcPr>
          <w:p>
            <w:r>
              <w:rPr>
                <w:rFonts w:ascii="Helvetica" w:hAnsi="Helvetica"/>
                <w:color w:val="334155"/>
                <w:sz w:val="17"/>
              </w:rPr>
              <w:t>0.8017</w:t>
            </w:r>
          </w:p>
        </w:tc>
        <w:tc>
          <w:tcPr>
            <w:tcW w:type="dxa" w:w="1560"/>
            <w:shd w:val="clear" w:color="auto" w:fill="FFFFFF"/>
          </w:tcPr>
          <w:p>
            <w:r>
              <w:rPr>
                <w:rFonts w:ascii="Helvetica" w:hAnsi="Helvetica"/>
                <w:color w:val="334155"/>
                <w:sz w:val="17"/>
              </w:rPr>
              <w:t>0.8021</w:t>
            </w:r>
          </w:p>
        </w:tc>
        <w:tc>
          <w:tcPr>
            <w:tcW w:type="dxa" w:w="1560"/>
            <w:shd w:val="clear" w:color="auto" w:fill="FFFFFF"/>
          </w:tcPr>
          <w:p>
            <w:r>
              <w:rPr>
                <w:rFonts w:ascii="Helvetica" w:hAnsi="Helvetica"/>
                <w:color w:val="334155"/>
                <w:sz w:val="17"/>
              </w:rPr>
              <w:t>0.9265</w:t>
            </w:r>
          </w:p>
        </w:tc>
      </w:tr>
      <w:tr>
        <w:tc>
          <w:tcPr>
            <w:tcW w:type="dxa" w:w="1560"/>
            <w:shd w:val="clear" w:color="auto" w:fill="F8FAFC"/>
          </w:tcPr>
          <w:p>
            <w:r>
              <w:rPr>
                <w:rFonts w:ascii="Helvetica" w:hAnsi="Helvetica"/>
                <w:color w:val="334155"/>
                <w:sz w:val="17"/>
              </w:rPr>
              <w:t>K-Nearest Neighbors</w:t>
            </w:r>
          </w:p>
        </w:tc>
        <w:tc>
          <w:tcPr>
            <w:tcW w:type="dxa" w:w="1560"/>
            <w:shd w:val="clear" w:color="auto" w:fill="F8FAFC"/>
          </w:tcPr>
          <w:p>
            <w:r>
              <w:rPr>
                <w:rFonts w:ascii="Helvetica" w:hAnsi="Helvetica"/>
                <w:color w:val="334155"/>
                <w:sz w:val="17"/>
              </w:rPr>
              <w:t>0.7883</w:t>
            </w:r>
          </w:p>
        </w:tc>
        <w:tc>
          <w:tcPr>
            <w:tcW w:type="dxa" w:w="1560"/>
            <w:shd w:val="clear" w:color="auto" w:fill="F8FAFC"/>
          </w:tcPr>
          <w:p>
            <w:r>
              <w:rPr>
                <w:rFonts w:ascii="Helvetica" w:hAnsi="Helvetica"/>
                <w:color w:val="334155"/>
                <w:sz w:val="17"/>
              </w:rPr>
              <w:t>0.7908</w:t>
            </w:r>
          </w:p>
        </w:tc>
        <w:tc>
          <w:tcPr>
            <w:tcW w:type="dxa" w:w="1560"/>
            <w:shd w:val="clear" w:color="auto" w:fill="F8FAFC"/>
          </w:tcPr>
          <w:p>
            <w:r>
              <w:rPr>
                <w:rFonts w:ascii="Helvetica" w:hAnsi="Helvetica"/>
                <w:color w:val="334155"/>
                <w:sz w:val="17"/>
              </w:rPr>
              <w:t>0.7883</w:t>
            </w:r>
          </w:p>
        </w:tc>
        <w:tc>
          <w:tcPr>
            <w:tcW w:type="dxa" w:w="1560"/>
            <w:shd w:val="clear" w:color="auto" w:fill="F8FAFC"/>
          </w:tcPr>
          <w:p>
            <w:r>
              <w:rPr>
                <w:rFonts w:ascii="Helvetica" w:hAnsi="Helvetica"/>
                <w:color w:val="334155"/>
                <w:sz w:val="17"/>
              </w:rPr>
              <w:t>0.7868</w:t>
            </w:r>
          </w:p>
        </w:tc>
        <w:tc>
          <w:tcPr>
            <w:tcW w:type="dxa" w:w="1560"/>
            <w:shd w:val="clear" w:color="auto" w:fill="F8FAFC"/>
          </w:tcPr>
          <w:p>
            <w:r>
              <w:rPr>
                <w:rFonts w:ascii="Helvetica" w:hAnsi="Helvetica"/>
                <w:color w:val="334155"/>
                <w:sz w:val="17"/>
              </w:rPr>
              <w:t>0.9151</w:t>
            </w:r>
          </w:p>
        </w:tc>
      </w:tr>
      <w:tr>
        <w:tc>
          <w:tcPr>
            <w:tcW w:type="dxa" w:w="1560"/>
            <w:shd w:val="clear" w:color="auto" w:fill="FFFFFF"/>
          </w:tcPr>
          <w:p>
            <w:r>
              <w:rPr>
                <w:rFonts w:ascii="Helvetica" w:hAnsi="Helvetica"/>
                <w:color w:val="334155"/>
                <w:sz w:val="17"/>
              </w:rPr>
              <w:t>Decision Tree Classifier</w:t>
            </w:r>
          </w:p>
        </w:tc>
        <w:tc>
          <w:tcPr>
            <w:tcW w:type="dxa" w:w="1560"/>
            <w:shd w:val="clear" w:color="auto" w:fill="FFFFFF"/>
          </w:tcPr>
          <w:p>
            <w:r>
              <w:rPr>
                <w:rFonts w:ascii="Helvetica" w:hAnsi="Helvetica"/>
                <w:color w:val="334155"/>
                <w:sz w:val="17"/>
              </w:rPr>
              <w:t>0.7167</w:t>
            </w:r>
          </w:p>
        </w:tc>
        <w:tc>
          <w:tcPr>
            <w:tcW w:type="dxa" w:w="1560"/>
            <w:shd w:val="clear" w:color="auto" w:fill="FFFFFF"/>
          </w:tcPr>
          <w:p>
            <w:r>
              <w:rPr>
                <w:rFonts w:ascii="Helvetica" w:hAnsi="Helvetica"/>
                <w:color w:val="334155"/>
                <w:sz w:val="17"/>
              </w:rPr>
              <w:t>0.7327</w:t>
            </w:r>
          </w:p>
        </w:tc>
        <w:tc>
          <w:tcPr>
            <w:tcW w:type="dxa" w:w="1560"/>
            <w:shd w:val="clear" w:color="auto" w:fill="FFFFFF"/>
          </w:tcPr>
          <w:p>
            <w:r>
              <w:rPr>
                <w:rFonts w:ascii="Helvetica" w:hAnsi="Helvetica"/>
                <w:color w:val="334155"/>
                <w:sz w:val="17"/>
              </w:rPr>
              <w:t>0.7167</w:t>
            </w:r>
          </w:p>
        </w:tc>
        <w:tc>
          <w:tcPr>
            <w:tcW w:type="dxa" w:w="1560"/>
            <w:shd w:val="clear" w:color="auto" w:fill="FFFFFF"/>
          </w:tcPr>
          <w:p>
            <w:r>
              <w:rPr>
                <w:rFonts w:ascii="Helvetica" w:hAnsi="Helvetica"/>
                <w:color w:val="334155"/>
                <w:sz w:val="17"/>
              </w:rPr>
              <w:t>0.7178</w:t>
            </w:r>
          </w:p>
        </w:tc>
        <w:tc>
          <w:tcPr>
            <w:tcW w:type="dxa" w:w="1560"/>
            <w:shd w:val="clear" w:color="auto" w:fill="FFFFFF"/>
          </w:tcPr>
          <w:p>
            <w:r>
              <w:rPr>
                <w:rFonts w:ascii="Helvetica" w:hAnsi="Helvetica"/>
                <w:color w:val="334155"/>
                <w:sz w:val="17"/>
              </w:rPr>
              <w:t>0.8466</w:t>
            </w:r>
          </w:p>
        </w:tc>
      </w:tr>
    </w:tbl>
    <w:p>
      <w:pPr>
        <w:spacing w:after="120"/>
      </w:pPr>
    </w:p>
    <w:p>
      <w:pPr>
        <w:spacing w:after="100" w:line="276" w:lineRule="auto"/>
      </w:pPr>
      <w:r>
        <w:rPr>
          <w:rFonts w:ascii="Helvetica" w:hAnsi="Helvetica"/>
          <w:color w:val="334155"/>
          <w:sz w:val="20"/>
        </w:rPr>
        <w:t>Hyperparameter Tuning Results (5-Fold Stratified CV):</w:t>
      </w:r>
    </w:p>
    <w:p>
      <w:pPr>
        <w:pStyle w:val="ListBullet"/>
        <w:spacing w:after="60" w:line="276" w:lineRule="auto"/>
      </w:pPr>
      <w:r>
        <w:rPr>
          <w:rFonts w:ascii="Helvetica" w:hAnsi="Helvetica"/>
          <w:color w:val="334155"/>
          <w:sz w:val="20"/>
        </w:rPr>
        <w:t>Tuned Logistic Regression: Optimal C=5.0, solver='lbfgs' -&gt; Cross-Validation F1: 0.9084.</w:t>
      </w:r>
    </w:p>
    <w:p>
      <w:pPr>
        <w:pStyle w:val="ListBullet"/>
        <w:spacing w:after="60" w:line="276" w:lineRule="auto"/>
      </w:pPr>
      <w:r>
        <w:rPr>
          <w:rFonts w:ascii="Helvetica" w:hAnsi="Helvetica"/>
          <w:color w:val="334155"/>
          <w:sz w:val="20"/>
        </w:rPr>
        <w:t>Tuned Gradient Boosting: Optimal n_estimators=150, max_depth=4, lr=0.1 -&gt; Cross-Validation F1: 0.8500.</w:t>
      </w:r>
    </w:p>
    <w:p>
      <w:pPr>
        <w:spacing w:after="100" w:line="276" w:lineRule="auto"/>
      </w:pPr>
      <w:r>
        <w:rPr>
          <w:rFonts w:ascii="Helvetica" w:hAnsi="Helvetica"/>
          <w:color w:val="334155"/>
          <w:sz w:val="20"/>
        </w:rPr>
        <w:t>Final Champion Test Set Performance (Tuned Logistic Regression):</w:t>
      </w:r>
    </w:p>
    <w:p>
      <w:pPr>
        <w:pStyle w:val="ListBullet"/>
        <w:spacing w:after="60" w:line="276" w:lineRule="auto"/>
      </w:pPr>
      <w:r>
        <w:rPr>
          <w:rFonts w:ascii="Helvetica" w:hAnsi="Helvetica"/>
          <w:color w:val="334155"/>
          <w:sz w:val="20"/>
        </w:rPr>
        <w:t>Test Accuracy: 0.8900 (89.00%) | Test Precision: 0.8900 | Test Recall: 0.8900 | Test F1-Score: 0.8898 | Test ROC-AUC: 0.9756.</w:t>
      </w:r>
    </w:p>
    <w:p>
      <w:pPr>
        <w:spacing w:before="320" w:after="120"/>
      </w:pPr>
      <w:r>
        <w:rPr>
          <w:rFonts w:ascii="Helvetica" w:hAnsi="Helvetica"/>
          <w:b/>
          <w:color w:val="0F172A"/>
          <w:sz w:val="30"/>
        </w:rPr>
        <w:t>CHAPTER 13: STREAMLIT WEB APPLICATION</w:t>
      </w:r>
    </w:p>
    <w:p>
      <w:pPr>
        <w:spacing w:after="100" w:line="276" w:lineRule="auto"/>
      </w:pPr>
      <w:r>
        <w:rPr>
          <w:rFonts w:ascii="Helvetica" w:hAnsi="Helvetica"/>
          <w:color w:val="334155"/>
          <w:sz w:val="20"/>
        </w:rPr>
        <w:t>The front-end user interface was engineered using Streamlit, featuring a modern, light aesthetic. The application incorporates six dedicated views:</w:t>
      </w:r>
    </w:p>
    <w:p>
      <w:pPr>
        <w:pStyle w:val="ListBullet"/>
        <w:spacing w:after="60" w:line="276" w:lineRule="auto"/>
      </w:pPr>
      <w:r>
        <w:rPr>
          <w:rFonts w:ascii="Helvetica" w:hAnsi="Helvetica"/>
          <w:color w:val="334155"/>
          <w:sz w:val="20"/>
        </w:rPr>
        <w:t>1. Home: Displays executive fleet KPI cards, distribution summaries, and pipeline architecture diagrams.</w:t>
      </w:r>
    </w:p>
    <w:p>
      <w:pPr>
        <w:pStyle w:val="ListBullet"/>
        <w:spacing w:after="60" w:line="276" w:lineRule="auto"/>
      </w:pPr>
      <w:r>
        <w:rPr>
          <w:rFonts w:ascii="Helvetica" w:hAnsi="Helvetica"/>
          <w:color w:val="334155"/>
          <w:sz w:val="20"/>
        </w:rPr>
        <w:t>2. Risk Prediction: Interactive multi-parameter form supporting manual input and 3 instant one-click enterprise device presets.</w:t>
      </w:r>
    </w:p>
    <w:p>
      <w:pPr>
        <w:pStyle w:val="ListBullet"/>
        <w:spacing w:after="60" w:line="276" w:lineRule="auto"/>
      </w:pPr>
      <w:r>
        <w:rPr>
          <w:rFonts w:ascii="Helvetica" w:hAnsi="Helvetica"/>
          <w:color w:val="334155"/>
          <w:sz w:val="20"/>
        </w:rPr>
        <w:t>3. Dataset Insights: Interactive tabs presenting class distributions, vulnerability boxplots, and correlation heatmaps.</w:t>
      </w:r>
    </w:p>
    <w:p>
      <w:pPr>
        <w:pStyle w:val="ListBullet"/>
        <w:spacing w:after="60" w:line="276" w:lineRule="auto"/>
      </w:pPr>
      <w:r>
        <w:rPr>
          <w:rFonts w:ascii="Helvetica" w:hAnsi="Helvetica"/>
          <w:color w:val="334155"/>
          <w:sz w:val="20"/>
        </w:rPr>
        <w:t>4. Model Performance: Benchmark evaluation tables, comparison bar charts, confusion matrices, and multi-class ROC curves.</w:t>
      </w:r>
    </w:p>
    <w:p>
      <w:pPr>
        <w:pStyle w:val="ListBullet"/>
        <w:spacing w:after="60" w:line="276" w:lineRule="auto"/>
      </w:pPr>
      <w:r>
        <w:rPr>
          <w:rFonts w:ascii="Helvetica" w:hAnsi="Helvetica"/>
          <w:color w:val="334155"/>
          <w:sz w:val="20"/>
        </w:rPr>
        <w:t>5. Security Insights: Top 10 predictive feature importance rankings and administrative mitigation recommendations.</w:t>
      </w:r>
    </w:p>
    <w:p>
      <w:pPr>
        <w:pStyle w:val="ListBullet"/>
        <w:spacing w:after="60" w:line="276" w:lineRule="auto"/>
      </w:pPr>
      <w:r>
        <w:rPr>
          <w:rFonts w:ascii="Helvetica" w:hAnsi="Helvetica"/>
          <w:color w:val="334155"/>
          <w:sz w:val="20"/>
        </w:rPr>
        <w:t>6. About Project: Academic context, case study attribution, technology stack, and ethical disclaimers.</w:t>
      </w:r>
    </w:p>
    <w:p>
      <w:pPr>
        <w:spacing w:before="320" w:after="120"/>
      </w:pPr>
      <w:r>
        <w:rPr>
          <w:rFonts w:ascii="Helvetica" w:hAnsi="Helvetica"/>
          <w:b/>
          <w:color w:val="0F172A"/>
          <w:sz w:val="30"/>
        </w:rPr>
        <w:t>CHAPTER 14: RESULTS, FINDINGS &amp; FEATURE IMPORTANCE</w:t>
      </w:r>
    </w:p>
    <w:p>
      <w:pPr>
        <w:spacing w:after="100" w:line="276" w:lineRule="auto"/>
      </w:pPr>
      <w:r>
        <w:rPr>
          <w:rFonts w:ascii="Helvetica" w:hAnsi="Helvetica"/>
          <w:color w:val="334155"/>
          <w:sz w:val="20"/>
        </w:rPr>
        <w:t>Normalized feature importance weights extracted from the champion model: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293B"/>
          </w:tcPr>
          <w:p>
            <w:pPr>
              <w:jc w:val="center"/>
            </w:pPr>
            <w:r>
              <w:rPr>
                <w:rFonts w:ascii="Helvetica" w:hAnsi="Helvetica"/>
                <w:b/>
                <w:color w:val="FFFFFF"/>
                <w:sz w:val="18"/>
              </w:rPr>
              <w:t>Rank</w:t>
            </w:r>
          </w:p>
        </w:tc>
        <w:tc>
          <w:tcPr>
            <w:tcW w:type="dxa" w:w="2340"/>
            <w:shd w:val="clear" w:color="auto" w:fill="1E293B"/>
          </w:tcPr>
          <w:p>
            <w:pPr>
              <w:jc w:val="center"/>
            </w:pPr>
            <w:r>
              <w:rPr>
                <w:rFonts w:ascii="Helvetica" w:hAnsi="Helvetica"/>
                <w:b/>
                <w:color w:val="FFFFFF"/>
                <w:sz w:val="18"/>
              </w:rPr>
              <w:t>Security Factor</w:t>
            </w:r>
          </w:p>
        </w:tc>
        <w:tc>
          <w:tcPr>
            <w:tcW w:type="dxa" w:w="2340"/>
            <w:shd w:val="clear" w:color="auto" w:fill="1E293B"/>
          </w:tcPr>
          <w:p>
            <w:pPr>
              <w:jc w:val="center"/>
            </w:pPr>
            <w:r>
              <w:rPr>
                <w:rFonts w:ascii="Helvetica" w:hAnsi="Helvetica"/>
                <w:b/>
                <w:color w:val="FFFFFF"/>
                <w:sz w:val="18"/>
              </w:rPr>
              <w:t>Normalized Importance Weight</w:t>
            </w:r>
          </w:p>
        </w:tc>
        <w:tc>
          <w:tcPr>
            <w:tcW w:type="dxa" w:w="2340"/>
            <w:shd w:val="clear" w:color="auto" w:fill="1E293B"/>
          </w:tcPr>
          <w:p>
            <w:pPr>
              <w:jc w:val="center"/>
            </w:pPr>
            <w:r>
              <w:rPr>
                <w:rFonts w:ascii="Helvetica" w:hAnsi="Helvetica"/>
                <w:b/>
                <w:color w:val="FFFFFF"/>
                <w:sz w:val="18"/>
              </w:rPr>
              <w:t>Operational Description</w:t>
            </w:r>
          </w:p>
        </w:tc>
      </w:tr>
      <w:tr>
        <w:tc>
          <w:tcPr>
            <w:tcW w:type="dxa" w:w="2340"/>
            <w:shd w:val="clear" w:color="auto" w:fill="F8FAFC"/>
          </w:tcPr>
          <w:p>
            <w:r>
              <w:rPr>
                <w:rFonts w:ascii="Helvetica" w:hAnsi="Helvetica"/>
                <w:color w:val="334155"/>
                <w:sz w:val="17"/>
              </w:rPr>
              <w:t>1</w:t>
            </w:r>
          </w:p>
        </w:tc>
        <w:tc>
          <w:tcPr>
            <w:tcW w:type="dxa" w:w="2340"/>
            <w:shd w:val="clear" w:color="auto" w:fill="F8FAFC"/>
          </w:tcPr>
          <w:p>
            <w:r>
              <w:rPr>
                <w:rFonts w:ascii="Helvetica" w:hAnsi="Helvetica"/>
                <w:color w:val="334155"/>
                <w:sz w:val="17"/>
              </w:rPr>
              <w:t>Operating_System</w:t>
            </w:r>
          </w:p>
        </w:tc>
        <w:tc>
          <w:tcPr>
            <w:tcW w:type="dxa" w:w="2340"/>
            <w:shd w:val="clear" w:color="auto" w:fill="F8FAFC"/>
          </w:tcPr>
          <w:p>
            <w:r>
              <w:rPr>
                <w:rFonts w:ascii="Helvetica" w:hAnsi="Helvetica"/>
                <w:color w:val="334155"/>
                <w:sz w:val="17"/>
              </w:rPr>
              <w:t>0.1703 (17.0%)</w:t>
            </w:r>
          </w:p>
        </w:tc>
        <w:tc>
          <w:tcPr>
            <w:tcW w:type="dxa" w:w="2340"/>
            <w:shd w:val="clear" w:color="auto" w:fill="F8FAFC"/>
          </w:tcPr>
          <w:p>
            <w:r>
              <w:rPr>
                <w:rFonts w:ascii="Helvetica" w:hAnsi="Helvetica"/>
                <w:color w:val="334155"/>
                <w:sz w:val="17"/>
              </w:rPr>
              <w:t>Kernel architecture &amp; security channel compliance</w:t>
            </w:r>
          </w:p>
        </w:tc>
      </w:tr>
      <w:tr>
        <w:tc>
          <w:tcPr>
            <w:tcW w:type="dxa" w:w="2340"/>
            <w:shd w:val="clear" w:color="auto" w:fill="FFFFFF"/>
          </w:tcPr>
          <w:p>
            <w:r>
              <w:rPr>
                <w:rFonts w:ascii="Helvetica" w:hAnsi="Helvetica"/>
                <w:color w:val="334155"/>
                <w:sz w:val="17"/>
              </w:rPr>
              <w:t>2</w:t>
            </w:r>
          </w:p>
        </w:tc>
        <w:tc>
          <w:tcPr>
            <w:tcW w:type="dxa" w:w="2340"/>
            <w:shd w:val="clear" w:color="auto" w:fill="FFFFFF"/>
          </w:tcPr>
          <w:p>
            <w:r>
              <w:rPr>
                <w:rFonts w:ascii="Helvetica" w:hAnsi="Helvetica"/>
                <w:color w:val="334155"/>
                <w:sz w:val="17"/>
              </w:rPr>
              <w:t>Patch_Status</w:t>
            </w:r>
          </w:p>
        </w:tc>
        <w:tc>
          <w:tcPr>
            <w:tcW w:type="dxa" w:w="2340"/>
            <w:shd w:val="clear" w:color="auto" w:fill="FFFFFF"/>
          </w:tcPr>
          <w:p>
            <w:r>
              <w:rPr>
                <w:rFonts w:ascii="Helvetica" w:hAnsi="Helvetica"/>
                <w:color w:val="334155"/>
                <w:sz w:val="17"/>
              </w:rPr>
              <w:t>0.1137 (11.4%)</w:t>
            </w:r>
          </w:p>
        </w:tc>
        <w:tc>
          <w:tcPr>
            <w:tcW w:type="dxa" w:w="2340"/>
            <w:shd w:val="clear" w:color="auto" w:fill="FFFFFF"/>
          </w:tcPr>
          <w:p>
            <w:r>
              <w:rPr>
                <w:rFonts w:ascii="Helvetica" w:hAnsi="Helvetica"/>
                <w:color w:val="334155"/>
                <w:sz w:val="17"/>
              </w:rPr>
              <w:t>Latency in applying vendor security updates</w:t>
            </w:r>
          </w:p>
        </w:tc>
      </w:tr>
      <w:tr>
        <w:tc>
          <w:tcPr>
            <w:tcW w:type="dxa" w:w="2340"/>
            <w:shd w:val="clear" w:color="auto" w:fill="F8FAFC"/>
          </w:tcPr>
          <w:p>
            <w:r>
              <w:rPr>
                <w:rFonts w:ascii="Helvetica" w:hAnsi="Helvetica"/>
                <w:color w:val="334155"/>
                <w:sz w:val="17"/>
              </w:rPr>
              <w:t>3</w:t>
            </w:r>
          </w:p>
        </w:tc>
        <w:tc>
          <w:tcPr>
            <w:tcW w:type="dxa" w:w="2340"/>
            <w:shd w:val="clear" w:color="auto" w:fill="F8FAFC"/>
          </w:tcPr>
          <w:p>
            <w:r>
              <w:rPr>
                <w:rFonts w:ascii="Helvetica" w:hAnsi="Helvetica"/>
                <w:color w:val="334155"/>
                <w:sz w:val="17"/>
              </w:rPr>
              <w:t>Vulnerability_Count</w:t>
            </w:r>
          </w:p>
        </w:tc>
        <w:tc>
          <w:tcPr>
            <w:tcW w:type="dxa" w:w="2340"/>
            <w:shd w:val="clear" w:color="auto" w:fill="F8FAFC"/>
          </w:tcPr>
          <w:p>
            <w:r>
              <w:rPr>
                <w:rFonts w:ascii="Helvetica" w:hAnsi="Helvetica"/>
                <w:color w:val="334155"/>
                <w:sz w:val="17"/>
              </w:rPr>
              <w:t>0.0960 (9.6%)</w:t>
            </w:r>
          </w:p>
        </w:tc>
        <w:tc>
          <w:tcPr>
            <w:tcW w:type="dxa" w:w="2340"/>
            <w:shd w:val="clear" w:color="auto" w:fill="F8FAFC"/>
          </w:tcPr>
          <w:p>
            <w:r>
              <w:rPr>
                <w:rFonts w:ascii="Helvetica" w:hAnsi="Helvetica"/>
                <w:color w:val="334155"/>
                <w:sz w:val="17"/>
              </w:rPr>
              <w:t>Active unmitigated CVE vulnerabilities detected</w:t>
            </w:r>
          </w:p>
        </w:tc>
      </w:tr>
      <w:tr>
        <w:tc>
          <w:tcPr>
            <w:tcW w:type="dxa" w:w="2340"/>
            <w:shd w:val="clear" w:color="auto" w:fill="FFFFFF"/>
          </w:tcPr>
          <w:p>
            <w:r>
              <w:rPr>
                <w:rFonts w:ascii="Helvetica" w:hAnsi="Helvetica"/>
                <w:color w:val="334155"/>
                <w:sz w:val="17"/>
              </w:rPr>
              <w:t>4</w:t>
            </w:r>
          </w:p>
        </w:tc>
        <w:tc>
          <w:tcPr>
            <w:tcW w:type="dxa" w:w="2340"/>
            <w:shd w:val="clear" w:color="auto" w:fill="FFFFFF"/>
          </w:tcPr>
          <w:p>
            <w:r>
              <w:rPr>
                <w:rFonts w:ascii="Helvetica" w:hAnsi="Helvetica"/>
                <w:color w:val="334155"/>
                <w:sz w:val="17"/>
              </w:rPr>
              <w:t>Suspicious_Activity_Flags</w:t>
            </w:r>
          </w:p>
        </w:tc>
        <w:tc>
          <w:tcPr>
            <w:tcW w:type="dxa" w:w="2340"/>
            <w:shd w:val="clear" w:color="auto" w:fill="FFFFFF"/>
          </w:tcPr>
          <w:p>
            <w:r>
              <w:rPr>
                <w:rFonts w:ascii="Helvetica" w:hAnsi="Helvetica"/>
                <w:color w:val="334155"/>
                <w:sz w:val="17"/>
              </w:rPr>
              <w:t>0.0756 (7.6%)</w:t>
            </w:r>
          </w:p>
        </w:tc>
        <w:tc>
          <w:tcPr>
            <w:tcW w:type="dxa" w:w="2340"/>
            <w:shd w:val="clear" w:color="auto" w:fill="FFFFFF"/>
          </w:tcPr>
          <w:p>
            <w:r>
              <w:rPr>
                <w:rFonts w:ascii="Helvetica" w:hAnsi="Helvetica"/>
                <w:color w:val="334155"/>
                <w:sz w:val="17"/>
              </w:rPr>
              <w:t>Network intrusion detection behavioral anomaly flags</w:t>
            </w:r>
          </w:p>
        </w:tc>
      </w:tr>
      <w:tr>
        <w:tc>
          <w:tcPr>
            <w:tcW w:type="dxa" w:w="2340"/>
            <w:shd w:val="clear" w:color="auto" w:fill="F8FAFC"/>
          </w:tcPr>
          <w:p>
            <w:r>
              <w:rPr>
                <w:rFonts w:ascii="Helvetica" w:hAnsi="Helvetica"/>
                <w:color w:val="334155"/>
                <w:sz w:val="17"/>
              </w:rPr>
              <w:t>5</w:t>
            </w:r>
          </w:p>
        </w:tc>
        <w:tc>
          <w:tcPr>
            <w:tcW w:type="dxa" w:w="2340"/>
            <w:shd w:val="clear" w:color="auto" w:fill="F8FAFC"/>
          </w:tcPr>
          <w:p>
            <w:r>
              <w:rPr>
                <w:rFonts w:ascii="Helvetica" w:hAnsi="Helvetica"/>
                <w:color w:val="334155"/>
                <w:sz w:val="17"/>
              </w:rPr>
              <w:t>Compliance_Posture_Score</w:t>
            </w:r>
          </w:p>
        </w:tc>
        <w:tc>
          <w:tcPr>
            <w:tcW w:type="dxa" w:w="2340"/>
            <w:shd w:val="clear" w:color="auto" w:fill="F8FAFC"/>
          </w:tcPr>
          <w:p>
            <w:r>
              <w:rPr>
                <w:rFonts w:ascii="Helvetica" w:hAnsi="Helvetica"/>
                <w:color w:val="334155"/>
                <w:sz w:val="17"/>
              </w:rPr>
              <w:t>0.0694 (6.9%)</w:t>
            </w:r>
          </w:p>
        </w:tc>
        <w:tc>
          <w:tcPr>
            <w:tcW w:type="dxa" w:w="2340"/>
            <w:shd w:val="clear" w:color="auto" w:fill="F8FAFC"/>
          </w:tcPr>
          <w:p>
            <w:r>
              <w:rPr>
                <w:rFonts w:ascii="Helvetica" w:hAnsi="Helvetica"/>
                <w:color w:val="334155"/>
                <w:sz w:val="17"/>
              </w:rPr>
              <w:t>Engineered composite index of defensive settings</w:t>
            </w:r>
          </w:p>
        </w:tc>
      </w:tr>
      <w:tr>
        <w:tc>
          <w:tcPr>
            <w:tcW w:type="dxa" w:w="2340"/>
            <w:shd w:val="clear" w:color="auto" w:fill="FFFFFF"/>
          </w:tcPr>
          <w:p>
            <w:r>
              <w:rPr>
                <w:rFonts w:ascii="Helvetica" w:hAnsi="Helvetica"/>
                <w:color w:val="334155"/>
                <w:sz w:val="17"/>
              </w:rPr>
              <w:t>6</w:t>
            </w:r>
          </w:p>
        </w:tc>
        <w:tc>
          <w:tcPr>
            <w:tcW w:type="dxa" w:w="2340"/>
            <w:shd w:val="clear" w:color="auto" w:fill="FFFFFF"/>
          </w:tcPr>
          <w:p>
            <w:r>
              <w:rPr>
                <w:rFonts w:ascii="Helvetica" w:hAnsi="Helvetica"/>
                <w:color w:val="334155"/>
                <w:sz w:val="17"/>
              </w:rPr>
              <w:t>Antivirus_Status</w:t>
            </w:r>
          </w:p>
        </w:tc>
        <w:tc>
          <w:tcPr>
            <w:tcW w:type="dxa" w:w="2340"/>
            <w:shd w:val="clear" w:color="auto" w:fill="FFFFFF"/>
          </w:tcPr>
          <w:p>
            <w:r>
              <w:rPr>
                <w:rFonts w:ascii="Helvetica" w:hAnsi="Helvetica"/>
                <w:color w:val="334155"/>
                <w:sz w:val="17"/>
              </w:rPr>
              <w:t>0.0689 (6.9%)</w:t>
            </w:r>
          </w:p>
        </w:tc>
        <w:tc>
          <w:tcPr>
            <w:tcW w:type="dxa" w:w="2340"/>
            <w:shd w:val="clear" w:color="auto" w:fill="FFFFFF"/>
          </w:tcPr>
          <w:p>
            <w:r>
              <w:rPr>
                <w:rFonts w:ascii="Helvetica" w:hAnsi="Helvetica"/>
                <w:color w:val="334155"/>
                <w:sz w:val="17"/>
              </w:rPr>
              <w:t>Endpoint antivirus active vs disabled state</w:t>
            </w:r>
          </w:p>
        </w:tc>
      </w:tr>
      <w:tr>
        <w:tc>
          <w:tcPr>
            <w:tcW w:type="dxa" w:w="2340"/>
            <w:shd w:val="clear" w:color="auto" w:fill="F8FAFC"/>
          </w:tcPr>
          <w:p>
            <w:r>
              <w:rPr>
                <w:rFonts w:ascii="Helvetica" w:hAnsi="Helvetica"/>
                <w:color w:val="334155"/>
                <w:sz w:val="17"/>
              </w:rPr>
              <w:t>7</w:t>
            </w:r>
          </w:p>
        </w:tc>
        <w:tc>
          <w:tcPr>
            <w:tcW w:type="dxa" w:w="2340"/>
            <w:shd w:val="clear" w:color="auto" w:fill="F8FAFC"/>
          </w:tcPr>
          <w:p>
            <w:r>
              <w:rPr>
                <w:rFonts w:ascii="Helvetica" w:hAnsi="Helvetica"/>
                <w:color w:val="334155"/>
                <w:sz w:val="17"/>
              </w:rPr>
              <w:t>Device_Type</w:t>
            </w:r>
          </w:p>
        </w:tc>
        <w:tc>
          <w:tcPr>
            <w:tcW w:type="dxa" w:w="2340"/>
            <w:shd w:val="clear" w:color="auto" w:fill="F8FAFC"/>
          </w:tcPr>
          <w:p>
            <w:r>
              <w:rPr>
                <w:rFonts w:ascii="Helvetica" w:hAnsi="Helvetica"/>
                <w:color w:val="334155"/>
                <w:sz w:val="17"/>
              </w:rPr>
              <w:t>0.0675 (6.8%)</w:t>
            </w:r>
          </w:p>
        </w:tc>
        <w:tc>
          <w:tcPr>
            <w:tcW w:type="dxa" w:w="2340"/>
            <w:shd w:val="clear" w:color="auto" w:fill="F8FAFC"/>
          </w:tcPr>
          <w:p>
            <w:r>
              <w:rPr>
                <w:rFonts w:ascii="Helvetica" w:hAnsi="Helvetica"/>
                <w:color w:val="334155"/>
                <w:sz w:val="17"/>
              </w:rPr>
              <w:t>Hardware class (Workstation vs unmanaged IoT Gateway)</w:t>
            </w:r>
          </w:p>
        </w:tc>
      </w:tr>
      <w:tr>
        <w:tc>
          <w:tcPr>
            <w:tcW w:type="dxa" w:w="2340"/>
            <w:shd w:val="clear" w:color="auto" w:fill="FFFFFF"/>
          </w:tcPr>
          <w:p>
            <w:r>
              <w:rPr>
                <w:rFonts w:ascii="Helvetica" w:hAnsi="Helvetica"/>
                <w:color w:val="334155"/>
                <w:sz w:val="17"/>
              </w:rPr>
              <w:t>8</w:t>
            </w:r>
          </w:p>
        </w:tc>
        <w:tc>
          <w:tcPr>
            <w:tcW w:type="dxa" w:w="2340"/>
            <w:shd w:val="clear" w:color="auto" w:fill="FFFFFF"/>
          </w:tcPr>
          <w:p>
            <w:r>
              <w:rPr>
                <w:rFonts w:ascii="Helvetica" w:hAnsi="Helvetica"/>
                <w:color w:val="334155"/>
                <w:sz w:val="17"/>
              </w:rPr>
              <w:t>Previous_Security_Incidents</w:t>
            </w:r>
          </w:p>
        </w:tc>
        <w:tc>
          <w:tcPr>
            <w:tcW w:type="dxa" w:w="2340"/>
            <w:shd w:val="clear" w:color="auto" w:fill="FFFFFF"/>
          </w:tcPr>
          <w:p>
            <w:r>
              <w:rPr>
                <w:rFonts w:ascii="Helvetica" w:hAnsi="Helvetica"/>
                <w:color w:val="334155"/>
                <w:sz w:val="17"/>
              </w:rPr>
              <w:t>0.0673 (6.7%)</w:t>
            </w:r>
          </w:p>
        </w:tc>
        <w:tc>
          <w:tcPr>
            <w:tcW w:type="dxa" w:w="2340"/>
            <w:shd w:val="clear" w:color="auto" w:fill="FFFFFF"/>
          </w:tcPr>
          <w:p>
            <w:r>
              <w:rPr>
                <w:rFonts w:ascii="Helvetica" w:hAnsi="Helvetica"/>
                <w:color w:val="334155"/>
                <w:sz w:val="17"/>
              </w:rPr>
              <w:t>Historical frequency of quarantine events</w:t>
            </w:r>
          </w:p>
        </w:tc>
      </w:tr>
      <w:tr>
        <w:tc>
          <w:tcPr>
            <w:tcW w:type="dxa" w:w="2340"/>
            <w:shd w:val="clear" w:color="auto" w:fill="F8FAFC"/>
          </w:tcPr>
          <w:p>
            <w:r>
              <w:rPr>
                <w:rFonts w:ascii="Helvetica" w:hAnsi="Helvetica"/>
                <w:color w:val="334155"/>
                <w:sz w:val="17"/>
              </w:rPr>
              <w:t>9</w:t>
            </w:r>
          </w:p>
        </w:tc>
        <w:tc>
          <w:tcPr>
            <w:tcW w:type="dxa" w:w="2340"/>
            <w:shd w:val="clear" w:color="auto" w:fill="F8FAFC"/>
          </w:tcPr>
          <w:p>
            <w:r>
              <w:rPr>
                <w:rFonts w:ascii="Helvetica" w:hAnsi="Helvetica"/>
                <w:color w:val="334155"/>
                <w:sz w:val="17"/>
              </w:rPr>
              <w:t>Attack_Surface_Index</w:t>
            </w:r>
          </w:p>
        </w:tc>
        <w:tc>
          <w:tcPr>
            <w:tcW w:type="dxa" w:w="2340"/>
            <w:shd w:val="clear" w:color="auto" w:fill="F8FAFC"/>
          </w:tcPr>
          <w:p>
            <w:r>
              <w:rPr>
                <w:rFonts w:ascii="Helvetica" w:hAnsi="Helvetica"/>
                <w:color w:val="334155"/>
                <w:sz w:val="17"/>
              </w:rPr>
              <w:t>0.0566 (5.7%)</w:t>
            </w:r>
          </w:p>
        </w:tc>
        <w:tc>
          <w:tcPr>
            <w:tcW w:type="dxa" w:w="2340"/>
            <w:shd w:val="clear" w:color="auto" w:fill="F8FAFC"/>
          </w:tcPr>
          <w:p>
            <w:r>
              <w:rPr>
                <w:rFonts w:ascii="Helvetica" w:hAnsi="Helvetica"/>
                <w:color w:val="334155"/>
                <w:sz w:val="17"/>
              </w:rPr>
              <w:t>Composite open listening ports &amp; failed login spikes</w:t>
            </w:r>
          </w:p>
        </w:tc>
      </w:tr>
      <w:tr>
        <w:tc>
          <w:tcPr>
            <w:tcW w:type="dxa" w:w="2340"/>
            <w:shd w:val="clear" w:color="auto" w:fill="FFFFFF"/>
          </w:tcPr>
          <w:p>
            <w:r>
              <w:rPr>
                <w:rFonts w:ascii="Helvetica" w:hAnsi="Helvetica"/>
                <w:color w:val="334155"/>
                <w:sz w:val="17"/>
              </w:rPr>
              <w:t>10</w:t>
            </w:r>
          </w:p>
        </w:tc>
        <w:tc>
          <w:tcPr>
            <w:tcW w:type="dxa" w:w="2340"/>
            <w:shd w:val="clear" w:color="auto" w:fill="FFFFFF"/>
          </w:tcPr>
          <w:p>
            <w:r>
              <w:rPr>
                <w:rFonts w:ascii="Helvetica" w:hAnsi="Helvetica"/>
                <w:color w:val="334155"/>
                <w:sz w:val="17"/>
              </w:rPr>
              <w:t>Failed_Login_Attempts</w:t>
            </w:r>
          </w:p>
        </w:tc>
        <w:tc>
          <w:tcPr>
            <w:tcW w:type="dxa" w:w="2340"/>
            <w:shd w:val="clear" w:color="auto" w:fill="FFFFFF"/>
          </w:tcPr>
          <w:p>
            <w:r>
              <w:rPr>
                <w:rFonts w:ascii="Helvetica" w:hAnsi="Helvetica"/>
                <w:color w:val="334155"/>
                <w:sz w:val="17"/>
              </w:rPr>
              <w:t>0.0486 (4.9%)</w:t>
            </w:r>
          </w:p>
        </w:tc>
        <w:tc>
          <w:tcPr>
            <w:tcW w:type="dxa" w:w="2340"/>
            <w:shd w:val="clear" w:color="auto" w:fill="FFFFFF"/>
          </w:tcPr>
          <w:p>
            <w:r>
              <w:rPr>
                <w:rFonts w:ascii="Helvetica" w:hAnsi="Helvetica"/>
                <w:color w:val="334155"/>
                <w:sz w:val="17"/>
              </w:rPr>
              <w:t>Failed authentication frequency in past 30 days</w:t>
            </w:r>
          </w:p>
        </w:tc>
      </w:tr>
    </w:tbl>
    <w:p>
      <w:pPr>
        <w:spacing w:after="120"/>
      </w:pPr>
    </w:p>
    <w:p>
      <w:pPr>
        <w:spacing w:before="320" w:after="120"/>
      </w:pPr>
      <w:r>
        <w:rPr>
          <w:rFonts w:ascii="Helvetica" w:hAnsi="Helvetica"/>
          <w:b/>
          <w:color w:val="0F172A"/>
          <w:sz w:val="30"/>
        </w:rPr>
        <w:t>CHAPTER 15 &amp; 16: LIMITATIONS &amp; FUTURE SCOPE</w:t>
      </w:r>
    </w:p>
    <w:p>
      <w:pPr>
        <w:spacing w:after="100" w:line="276" w:lineRule="auto"/>
      </w:pPr>
      <w:r>
        <w:rPr>
          <w:rFonts w:ascii="Helvetica" w:hAnsi="Helvetica"/>
          <w:color w:val="334155"/>
          <w:sz w:val="20"/>
        </w:rPr>
        <w:t>Limitations: The system provides advisory risk classification to support human analysts; it does not replace formal penetration testing. Threat actor methodologies evolve over time, requiring scheduled pipeline retraining to mitigate concept drift.</w:t>
      </w:r>
    </w:p>
    <w:p>
      <w:pPr>
        <w:spacing w:after="100" w:line="276" w:lineRule="auto"/>
      </w:pPr>
      <w:r>
        <w:rPr>
          <w:rFonts w:ascii="Helvetica" w:hAnsi="Helvetica"/>
          <w:color w:val="334155"/>
          <w:sz w:val="20"/>
        </w:rPr>
        <w:t>Future Scope: Ingest streaming Syslog and Zeek network flow records; implement automated webhook isolation triggers for High Risk devices; incorporate semi-supervised anomaly detection for zero-day threat identification.</w:t>
      </w:r>
    </w:p>
    <w:p>
      <w:pPr>
        <w:spacing w:before="320" w:after="120"/>
      </w:pPr>
      <w:r>
        <w:rPr>
          <w:rFonts w:ascii="Helvetica" w:hAnsi="Helvetica"/>
          <w:b/>
          <w:color w:val="0F172A"/>
          <w:sz w:val="30"/>
        </w:rPr>
        <w:t>CHAPTER 17: CONCLUSION &amp; REFERENCES</w:t>
      </w:r>
    </w:p>
    <w:p>
      <w:pPr>
        <w:spacing w:after="100" w:line="276" w:lineRule="auto"/>
      </w:pPr>
      <w:r>
        <w:rPr>
          <w:rFonts w:ascii="Helvetica" w:hAnsi="Helvetica"/>
          <w:color w:val="334155"/>
          <w:sz w:val="20"/>
        </w:rPr>
        <w:t>The Device Risk Analysis project successfully demonstrates how supervised machine learning transforms endpoint security management. By achieving 89.00% accuracy and 0.9756 ROC-AUC, the system provides high-confidence risk triage, automating remediation priorities and reducing administrative burden.</w:t>
      </w:r>
    </w:p>
    <w:p>
      <w:pPr>
        <w:spacing w:after="100" w:line="276" w:lineRule="auto"/>
      </w:pPr>
      <w:r>
        <w:rPr>
          <w:rFonts w:ascii="Helvetica" w:hAnsi="Helvetica"/>
          <w:color w:val="334155"/>
          <w:sz w:val="20"/>
        </w:rPr>
        <w:t>References:</w:t>
      </w:r>
    </w:p>
    <w:p>
      <w:pPr>
        <w:pStyle w:val="ListBullet"/>
        <w:spacing w:after="60" w:line="276" w:lineRule="auto"/>
      </w:pPr>
      <w:r>
        <w:rPr>
          <w:rFonts w:ascii="Helvetica" w:hAnsi="Helvetica"/>
          <w:color w:val="334155"/>
          <w:sz w:val="20"/>
        </w:rPr>
        <w:t>1. NIST Special Publication 800-40 Rev. 4: Guide to Enterprise Patch Management Technologies, NIST, 2022.</w:t>
      </w:r>
    </w:p>
    <w:p>
      <w:pPr>
        <w:pStyle w:val="ListBullet"/>
        <w:spacing w:after="60" w:line="276" w:lineRule="auto"/>
      </w:pPr>
      <w:r>
        <w:rPr>
          <w:rFonts w:ascii="Helvetica" w:hAnsi="Helvetica"/>
          <w:color w:val="334155"/>
          <w:sz w:val="20"/>
        </w:rPr>
        <w:t>2. Center for Internet Security (CIS): CIS Critical Security Controls Version 8, CIS Security, 2021.</w:t>
      </w:r>
    </w:p>
    <w:p>
      <w:pPr>
        <w:pStyle w:val="ListBullet"/>
        <w:spacing w:after="60" w:line="276" w:lineRule="auto"/>
      </w:pPr>
      <w:r>
        <w:rPr>
          <w:rFonts w:ascii="Helvetica" w:hAnsi="Helvetica"/>
          <w:color w:val="334155"/>
          <w:sz w:val="20"/>
        </w:rPr>
        <w:t>3. Pedregosa et al.: Scikit-learn: Machine Learning in Python, JMLR 12, pp. 2825-2830, 2011.</w:t>
      </w:r>
    </w:p>
    <w:p>
      <w:pPr>
        <w:pStyle w:val="ListBullet"/>
        <w:spacing w:after="60" w:line="276" w:lineRule="auto"/>
      </w:pPr>
      <w:r>
        <w:rPr>
          <w:rFonts w:ascii="Helvetica" w:hAnsi="Helvetica"/>
          <w:color w:val="334155"/>
          <w:sz w:val="20"/>
        </w:rPr>
        <w:t>4. McKinney, W.: Data Structures for Statistical Computing in Python, Proc. 9th Python in Science Conf., 2010.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