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color w:val="0F172A"/>
          <w:sz w:val="26"/>
        </w:rPr>
        <w:t>ITM SKILLS UNIVERSITY</w:t>
        <w:br/>
        <w:t>School of Future Tech</w:t>
        <w:br/>
        <w:t>Department of Computer Science &amp; Engineering</w:t>
        <w:br/>
      </w:r>
    </w:p>
    <w:p>
      <w:pPr>
        <w:spacing w:after="400"/>
      </w:pPr>
    </w:p>
    <w:p>
      <w:pPr>
        <w:jc w:val="center"/>
      </w:pPr>
      <w:r>
        <w:rPr>
          <w:rFonts w:ascii="Helvetica" w:hAnsi="Helvetica"/>
          <w:b/>
          <w:color w:val="2563EB"/>
          <w:sz w:val="44"/>
        </w:rPr>
        <w:t>WORK BREAKDOWN STRUCTURE (WBS)</w:t>
      </w:r>
    </w:p>
    <w:p>
      <w:pPr>
        <w:jc w:val="center"/>
      </w:pPr>
      <w:r>
        <w:rPr>
          <w:rFonts w:ascii="Helvetica" w:hAnsi="Helvetica"/>
          <w:i/>
          <w:color w:val="475569"/>
          <w:sz w:val="26"/>
        </w:rPr>
        <w:t>Device Risk Analysis | Case Study No. 86</w:t>
      </w:r>
    </w:p>
    <w:p>
      <w:pPr>
        <w:spacing w:after="600"/>
      </w:pPr>
    </w:p>
    <w:p>
      <w:pPr>
        <w:jc w:val="center"/>
      </w:pPr>
      <w:r>
        <w:rPr>
          <w:rFonts w:ascii="Helvetica" w:hAnsi="Helvetica"/>
          <w:color w:val="334155"/>
          <w:sz w:val="21"/>
        </w:rPr>
        <w:t>Student Name: Atharva Gahine</w:t>
        <w:br/>
        <w:t>Degree Program: B.Tech Computer Science &amp; Engineering</w:t>
        <w:br/>
        <w:t>Semester: V | Batch: 2024–2028</w:t>
        <w:br/>
        <w:t>Academic Course: Machine Learning (Case Study No. 86)</w:t>
        <w:br/>
        <w:t>Submission Date: October 2026</w:t>
      </w:r>
    </w:p>
    <w:p>
      <w:r>
        <w:br w:type="page"/>
      </w:r>
    </w:p>
    <w:p>
      <w:pPr>
        <w:spacing w:before="320" w:after="120"/>
      </w:pPr>
      <w:r>
        <w:rPr>
          <w:rFonts w:ascii="Helvetica" w:hAnsi="Helvetica"/>
          <w:b/>
          <w:color w:val="0F172A"/>
          <w:sz w:val="30"/>
        </w:rPr>
        <w:t>1. Executive Introduction &amp; WBS Overview</w:t>
      </w:r>
    </w:p>
    <w:p>
      <w:pPr>
        <w:spacing w:after="100" w:line="276" w:lineRule="auto"/>
      </w:pPr>
      <w:r>
        <w:rPr>
          <w:rFonts w:ascii="Helvetica" w:hAnsi="Helvetica"/>
          <w:color w:val="334155"/>
          <w:sz w:val="20"/>
        </w:rPr>
        <w:t>This Work Breakdown Structure (WBS) decomposes the Device Risk Analysis project into hierarchical work packages and manageable technical activities. Following project management best practices, work elements are organized across 11 primary operational phases, ensuring complete traceability from problem statement formulation to final presentation.</w:t>
      </w:r>
    </w:p>
    <w:p>
      <w:pPr>
        <w:spacing w:before="320" w:after="120"/>
      </w:pPr>
      <w:r>
        <w:rPr>
          <w:rFonts w:ascii="Helvetica" w:hAnsi="Helvetica"/>
          <w:b/>
          <w:color w:val="0F172A"/>
          <w:sz w:val="30"/>
        </w:rPr>
        <w:t>2. Hierarchical WBS Task Breakdown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1E293B"/>
          </w:tcPr>
          <w:p>
            <w:pPr>
              <w:jc w:val="center"/>
            </w:pPr>
            <w:r>
              <w:rPr>
                <w:rFonts w:ascii="Helvetica" w:hAnsi="Helvetica"/>
                <w:b/>
                <w:color w:val="FFFFFF"/>
                <w:sz w:val="18"/>
              </w:rPr>
              <w:t>WBS Code</w:t>
            </w:r>
          </w:p>
        </w:tc>
        <w:tc>
          <w:tcPr>
            <w:tcW w:type="dxa" w:w="1872"/>
            <w:shd w:val="clear" w:color="auto" w:fill="1E293B"/>
          </w:tcPr>
          <w:p>
            <w:pPr>
              <w:jc w:val="center"/>
            </w:pPr>
            <w:r>
              <w:rPr>
                <w:rFonts w:ascii="Helvetica" w:hAnsi="Helvetica"/>
                <w:b/>
                <w:color w:val="FFFFFF"/>
                <w:sz w:val="18"/>
              </w:rPr>
              <w:t>Work Package Name</w:t>
            </w:r>
          </w:p>
        </w:tc>
        <w:tc>
          <w:tcPr>
            <w:tcW w:type="dxa" w:w="1872"/>
            <w:shd w:val="clear" w:color="auto" w:fill="1E293B"/>
          </w:tcPr>
          <w:p>
            <w:pPr>
              <w:jc w:val="center"/>
            </w:pPr>
            <w:r>
              <w:rPr>
                <w:rFonts w:ascii="Helvetica" w:hAnsi="Helvetica"/>
                <w:b/>
                <w:color w:val="FFFFFF"/>
                <w:sz w:val="18"/>
              </w:rPr>
              <w:t>Scope &amp; Deliverable Description</w:t>
            </w:r>
          </w:p>
        </w:tc>
        <w:tc>
          <w:tcPr>
            <w:tcW w:type="dxa" w:w="1872"/>
            <w:shd w:val="clear" w:color="auto" w:fill="1E293B"/>
          </w:tcPr>
          <w:p>
            <w:pPr>
              <w:jc w:val="center"/>
            </w:pPr>
            <w:r>
              <w:rPr>
                <w:rFonts w:ascii="Helvetica" w:hAnsi="Helvetica"/>
                <w:b/>
                <w:color w:val="FFFFFF"/>
                <w:sz w:val="18"/>
              </w:rPr>
              <w:t>Duration</w:t>
            </w:r>
          </w:p>
        </w:tc>
        <w:tc>
          <w:tcPr>
            <w:tcW w:type="dxa" w:w="1872"/>
            <w:shd w:val="clear" w:color="auto" w:fill="1E293B"/>
          </w:tcPr>
          <w:p>
            <w:pPr>
              <w:jc w:val="center"/>
            </w:pPr>
            <w:r>
              <w:rPr>
                <w:rFonts w:ascii="Helvetica" w:hAnsi="Helvetica"/>
                <w:b/>
                <w:color w:val="FFFFFF"/>
                <w:sz w:val="18"/>
              </w:rPr>
              <w:t>Dependencies</w:t>
            </w:r>
          </w:p>
        </w:tc>
      </w:tr>
      <w:tr>
        <w:tc>
          <w:tcPr>
            <w:tcW w:type="dxa" w:w="1872"/>
            <w:shd w:val="clear" w:color="auto" w:fill="F8FAFC"/>
          </w:tcPr>
          <w:p>
            <w:r>
              <w:rPr>
                <w:rFonts w:ascii="Helvetica" w:hAnsi="Helvetica"/>
                <w:color w:val="334155"/>
                <w:sz w:val="17"/>
              </w:rPr>
              <w:t>1.0</w:t>
            </w:r>
          </w:p>
        </w:tc>
        <w:tc>
          <w:tcPr>
            <w:tcW w:type="dxa" w:w="1872"/>
            <w:shd w:val="clear" w:color="auto" w:fill="F8FAFC"/>
          </w:tcPr>
          <w:p>
            <w:r>
              <w:rPr>
                <w:rFonts w:ascii="Helvetica" w:hAnsi="Helvetica"/>
                <w:color w:val="334155"/>
                <w:sz w:val="17"/>
              </w:rPr>
              <w:t>Project Planning &amp; Problem Formulation</w:t>
            </w:r>
          </w:p>
        </w:tc>
        <w:tc>
          <w:tcPr>
            <w:tcW w:type="dxa" w:w="1872"/>
            <w:shd w:val="clear" w:color="auto" w:fill="F8FAFC"/>
          </w:tcPr>
          <w:p>
            <w:r>
              <w:rPr>
                <w:rFonts w:ascii="Helvetica" w:hAnsi="Helvetica"/>
                <w:color w:val="334155"/>
                <w:sz w:val="17"/>
              </w:rPr>
              <w:t>Define Case Study 86 scope, objectives, and academic deliverables.</w:t>
            </w:r>
          </w:p>
        </w:tc>
        <w:tc>
          <w:tcPr>
            <w:tcW w:type="dxa" w:w="1872"/>
            <w:shd w:val="clear" w:color="auto" w:fill="F8FAFC"/>
          </w:tcPr>
          <w:p>
            <w:r>
              <w:rPr>
                <w:rFonts w:ascii="Helvetica" w:hAnsi="Helvetica"/>
                <w:color w:val="334155"/>
                <w:sz w:val="17"/>
              </w:rPr>
              <w:t>2 Days</w:t>
            </w:r>
          </w:p>
        </w:tc>
        <w:tc>
          <w:tcPr>
            <w:tcW w:type="dxa" w:w="1872"/>
            <w:shd w:val="clear" w:color="auto" w:fill="F8FAFC"/>
          </w:tcPr>
          <w:p>
            <w:r>
              <w:rPr>
                <w:rFonts w:ascii="Helvetica" w:hAnsi="Helvetica"/>
                <w:color w:val="334155"/>
                <w:sz w:val="17"/>
              </w:rPr>
              <w:t>None</w:t>
            </w:r>
          </w:p>
        </w:tc>
      </w:tr>
      <w:tr>
        <w:tc>
          <w:tcPr>
            <w:tcW w:type="dxa" w:w="1872"/>
            <w:shd w:val="clear" w:color="auto" w:fill="FFFFFF"/>
          </w:tcPr>
          <w:p>
            <w:r>
              <w:rPr>
                <w:rFonts w:ascii="Helvetica" w:hAnsi="Helvetica"/>
                <w:color w:val="334155"/>
                <w:sz w:val="17"/>
              </w:rPr>
              <w:t>2.0</w:t>
            </w:r>
          </w:p>
        </w:tc>
        <w:tc>
          <w:tcPr>
            <w:tcW w:type="dxa" w:w="1872"/>
            <w:shd w:val="clear" w:color="auto" w:fill="FFFFFF"/>
          </w:tcPr>
          <w:p>
            <w:r>
              <w:rPr>
                <w:rFonts w:ascii="Helvetica" w:hAnsi="Helvetica"/>
                <w:color w:val="334155"/>
                <w:sz w:val="17"/>
              </w:rPr>
              <w:t>Dataset Collection &amp; Synthesis</w:t>
            </w:r>
          </w:p>
        </w:tc>
        <w:tc>
          <w:tcPr>
            <w:tcW w:type="dxa" w:w="1872"/>
            <w:shd w:val="clear" w:color="auto" w:fill="FFFFFF"/>
          </w:tcPr>
          <w:p>
            <w:r>
              <w:rPr>
                <w:rFonts w:ascii="Helvetica" w:hAnsi="Helvetica"/>
                <w:color w:val="334155"/>
                <w:sz w:val="17"/>
              </w:rPr>
              <w:t>Generate 3,012 device telemetry records based on NIST &amp; CIS standards.</w:t>
            </w:r>
          </w:p>
        </w:tc>
        <w:tc>
          <w:tcPr>
            <w:tcW w:type="dxa" w:w="1872"/>
            <w:shd w:val="clear" w:color="auto" w:fill="FFFFFF"/>
          </w:tcPr>
          <w:p>
            <w:r>
              <w:rPr>
                <w:rFonts w:ascii="Helvetica" w:hAnsi="Helvetica"/>
                <w:color w:val="334155"/>
                <w:sz w:val="17"/>
              </w:rPr>
              <w:t>3 Days</w:t>
            </w:r>
          </w:p>
        </w:tc>
        <w:tc>
          <w:tcPr>
            <w:tcW w:type="dxa" w:w="1872"/>
            <w:shd w:val="clear" w:color="auto" w:fill="FFFFFF"/>
          </w:tcPr>
          <w:p>
            <w:r>
              <w:rPr>
                <w:rFonts w:ascii="Helvetica" w:hAnsi="Helvetica"/>
                <w:color w:val="334155"/>
                <w:sz w:val="17"/>
              </w:rPr>
              <w:t>1.0</w:t>
            </w:r>
          </w:p>
        </w:tc>
      </w:tr>
      <w:tr>
        <w:tc>
          <w:tcPr>
            <w:tcW w:type="dxa" w:w="1872"/>
            <w:shd w:val="clear" w:color="auto" w:fill="F8FAFC"/>
          </w:tcPr>
          <w:p>
            <w:r>
              <w:rPr>
                <w:rFonts w:ascii="Helvetica" w:hAnsi="Helvetica"/>
                <w:color w:val="334155"/>
                <w:sz w:val="17"/>
              </w:rPr>
              <w:t>3.0</w:t>
            </w:r>
          </w:p>
        </w:tc>
        <w:tc>
          <w:tcPr>
            <w:tcW w:type="dxa" w:w="1872"/>
            <w:shd w:val="clear" w:color="auto" w:fill="F8FAFC"/>
          </w:tcPr>
          <w:p>
            <w:r>
              <w:rPr>
                <w:rFonts w:ascii="Helvetica" w:hAnsi="Helvetica"/>
                <w:color w:val="334155"/>
                <w:sz w:val="17"/>
              </w:rPr>
              <w:t>Data Quality Auditing &amp; Cleaning</w:t>
            </w:r>
          </w:p>
        </w:tc>
        <w:tc>
          <w:tcPr>
            <w:tcW w:type="dxa" w:w="1872"/>
            <w:shd w:val="clear" w:color="auto" w:fill="F8FAFC"/>
          </w:tcPr>
          <w:p>
            <w:r>
              <w:rPr>
                <w:rFonts w:ascii="Helvetica" w:hAnsi="Helvetica"/>
                <w:color w:val="334155"/>
                <w:sz w:val="17"/>
              </w:rPr>
              <w:t>Detect duplicates, casing anomalies, and impute missing values with median/mode.</w:t>
            </w:r>
          </w:p>
        </w:tc>
        <w:tc>
          <w:tcPr>
            <w:tcW w:type="dxa" w:w="1872"/>
            <w:shd w:val="clear" w:color="auto" w:fill="F8FAFC"/>
          </w:tcPr>
          <w:p>
            <w:r>
              <w:rPr>
                <w:rFonts w:ascii="Helvetica" w:hAnsi="Helvetica"/>
                <w:color w:val="334155"/>
                <w:sz w:val="17"/>
              </w:rPr>
              <w:t>2 Days</w:t>
            </w:r>
          </w:p>
        </w:tc>
        <w:tc>
          <w:tcPr>
            <w:tcW w:type="dxa" w:w="1872"/>
            <w:shd w:val="clear" w:color="auto" w:fill="F8FAFC"/>
          </w:tcPr>
          <w:p>
            <w:r>
              <w:rPr>
                <w:rFonts w:ascii="Helvetica" w:hAnsi="Helvetica"/>
                <w:color w:val="334155"/>
                <w:sz w:val="17"/>
              </w:rPr>
              <w:t>2.0</w:t>
            </w:r>
          </w:p>
        </w:tc>
      </w:tr>
      <w:tr>
        <w:tc>
          <w:tcPr>
            <w:tcW w:type="dxa" w:w="1872"/>
            <w:shd w:val="clear" w:color="auto" w:fill="FFFFFF"/>
          </w:tcPr>
          <w:p>
            <w:r>
              <w:rPr>
                <w:rFonts w:ascii="Helvetica" w:hAnsi="Helvetica"/>
                <w:color w:val="334155"/>
                <w:sz w:val="17"/>
              </w:rPr>
              <w:t>4.0</w:t>
            </w:r>
          </w:p>
        </w:tc>
        <w:tc>
          <w:tcPr>
            <w:tcW w:type="dxa" w:w="1872"/>
            <w:shd w:val="clear" w:color="auto" w:fill="FFFFFF"/>
          </w:tcPr>
          <w:p>
            <w:r>
              <w:rPr>
                <w:rFonts w:ascii="Helvetica" w:hAnsi="Helvetica"/>
                <w:color w:val="334155"/>
                <w:sz w:val="17"/>
              </w:rPr>
              <w:t>Exploratory Data Analysis (EDA)</w:t>
            </w:r>
          </w:p>
        </w:tc>
        <w:tc>
          <w:tcPr>
            <w:tcW w:type="dxa" w:w="1872"/>
            <w:shd w:val="clear" w:color="auto" w:fill="FFFFFF"/>
          </w:tcPr>
          <w:p>
            <w:r>
              <w:rPr>
                <w:rFonts w:ascii="Helvetica" w:hAnsi="Helvetica"/>
                <w:color w:val="334155"/>
                <w:sz w:val="17"/>
              </w:rPr>
              <w:t>Conduct univariate, bivariate, and multivariate correlation visualizations.</w:t>
            </w:r>
          </w:p>
        </w:tc>
        <w:tc>
          <w:tcPr>
            <w:tcW w:type="dxa" w:w="1872"/>
            <w:shd w:val="clear" w:color="auto" w:fill="FFFFFF"/>
          </w:tcPr>
          <w:p>
            <w:r>
              <w:rPr>
                <w:rFonts w:ascii="Helvetica" w:hAnsi="Helvetica"/>
                <w:color w:val="334155"/>
                <w:sz w:val="17"/>
              </w:rPr>
              <w:t>3 Days</w:t>
            </w:r>
          </w:p>
        </w:tc>
        <w:tc>
          <w:tcPr>
            <w:tcW w:type="dxa" w:w="1872"/>
            <w:shd w:val="clear" w:color="auto" w:fill="FFFFFF"/>
          </w:tcPr>
          <w:p>
            <w:r>
              <w:rPr>
                <w:rFonts w:ascii="Helvetica" w:hAnsi="Helvetica"/>
                <w:color w:val="334155"/>
                <w:sz w:val="17"/>
              </w:rPr>
              <w:t>3.0</w:t>
            </w:r>
          </w:p>
        </w:tc>
      </w:tr>
      <w:tr>
        <w:tc>
          <w:tcPr>
            <w:tcW w:type="dxa" w:w="1872"/>
            <w:shd w:val="clear" w:color="auto" w:fill="F8FAFC"/>
          </w:tcPr>
          <w:p>
            <w:r>
              <w:rPr>
                <w:rFonts w:ascii="Helvetica" w:hAnsi="Helvetica"/>
                <w:color w:val="334155"/>
                <w:sz w:val="17"/>
              </w:rPr>
              <w:t>5.0</w:t>
            </w:r>
          </w:p>
        </w:tc>
        <w:tc>
          <w:tcPr>
            <w:tcW w:type="dxa" w:w="1872"/>
            <w:shd w:val="clear" w:color="auto" w:fill="F8FAFC"/>
          </w:tcPr>
          <w:p>
            <w:r>
              <w:rPr>
                <w:rFonts w:ascii="Helvetica" w:hAnsi="Helvetica"/>
                <w:color w:val="334155"/>
                <w:sz w:val="17"/>
              </w:rPr>
              <w:t>Preprocessing &amp; Feature Engineering</w:t>
            </w:r>
          </w:p>
        </w:tc>
        <w:tc>
          <w:tcPr>
            <w:tcW w:type="dxa" w:w="1872"/>
            <w:shd w:val="clear" w:color="auto" w:fill="F8FAFC"/>
          </w:tcPr>
          <w:p>
            <w:r>
              <w:rPr>
                <w:rFonts w:ascii="Helvetica" w:hAnsi="Helvetica"/>
                <w:color w:val="334155"/>
                <w:sz w:val="17"/>
              </w:rPr>
              <w:t>Engineer Compliance Score, Attack Surface Index; construct ColumnTransformer.</w:t>
            </w:r>
          </w:p>
        </w:tc>
        <w:tc>
          <w:tcPr>
            <w:tcW w:type="dxa" w:w="1872"/>
            <w:shd w:val="clear" w:color="auto" w:fill="F8FAFC"/>
          </w:tcPr>
          <w:p>
            <w:r>
              <w:rPr>
                <w:rFonts w:ascii="Helvetica" w:hAnsi="Helvetica"/>
                <w:color w:val="334155"/>
                <w:sz w:val="17"/>
              </w:rPr>
              <w:t>3 Days</w:t>
            </w:r>
          </w:p>
        </w:tc>
        <w:tc>
          <w:tcPr>
            <w:tcW w:type="dxa" w:w="1872"/>
            <w:shd w:val="clear" w:color="auto" w:fill="F8FAFC"/>
          </w:tcPr>
          <w:p>
            <w:r>
              <w:rPr>
                <w:rFonts w:ascii="Helvetica" w:hAnsi="Helvetica"/>
                <w:color w:val="334155"/>
                <w:sz w:val="17"/>
              </w:rPr>
              <w:t>4.0</w:t>
            </w:r>
          </w:p>
        </w:tc>
      </w:tr>
      <w:tr>
        <w:tc>
          <w:tcPr>
            <w:tcW w:type="dxa" w:w="1872"/>
            <w:shd w:val="clear" w:color="auto" w:fill="FFFFFF"/>
          </w:tcPr>
          <w:p>
            <w:r>
              <w:rPr>
                <w:rFonts w:ascii="Helvetica" w:hAnsi="Helvetica"/>
                <w:color w:val="334155"/>
                <w:sz w:val="17"/>
              </w:rPr>
              <w:t>6.0</w:t>
            </w:r>
          </w:p>
        </w:tc>
        <w:tc>
          <w:tcPr>
            <w:tcW w:type="dxa" w:w="1872"/>
            <w:shd w:val="clear" w:color="auto" w:fill="FFFFFF"/>
          </w:tcPr>
          <w:p>
            <w:r>
              <w:rPr>
                <w:rFonts w:ascii="Helvetica" w:hAnsi="Helvetica"/>
                <w:color w:val="334155"/>
                <w:sz w:val="17"/>
              </w:rPr>
              <w:t>Machine Learning Model Development</w:t>
            </w:r>
          </w:p>
        </w:tc>
        <w:tc>
          <w:tcPr>
            <w:tcW w:type="dxa" w:w="1872"/>
            <w:shd w:val="clear" w:color="auto" w:fill="FFFFFF"/>
          </w:tcPr>
          <w:p>
            <w:r>
              <w:rPr>
                <w:rFonts w:ascii="Helvetica" w:hAnsi="Helvetica"/>
                <w:color w:val="334155"/>
                <w:sz w:val="17"/>
              </w:rPr>
              <w:t>Train 6 classifiers: Logistic Regression, Decision Tree, KNN, SVM, RF, GB.</w:t>
            </w:r>
          </w:p>
        </w:tc>
        <w:tc>
          <w:tcPr>
            <w:tcW w:type="dxa" w:w="1872"/>
            <w:shd w:val="clear" w:color="auto" w:fill="FFFFFF"/>
          </w:tcPr>
          <w:p>
            <w:r>
              <w:rPr>
                <w:rFonts w:ascii="Helvetica" w:hAnsi="Helvetica"/>
                <w:color w:val="334155"/>
                <w:sz w:val="17"/>
              </w:rPr>
              <w:t>4 Days</w:t>
            </w:r>
          </w:p>
        </w:tc>
        <w:tc>
          <w:tcPr>
            <w:tcW w:type="dxa" w:w="1872"/>
            <w:shd w:val="clear" w:color="auto" w:fill="FFFFFF"/>
          </w:tcPr>
          <w:p>
            <w:r>
              <w:rPr>
                <w:rFonts w:ascii="Helvetica" w:hAnsi="Helvetica"/>
                <w:color w:val="334155"/>
                <w:sz w:val="17"/>
              </w:rPr>
              <w:t>5.0</w:t>
            </w:r>
          </w:p>
        </w:tc>
      </w:tr>
      <w:tr>
        <w:tc>
          <w:tcPr>
            <w:tcW w:type="dxa" w:w="1872"/>
            <w:shd w:val="clear" w:color="auto" w:fill="F8FAFC"/>
          </w:tcPr>
          <w:p>
            <w:r>
              <w:rPr>
                <w:rFonts w:ascii="Helvetica" w:hAnsi="Helvetica"/>
                <w:color w:val="334155"/>
                <w:sz w:val="17"/>
              </w:rPr>
              <w:t>7.0</w:t>
            </w:r>
          </w:p>
        </w:tc>
        <w:tc>
          <w:tcPr>
            <w:tcW w:type="dxa" w:w="1872"/>
            <w:shd w:val="clear" w:color="auto" w:fill="F8FAFC"/>
          </w:tcPr>
          <w:p>
            <w:r>
              <w:rPr>
                <w:rFonts w:ascii="Helvetica" w:hAnsi="Helvetica"/>
                <w:color w:val="334155"/>
                <w:sz w:val="17"/>
              </w:rPr>
              <w:t>Model Evaluation &amp; Hyperparameter Tuning</w:t>
            </w:r>
          </w:p>
        </w:tc>
        <w:tc>
          <w:tcPr>
            <w:tcW w:type="dxa" w:w="1872"/>
            <w:shd w:val="clear" w:color="auto" w:fill="F8FAFC"/>
          </w:tcPr>
          <w:p>
            <w:r>
              <w:rPr>
                <w:rFonts w:ascii="Helvetica" w:hAnsi="Helvetica"/>
                <w:color w:val="334155"/>
                <w:sz w:val="17"/>
              </w:rPr>
              <w:t>Perform 5-fold Stratified GridSearchCV, generate confusion matrices and ROC curves.</w:t>
            </w:r>
          </w:p>
        </w:tc>
        <w:tc>
          <w:tcPr>
            <w:tcW w:type="dxa" w:w="1872"/>
            <w:shd w:val="clear" w:color="auto" w:fill="F8FAFC"/>
          </w:tcPr>
          <w:p>
            <w:r>
              <w:rPr>
                <w:rFonts w:ascii="Helvetica" w:hAnsi="Helvetica"/>
                <w:color w:val="334155"/>
                <w:sz w:val="17"/>
              </w:rPr>
              <w:t>3 Days</w:t>
            </w:r>
          </w:p>
        </w:tc>
        <w:tc>
          <w:tcPr>
            <w:tcW w:type="dxa" w:w="1872"/>
            <w:shd w:val="clear" w:color="auto" w:fill="F8FAFC"/>
          </w:tcPr>
          <w:p>
            <w:r>
              <w:rPr>
                <w:rFonts w:ascii="Helvetica" w:hAnsi="Helvetica"/>
                <w:color w:val="334155"/>
                <w:sz w:val="17"/>
              </w:rPr>
              <w:t>6.0</w:t>
            </w:r>
          </w:p>
        </w:tc>
      </w:tr>
      <w:tr>
        <w:tc>
          <w:tcPr>
            <w:tcW w:type="dxa" w:w="1872"/>
            <w:shd w:val="clear" w:color="auto" w:fill="FFFFFF"/>
          </w:tcPr>
          <w:p>
            <w:r>
              <w:rPr>
                <w:rFonts w:ascii="Helvetica" w:hAnsi="Helvetica"/>
                <w:color w:val="334155"/>
                <w:sz w:val="17"/>
              </w:rPr>
              <w:t>8.0</w:t>
            </w:r>
          </w:p>
        </w:tc>
        <w:tc>
          <w:tcPr>
            <w:tcW w:type="dxa" w:w="1872"/>
            <w:shd w:val="clear" w:color="auto" w:fill="FFFFFF"/>
          </w:tcPr>
          <w:p>
            <w:r>
              <w:rPr>
                <w:rFonts w:ascii="Helvetica" w:hAnsi="Helvetica"/>
                <w:color w:val="334155"/>
                <w:sz w:val="17"/>
              </w:rPr>
              <w:t>Streamlit Application Development</w:t>
            </w:r>
          </w:p>
        </w:tc>
        <w:tc>
          <w:tcPr>
            <w:tcW w:type="dxa" w:w="1872"/>
            <w:shd w:val="clear" w:color="auto" w:fill="FFFFFF"/>
          </w:tcPr>
          <w:p>
            <w:r>
              <w:rPr>
                <w:rFonts w:ascii="Helvetica" w:hAnsi="Helvetica"/>
                <w:color w:val="334155"/>
                <w:sz w:val="17"/>
              </w:rPr>
              <w:t>Build 6-page interactive light modern dashboard with real-time prediction.</w:t>
            </w:r>
          </w:p>
        </w:tc>
        <w:tc>
          <w:tcPr>
            <w:tcW w:type="dxa" w:w="1872"/>
            <w:shd w:val="clear" w:color="auto" w:fill="FFFFFF"/>
          </w:tcPr>
          <w:p>
            <w:r>
              <w:rPr>
                <w:rFonts w:ascii="Helvetica" w:hAnsi="Helvetica"/>
                <w:color w:val="334155"/>
                <w:sz w:val="17"/>
              </w:rPr>
              <w:t>4 Days</w:t>
            </w:r>
          </w:p>
        </w:tc>
        <w:tc>
          <w:tcPr>
            <w:tcW w:type="dxa" w:w="1872"/>
            <w:shd w:val="clear" w:color="auto" w:fill="FFFFFF"/>
          </w:tcPr>
          <w:p>
            <w:r>
              <w:rPr>
                <w:rFonts w:ascii="Helvetica" w:hAnsi="Helvetica"/>
                <w:color w:val="334155"/>
                <w:sz w:val="17"/>
              </w:rPr>
              <w:t>7.0</w:t>
            </w:r>
          </w:p>
        </w:tc>
      </w:tr>
      <w:tr>
        <w:tc>
          <w:tcPr>
            <w:tcW w:type="dxa" w:w="1872"/>
            <w:shd w:val="clear" w:color="auto" w:fill="F8FAFC"/>
          </w:tcPr>
          <w:p>
            <w:r>
              <w:rPr>
                <w:rFonts w:ascii="Helvetica" w:hAnsi="Helvetica"/>
                <w:color w:val="334155"/>
                <w:sz w:val="17"/>
              </w:rPr>
              <w:t>9.0</w:t>
            </w:r>
          </w:p>
        </w:tc>
        <w:tc>
          <w:tcPr>
            <w:tcW w:type="dxa" w:w="1872"/>
            <w:shd w:val="clear" w:color="auto" w:fill="F8FAFC"/>
          </w:tcPr>
          <w:p>
            <w:r>
              <w:rPr>
                <w:rFonts w:ascii="Helvetica" w:hAnsi="Helvetica"/>
                <w:color w:val="334155"/>
                <w:sz w:val="17"/>
              </w:rPr>
              <w:t>System Verification &amp; QA Testing</w:t>
            </w:r>
          </w:p>
        </w:tc>
        <w:tc>
          <w:tcPr>
            <w:tcW w:type="dxa" w:w="1872"/>
            <w:shd w:val="clear" w:color="auto" w:fill="F8FAFC"/>
          </w:tcPr>
          <w:p>
            <w:r>
              <w:rPr>
                <w:rFonts w:ascii="Helvetica" w:hAnsi="Helvetica"/>
                <w:color w:val="334155"/>
                <w:sz w:val="17"/>
              </w:rPr>
              <w:t>Execute comprehensive test matrix covering data, models, UI, and edge cases.</w:t>
            </w:r>
          </w:p>
        </w:tc>
        <w:tc>
          <w:tcPr>
            <w:tcW w:type="dxa" w:w="1872"/>
            <w:shd w:val="clear" w:color="auto" w:fill="F8FAFC"/>
          </w:tcPr>
          <w:p>
            <w:r>
              <w:rPr>
                <w:rFonts w:ascii="Helvetica" w:hAnsi="Helvetica"/>
                <w:color w:val="334155"/>
                <w:sz w:val="17"/>
              </w:rPr>
              <w:t>2 Days</w:t>
            </w:r>
          </w:p>
        </w:tc>
        <w:tc>
          <w:tcPr>
            <w:tcW w:type="dxa" w:w="1872"/>
            <w:shd w:val="clear" w:color="auto" w:fill="F8FAFC"/>
          </w:tcPr>
          <w:p>
            <w:r>
              <w:rPr>
                <w:rFonts w:ascii="Helvetica" w:hAnsi="Helvetica"/>
                <w:color w:val="334155"/>
                <w:sz w:val="17"/>
              </w:rPr>
              <w:t>8.0</w:t>
            </w:r>
          </w:p>
        </w:tc>
      </w:tr>
      <w:tr>
        <w:tc>
          <w:tcPr>
            <w:tcW w:type="dxa" w:w="1872"/>
            <w:shd w:val="clear" w:color="auto" w:fill="FFFFFF"/>
          </w:tcPr>
          <w:p>
            <w:r>
              <w:rPr>
                <w:rFonts w:ascii="Helvetica" w:hAnsi="Helvetica"/>
                <w:color w:val="334155"/>
                <w:sz w:val="17"/>
              </w:rPr>
              <w:t>10.0</w:t>
            </w:r>
          </w:p>
        </w:tc>
        <w:tc>
          <w:tcPr>
            <w:tcW w:type="dxa" w:w="1872"/>
            <w:shd w:val="clear" w:color="auto" w:fill="FFFFFF"/>
          </w:tcPr>
          <w:p>
            <w:r>
              <w:rPr>
                <w:rFonts w:ascii="Helvetica" w:hAnsi="Helvetica"/>
                <w:color w:val="334155"/>
                <w:sz w:val="17"/>
              </w:rPr>
              <w:t>Academic Documentation &amp; Reporting</w:t>
            </w:r>
          </w:p>
        </w:tc>
        <w:tc>
          <w:tcPr>
            <w:tcW w:type="dxa" w:w="1872"/>
            <w:shd w:val="clear" w:color="auto" w:fill="FFFFFF"/>
          </w:tcPr>
          <w:p>
            <w:r>
              <w:rPr>
                <w:rFonts w:ascii="Helvetica" w:hAnsi="Helvetica"/>
                <w:color w:val="334155"/>
                <w:sz w:val="17"/>
              </w:rPr>
              <w:t>Author BRD, SRS, SOW, WBS, Test Cases, Project Report, and Presentation Script.</w:t>
            </w:r>
          </w:p>
        </w:tc>
        <w:tc>
          <w:tcPr>
            <w:tcW w:type="dxa" w:w="1872"/>
            <w:shd w:val="clear" w:color="auto" w:fill="FFFFFF"/>
          </w:tcPr>
          <w:p>
            <w:r>
              <w:rPr>
                <w:rFonts w:ascii="Helvetica" w:hAnsi="Helvetica"/>
                <w:color w:val="334155"/>
                <w:sz w:val="17"/>
              </w:rPr>
              <w:t>5 Days</w:t>
            </w:r>
          </w:p>
        </w:tc>
        <w:tc>
          <w:tcPr>
            <w:tcW w:type="dxa" w:w="1872"/>
            <w:shd w:val="clear" w:color="auto" w:fill="FFFFFF"/>
          </w:tcPr>
          <w:p>
            <w:r>
              <w:rPr>
                <w:rFonts w:ascii="Helvetica" w:hAnsi="Helvetica"/>
                <w:color w:val="334155"/>
                <w:sz w:val="17"/>
              </w:rPr>
              <w:t>9.0</w:t>
            </w:r>
          </w:p>
        </w:tc>
      </w:tr>
      <w:tr>
        <w:tc>
          <w:tcPr>
            <w:tcW w:type="dxa" w:w="1872"/>
            <w:shd w:val="clear" w:color="auto" w:fill="F8FAFC"/>
          </w:tcPr>
          <w:p>
            <w:r>
              <w:rPr>
                <w:rFonts w:ascii="Helvetica" w:hAnsi="Helvetica"/>
                <w:color w:val="334155"/>
                <w:sz w:val="17"/>
              </w:rPr>
              <w:t>11.0</w:t>
            </w:r>
          </w:p>
        </w:tc>
        <w:tc>
          <w:tcPr>
            <w:tcW w:type="dxa" w:w="1872"/>
            <w:shd w:val="clear" w:color="auto" w:fill="F8FAFC"/>
          </w:tcPr>
          <w:p>
            <w:r>
              <w:rPr>
                <w:rFonts w:ascii="Helvetica" w:hAnsi="Helvetica"/>
                <w:color w:val="334155"/>
                <w:sz w:val="17"/>
              </w:rPr>
              <w:t>Final Submission &amp; Viva Preparation</w:t>
            </w:r>
          </w:p>
        </w:tc>
        <w:tc>
          <w:tcPr>
            <w:tcW w:type="dxa" w:w="1872"/>
            <w:shd w:val="clear" w:color="auto" w:fill="F8FAFC"/>
          </w:tcPr>
          <w:p>
            <w:r>
              <w:rPr>
                <w:rFonts w:ascii="Helvetica" w:hAnsi="Helvetica"/>
                <w:color w:val="334155"/>
                <w:sz w:val="17"/>
              </w:rPr>
              <w:t>Prepare slide decks, examiner Q&amp;A answers, and project archive.</w:t>
            </w:r>
          </w:p>
        </w:tc>
        <w:tc>
          <w:tcPr>
            <w:tcW w:type="dxa" w:w="1872"/>
            <w:shd w:val="clear" w:color="auto" w:fill="F8FAFC"/>
          </w:tcPr>
          <w:p>
            <w:r>
              <w:rPr>
                <w:rFonts w:ascii="Helvetica" w:hAnsi="Helvetica"/>
                <w:color w:val="334155"/>
                <w:sz w:val="17"/>
              </w:rPr>
              <w:t>2 Days</w:t>
            </w:r>
          </w:p>
        </w:tc>
        <w:tc>
          <w:tcPr>
            <w:tcW w:type="dxa" w:w="1872"/>
            <w:shd w:val="clear" w:color="auto" w:fill="F8FAFC"/>
          </w:tcPr>
          <w:p>
            <w:r>
              <w:rPr>
                <w:rFonts w:ascii="Helvetica" w:hAnsi="Helvetica"/>
                <w:color w:val="334155"/>
                <w:sz w:val="17"/>
              </w:rPr>
              <w:t>10.0</w:t>
            </w:r>
          </w:p>
        </w:tc>
      </w:tr>
    </w:tbl>
    <w:p>
      <w:pPr>
        <w:spacing w:after="120"/>
      </w:pPr>
    </w:p>
    <w:p>
      <w:pPr>
        <w:spacing w:before="320" w:after="120"/>
      </w:pPr>
      <w:r>
        <w:rPr>
          <w:rFonts w:ascii="Helvetica" w:hAnsi="Helvetica"/>
          <w:b/>
          <w:color w:val="0F172A"/>
          <w:sz w:val="30"/>
        </w:rPr>
        <w:t>3. Work Package Dictionary (Selected Detailed Profiles)</w:t>
      </w:r>
    </w:p>
    <w:p>
      <w:pPr>
        <w:spacing w:before="220" w:after="80"/>
      </w:pPr>
      <w:r>
        <w:rPr>
          <w:rFonts w:ascii="Helvetica" w:hAnsi="Helvetica"/>
          <w:b/>
          <w:color w:val="2563EB"/>
          <w:sz w:val="25"/>
        </w:rPr>
        <w:t>WP-5.0: Preprocessing &amp; Feature Engineering Pipeline</w:t>
      </w:r>
    </w:p>
    <w:p>
      <w:pPr>
        <w:spacing w:after="100" w:line="276" w:lineRule="auto"/>
      </w:pPr>
      <w:r>
        <w:rPr>
          <w:rFonts w:ascii="Helvetica" w:hAnsi="Helvetica"/>
          <w:color w:val="334155"/>
          <w:sz w:val="20"/>
        </w:rPr>
        <w:t>Responsible: Atharva Gahine | Outputs: Scaler, Preprocessor pipeline, data/processed/device_risk_processed.csv.</w:t>
      </w:r>
    </w:p>
    <w:p>
      <w:pPr>
        <w:spacing w:after="100" w:line="276" w:lineRule="auto"/>
      </w:pPr>
      <w:r>
        <w:rPr>
          <w:rFonts w:ascii="Helvetica" w:hAnsi="Helvetica"/>
          <w:color w:val="334155"/>
          <w:sz w:val="20"/>
        </w:rPr>
        <w:t>Description: Standardize numerical attributes using StandardScaler; encode categorical attributes with OneHotEncoder(handle_unknown='ignore'); synthesize domain risk metrics to enhance predictive signal.</w:t>
      </w:r>
    </w:p>
    <w:p>
      <w:pPr>
        <w:spacing w:before="220" w:after="80"/>
      </w:pPr>
      <w:r>
        <w:rPr>
          <w:rFonts w:ascii="Helvetica" w:hAnsi="Helvetica"/>
          <w:b/>
          <w:color w:val="2563EB"/>
          <w:sz w:val="25"/>
        </w:rPr>
        <w:t>WP-7.0: Model Evaluation &amp; Hyperparameter Tuning</w:t>
      </w:r>
    </w:p>
    <w:p>
      <w:pPr>
        <w:spacing w:after="100" w:line="276" w:lineRule="auto"/>
      </w:pPr>
      <w:r>
        <w:rPr>
          <w:rFonts w:ascii="Helvetica" w:hAnsi="Helvetica"/>
          <w:color w:val="334155"/>
          <w:sz w:val="20"/>
        </w:rPr>
        <w:t>Responsible: Atharva Gahine | Outputs: outputs/model_results.csv, outputs/feature_importance.csv, models/best_model.pkl.</w:t>
      </w:r>
    </w:p>
    <w:p>
      <w:pPr>
        <w:spacing w:after="100" w:line="276" w:lineRule="auto"/>
      </w:pPr>
      <w:r>
        <w:rPr>
          <w:rFonts w:ascii="Helvetica" w:hAnsi="Helvetica"/>
          <w:color w:val="334155"/>
          <w:sz w:val="20"/>
        </w:rPr>
        <w:t>Description: Systematic grid search across regularization and boosting parameters using 5-fold stratified cross-validation; extract normalized feature importance weights.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