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Accessories Return Policy</w:t>
      </w:r>
    </w:p>
    <w:p>
      <w:r>
        <w:rPr>
          <w:i/>
        </w:rPr>
        <w:t>ShopSphere Retail — hubs, cables, cases, bags and small accessories (including FlexFit)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320"/>
          </w:tcPr>
          <w:p>
            <w:r>
              <w:t>POL-ACC-2024-01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Applicable category</w:t>
            </w:r>
          </w:p>
        </w:tc>
        <w:tc>
          <w:tcPr>
            <w:tcW w:type="dxa" w:w="4320"/>
          </w:tcPr>
          <w:p>
            <w:r>
              <w:t>accessories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Return window (days)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Returns Policy Office, Mumbai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cycle</w:t>
            </w:r>
          </w:p>
        </w:tc>
        <w:tc>
          <w:tcPr>
            <w:tcW w:type="dxa" w:w="4320"/>
          </w:tcPr>
          <w:p>
            <w:r>
              <w:t>Annual, or earlier on regulatory change</w:t>
            </w:r>
          </w:p>
        </w:tc>
      </w:tr>
    </w:tbl>
    <w:p/>
    <w:p>
      <w:pPr>
        <w:pStyle w:val="Heading2"/>
      </w:pPr>
      <w:r>
        <w:t>1. Purpose and scope</w:t>
      </w:r>
    </w:p>
    <w:p>
      <w:r>
        <w:t>This policy covers accessories such as USB-C hubs, chargers, cables, protective cases and bags, including FlexFit products.</w:t>
      </w:r>
    </w:p>
    <w:p>
      <w:pPr>
        <w:pStyle w:val="Heading2"/>
      </w:pPr>
      <w:r>
        <w:t>2. Return window</w:t>
      </w:r>
    </w:p>
    <w:p>
      <w:r>
        <w:t>Accessories may be returned within 30 days from delivery. Requests after day 30 are routed to policy exception review.</w:t>
      </w:r>
    </w:p>
    <w:p>
      <w:pPr>
        <w:pStyle w:val="Heading2"/>
      </w:pPr>
      <w:r>
        <w:t>3. Opened package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Package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Unopened, seal intact</w:t>
            </w:r>
          </w:p>
        </w:tc>
        <w:tc>
          <w:tcPr>
            <w:tcW w:type="dxa" w:w="2880"/>
          </w:tcPr>
          <w:p>
            <w:r>
              <w:t>Eligible</w:t>
            </w:r>
          </w:p>
        </w:tc>
        <w:tc>
          <w:tcPr>
            <w:tcW w:type="dxa" w:w="2880"/>
          </w:tcPr>
          <w:p>
            <w:r>
              <w:t>Full refund</w:t>
            </w:r>
          </w:p>
        </w:tc>
      </w:tr>
      <w:tr>
        <w:tc>
          <w:tcPr>
            <w:tcW w:type="dxa" w:w="2880"/>
          </w:tcPr>
          <w:p>
            <w:r>
              <w:t>Opened, unused, all contents present</w:t>
            </w:r>
          </w:p>
        </w:tc>
        <w:tc>
          <w:tcPr>
            <w:tcW w:type="dxa" w:w="2880"/>
          </w:tcPr>
          <w:p>
            <w:r>
              <w:t>Eligible</w:t>
            </w:r>
          </w:p>
        </w:tc>
        <w:tc>
          <w:tcPr>
            <w:tcW w:type="dxa" w:w="2880"/>
          </w:tcPr>
          <w:p>
            <w:r>
              <w:t>Full refund; item graded for open-box resale</w:t>
            </w:r>
          </w:p>
        </w:tc>
      </w:tr>
      <w:tr>
        <w:tc>
          <w:tcPr>
            <w:tcW w:type="dxa" w:w="2880"/>
          </w:tcPr>
          <w:p>
            <w:r>
              <w:t>Opened, used, functioning (change of mind)</w:t>
            </w:r>
          </w:p>
        </w:tc>
        <w:tc>
          <w:tcPr>
            <w:tcW w:type="dxa" w:w="2880"/>
          </w:tcPr>
          <w:p>
            <w:r>
              <w:t>Eligible within window</w:t>
            </w:r>
          </w:p>
        </w:tc>
        <w:tc>
          <w:tcPr>
            <w:tcW w:type="dxa" w:w="2880"/>
          </w:tcPr>
          <w:p>
            <w:r>
              <w:t>Full refund after inspection; open-box or refurbish route</w:t>
            </w:r>
          </w:p>
        </w:tc>
      </w:tr>
      <w:tr>
        <w:tc>
          <w:tcPr>
            <w:tcW w:type="dxa" w:w="2880"/>
          </w:tcPr>
          <w:p>
            <w:r>
              <w:t>Opened, contents missing</w:t>
            </w:r>
          </w:p>
        </w:tc>
        <w:tc>
          <w:tcPr>
            <w:tcW w:type="dxa" w:w="2880"/>
          </w:tcPr>
          <w:p>
            <w:r>
              <w:t>Policy exception review</w:t>
            </w:r>
          </w:p>
        </w:tc>
        <w:tc>
          <w:tcPr>
            <w:tcW w:type="dxa" w:w="2880"/>
          </w:tcPr>
          <w:p>
            <w:r>
              <w:t>No full refund until missing items are returned or an exception is approved</w:t>
            </w:r>
          </w:p>
        </w:tc>
      </w:tr>
      <w:tr>
        <w:tc>
          <w:tcPr>
            <w:tcW w:type="dxa" w:w="2880"/>
          </w:tcPr>
          <w:p>
            <w:r>
              <w:t>Defective (verified)</w:t>
            </w:r>
          </w:p>
        </w:tc>
        <w:tc>
          <w:tcPr>
            <w:tcW w:type="dxa" w:w="2880"/>
          </w:tcPr>
          <w:p>
            <w:r>
              <w:t>Eligible</w:t>
            </w:r>
          </w:p>
        </w:tc>
        <w:tc>
          <w:tcPr>
            <w:tcW w:type="dxa" w:w="2880"/>
          </w:tcPr>
          <w:p>
            <w:r>
              <w:t>Refund, or warranty replacement after the window</w:t>
            </w:r>
          </w:p>
        </w:tc>
      </w:tr>
    </w:tbl>
    <w:p/>
    <w:p>
      <w:pPr>
        <w:pStyle w:val="Heading2"/>
      </w:pPr>
      <w:r>
        <w:t>4. Missing accessories</w:t>
      </w:r>
    </w:p>
    <w:p>
      <w:r>
        <w:t>Inspectors record accessories_complete for every return. If any packed item listed on the product page is missing (for example the travel pouch of a USB-C hub), the return is held for policy exception review. The customer is contacted to send the missing items before a partial or full refund is considered.</w:t>
      </w:r>
    </w:p>
    <w:p>
      <w:pPr>
        <w:pStyle w:val="Heading2"/>
      </w:pPr>
      <w:r>
        <w:t>5. Required documentation</w:t>
      </w:r>
    </w:p>
    <w:p>
      <w:pPr>
        <w:pStyle w:val="ListBullet"/>
      </w:pPr>
      <w:r>
        <w:t>Order ID and return ID.</w:t>
      </w:r>
    </w:p>
    <w:p>
      <w:pPr>
        <w:pStyle w:val="ListBullet"/>
      </w:pPr>
      <w:r>
        <w:t>Photograph of package contents.</w:t>
      </w:r>
    </w:p>
    <w:p>
      <w:pPr>
        <w:pStyle w:val="ListBullet"/>
      </w:pPr>
      <w:r>
        <w:t>For defects: description of the port or function that fails and the host device used.</w:t>
      </w:r>
    </w:p>
    <w:p>
      <w:pPr>
        <w:pStyle w:val="Heading2"/>
      </w:pPr>
      <w:r>
        <w:t>6. Refund approval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Refund 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Up to INR 10,000</w:t>
            </w:r>
          </w:p>
        </w:tc>
        <w:tc>
          <w:tcPr>
            <w:tcW w:type="dxa" w:w="2880"/>
          </w:tcPr>
          <w:p>
            <w:r>
              <w:t>Returns analyst</w:t>
            </w:r>
          </w:p>
        </w:tc>
        <w:tc>
          <w:tcPr>
            <w:tcW w:type="dxa" w:w="2880"/>
          </w:tcPr>
          <w:p>
            <w:r>
              <w:t>Every refund raised by the returns investigation assistant needs a human approval before execution.</w:t>
            </w:r>
          </w:p>
        </w:tc>
      </w:tr>
      <w:tr>
        <w:tc>
          <w:tcPr>
            <w:tcW w:type="dxa" w:w="2880"/>
          </w:tcPr>
          <w:p>
            <w:r>
              <w:t>INR 10,000.01 to INR 50,000</w:t>
            </w:r>
          </w:p>
        </w:tc>
        <w:tc>
          <w:tcPr>
            <w:tcW w:type="dxa" w:w="2880"/>
          </w:tcPr>
          <w:p>
            <w:r>
              <w:t>Returns supervisor</w:t>
            </w:r>
          </w:p>
        </w:tc>
        <w:tc>
          <w:tcPr>
            <w:tcW w:type="dxa" w:w="2880"/>
          </w:tcPr>
          <w:p>
            <w:r>
              <w:t>Analyst recommendation plus supervisor sign-off.</w:t>
            </w:r>
          </w:p>
        </w:tc>
      </w:tr>
      <w:tr>
        <w:tc>
          <w:tcPr>
            <w:tcW w:type="dxa" w:w="2880"/>
          </w:tcPr>
          <w:p>
            <w:r>
              <w:t>Above INR 50,000</w:t>
            </w:r>
          </w:p>
        </w:tc>
        <w:tc>
          <w:tcPr>
            <w:tcW w:type="dxa" w:w="2880"/>
          </w:tcPr>
          <w:p>
            <w:r>
              <w:t>Returns supervisor and Finance controller</w:t>
            </w:r>
          </w:p>
        </w:tc>
        <w:tc>
          <w:tcPr>
            <w:tcW w:type="dxa" w:w="2880"/>
          </w:tcPr>
          <w:p>
            <w:r>
              <w:t>Dual approval; inspection report must be attached.</w:t>
            </w:r>
          </w:p>
        </w:tc>
      </w:tr>
      <w:tr>
        <w:tc>
          <w:tcPr>
            <w:tcW w:type="dxa" w:w="2880"/>
          </w:tcPr>
          <w:p>
            <w:r>
              <w:t>Any amount with an open investigation case</w:t>
            </w:r>
          </w:p>
        </w:tc>
        <w:tc>
          <w:tcPr>
            <w:tcW w:type="dxa" w:w="2880"/>
          </w:tcPr>
          <w:p>
            <w:r>
              <w:t>Returns supervisor</w:t>
            </w:r>
          </w:p>
        </w:tc>
        <w:tc>
          <w:tcPr>
            <w:tcW w:type="dxa" w:w="2880"/>
          </w:tcPr>
          <w:p>
            <w:r>
              <w:t>Refund is held until the case is resolved.</w:t>
            </w:r>
          </w:p>
        </w:tc>
      </w:tr>
    </w:tbl>
    <w:p/>
    <w:p>
      <w:pPr>
        <w:pStyle w:val="Heading2"/>
      </w:pPr>
      <w:r>
        <w:t>7. Refund rules</w:t>
      </w:r>
    </w:p>
    <w:p>
      <w:pPr>
        <w:pStyle w:val="ListBullet"/>
      </w:pPr>
      <w:r>
        <w:t>A return may have at most one completed refund. Before any refund is requested, the refunds ledger must be checked; if a completed refund already exists for the return_id, no further refund may be requested or executed.</w:t>
      </w:r>
    </w:p>
    <w:p>
      <w:pPr>
        <w:pStyle w:val="ListBullet"/>
      </w:pPr>
      <w:r>
        <w:t>Refunds are issued to the original payment method within 5–7 business days of approval. Store credit is issued only when the customer selects it.</w:t>
      </w:r>
    </w:p>
    <w:p>
      <w:pPr>
        <w:pStyle w:val="ListBullet"/>
      </w:pPr>
      <w:r>
        <w:t>Refund amounts may not exceed the unit price paid on the order line (order_items.unit_price), excluding any promotional cashback already reversed.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POL-ACC-2024-01 v2.1 — Internal use only — ShopSphere Retail.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Accessories Return Policy</dc:title>
  <dc:subject>ShopSphere Retail — hubs, cables, cases, bags and small accessories (including FlexFit)</dc:subject>
  <dc:creator>ShopSphere Retail</dc:creator>
  <cp:keywords/>
  <dc:description>generated by python-docx</dc:description>
  <cp:lastModifiedBy>ShopSphere Retail</cp:lastModifiedBy>
  <cp:revision>1</cp:revision>
  <dcterms:created xsi:type="dcterms:W3CDTF">2026-03-20T12:00:00Z</dcterms:created>
  <dcterms:modified xsi:type="dcterms:W3CDTF">2026-03-20T12:00:00Z</dcterms:modified>
  <cp:category/>
</cp:coreProperties>
</file>