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 and Apparel Return Policy</w:t>
      </w:r>
    </w:p>
    <w:p>
      <w:r>
        <w:rPr>
          <w:i/>
        </w:rPr>
        <w:t>ShopSphere Retail — clothing, footwear and textiles (including UrbanWeave)</w:t>
      </w:r>
    </w:p>
    <w:tbl>
      <w:tblPr>
        <w:tblStyle w:val="TableGrid"/>
        <w:tblW w:type="auto" w:w="0"/>
        <w:tblLook w:firstColumn="1" w:firstRow="1" w:lastColumn="0" w:lastRow="0" w:noHBand="0" w:noVBand="1" w:val="04A0"/>
      </w:tblPr>
      <w:tblGrid>
        <w:gridCol w:w="4320"/>
        <w:gridCol w:w="4320"/>
      </w:tblGrid>
      <w:tr>
        <w:tc>
          <w:tcPr>
            <w:tcW w:type="dxa" w:w="4320"/>
          </w:tcPr>
          <w:p>
            <w:r>
              <w:rPr>
                <w:b/>
              </w:rPr>
              <w:t>Policy ID</w:t>
            </w:r>
          </w:p>
        </w:tc>
        <w:tc>
          <w:tcPr>
            <w:tcW w:type="dxa" w:w="4320"/>
          </w:tcPr>
          <w:p>
            <w:r>
              <w:t>POL-FASH-2024-02</w:t>
            </w:r>
          </w:p>
        </w:tc>
      </w:tr>
      <w:tr>
        <w:tc>
          <w:tcPr>
            <w:tcW w:type="dxa" w:w="4320"/>
          </w:tcPr>
          <w:p>
            <w:r>
              <w:rPr>
                <w:b/>
              </w:rPr>
              <w:t>Version</w:t>
            </w:r>
          </w:p>
        </w:tc>
        <w:tc>
          <w:tcPr>
            <w:tcW w:type="dxa" w:w="4320"/>
          </w:tcPr>
          <w:p>
            <w:r>
              <w:t>2.4</w:t>
            </w:r>
          </w:p>
        </w:tc>
      </w:tr>
      <w:tr>
        <w:tc>
          <w:tcPr>
            <w:tcW w:type="dxa" w:w="4320"/>
          </w:tcPr>
          <w:p>
            <w:r>
              <w:rPr>
                <w:b/>
              </w:rPr>
              <w:t>Effective date</w:t>
            </w:r>
          </w:p>
        </w:tc>
        <w:tc>
          <w:tcPr>
            <w:tcW w:type="dxa" w:w="4320"/>
          </w:tcPr>
          <w:p>
            <w:r>
              <w:t>2025-01-01</w:t>
            </w:r>
          </w:p>
        </w:tc>
      </w:tr>
      <w:tr>
        <w:tc>
          <w:tcPr>
            <w:tcW w:type="dxa" w:w="4320"/>
          </w:tcPr>
          <w:p>
            <w:r>
              <w:rPr>
                <w:b/>
              </w:rPr>
              <w:t>Applicable category</w:t>
            </w:r>
          </w:p>
        </w:tc>
        <w:tc>
          <w:tcPr>
            <w:tcW w:type="dxa" w:w="4320"/>
          </w:tcPr>
          <w:p>
            <w:r>
              <w:t>fashion</w:t>
            </w:r>
          </w:p>
        </w:tc>
      </w:tr>
      <w:tr>
        <w:tc>
          <w:tcPr>
            <w:tcW w:type="dxa" w:w="4320"/>
          </w:tcPr>
          <w:p>
            <w:r>
              <w:rPr>
                <w:b/>
              </w:rPr>
              <w:t>Return window (days)</w:t>
            </w:r>
          </w:p>
        </w:tc>
        <w:tc>
          <w:tcPr>
            <w:tcW w:type="dxa" w:w="4320"/>
          </w:tcPr>
          <w:p>
            <w:r>
              <w:t>15</w:t>
            </w:r>
          </w:p>
        </w:tc>
      </w:tr>
      <w:tr>
        <w:tc>
          <w:tcPr>
            <w:tcW w:type="dxa" w:w="4320"/>
          </w:tcPr>
          <w:p>
            <w:r>
              <w:rPr>
                <w:b/>
              </w:rPr>
              <w:t>Policy owner</w:t>
            </w:r>
          </w:p>
        </w:tc>
        <w:tc>
          <w:tcPr>
            <w:tcW w:type="dxa" w:w="4320"/>
          </w:tcPr>
          <w:p>
            <w:r>
              <w:t>Returns Policy Office, Mumbai</w:t>
            </w:r>
          </w:p>
        </w:tc>
      </w:tr>
      <w:tr>
        <w:tc>
          <w:tcPr>
            <w:tcW w:type="dxa" w:w="4320"/>
          </w:tcPr>
          <w:p>
            <w:r>
              <w:rPr>
                <w:b/>
              </w:rPr>
              <w:t>Review cycle</w:t>
            </w:r>
          </w:p>
        </w:tc>
        <w:tc>
          <w:tcPr>
            <w:tcW w:type="dxa" w:w="4320"/>
          </w:tcPr>
          <w:p>
            <w:r>
              <w:t>Annual, or earlier on regulatory change</w:t>
            </w:r>
          </w:p>
        </w:tc>
      </w:tr>
    </w:tbl>
    <w:p/>
    <w:p>
      <w:pPr>
        <w:pStyle w:val="Heading2"/>
      </w:pPr>
      <w:r>
        <w:t>1. Purpose and scope</w:t>
      </w:r>
    </w:p>
    <w:p>
      <w:r>
        <w:t>This policy covers returns and exchanges for products in the fashion category, including shirts, trousers, dresses, footwear and textile accessories. Fashion products are not serial-tracked; identity checks rely on the SKU label, brand tags and the order line.</w:t>
      </w:r>
    </w:p>
    <w:p>
      <w:pPr>
        <w:pStyle w:val="Heading2"/>
      </w:pPr>
      <w:r>
        <w:t>2. Return window</w:t>
      </w:r>
    </w:p>
    <w:p>
      <w:r>
        <w:t>Fashion items may be returned within 15 days from delivery (day 0 is the delivery date in the delivery system). Requests after the window are routed to policy exception review.</w:t>
      </w:r>
    </w:p>
    <w:p>
      <w:pPr>
        <w:pStyle w:val="Heading2"/>
      </w:pPr>
      <w:r>
        <w:t>3. Eligibility: size and colour</w:t>
      </w:r>
    </w:p>
    <w:p>
      <w:pPr>
        <w:pStyle w:val="ListBullet"/>
      </w:pPr>
      <w:r>
        <w:t>Size or colour exchanges are accepted when the item is unworn, unwashed and has all brand tags attached.</w:t>
      </w:r>
    </w:p>
    <w:p>
      <w:pPr>
        <w:pStyle w:val="ListBullet"/>
      </w:pPr>
      <w:r>
        <w:t>If the size or colour delivered differs from the order line, the return is treated as a fulfilment error and the customer is not charged return shipping.</w:t>
      </w:r>
    </w:p>
    <w:p>
      <w:pPr>
        <w:pStyle w:val="ListBullet"/>
      </w:pPr>
      <w:r>
        <w:t>If the customer ordered the size received, the return is a change-of-mind return and standard conditions apply.</w:t>
      </w:r>
    </w:p>
    <w:p>
      <w:pPr>
        <w:pStyle w:val="Heading2"/>
      </w:pPr>
      <w:r>
        <w:t>4. Hygiene and sealed items</w:t>
      </w:r>
    </w:p>
    <w:p>
      <w:r>
        <w:t>Innerwear, swimwear, socks and items supplied in a hygiene seal cannot be returned once the seal is broken, except where the item is defective or a different product was delivered. Inspectors must record whether the hygiene seal was intact on receipt.</w:t>
      </w:r>
    </w:p>
    <w:p>
      <w:pPr>
        <w:pStyle w:val="Heading2"/>
      </w:pPr>
      <w:r>
        <w:t>5. Wrong product and record discrepancies</w:t>
      </w:r>
    </w:p>
    <w:p>
      <w:r>
        <w:t>When the SKU label on the returned item does not match the order line, or the reason on the return record does not fit the product purchased (for example a size complaint against a non-sized item), the inspector records the discrepancy verbatim and an investigation case is opened (product_mismatch or data_correction). Investigation notes must describe evidence, not customer intent. Where records disagree (for example serial numbers or SKUs), the outcome is recorded as “additional verification required” and the case is routed for manual review.</w:t>
      </w:r>
    </w:p>
    <w:p>
      <w:pPr>
        <w:pStyle w:val="Heading2"/>
      </w:pPr>
      <w:r>
        <w:t>6. Required documentation</w:t>
      </w:r>
    </w:p>
    <w:p>
      <w:pPr>
        <w:pStyle w:val="ListBullet"/>
      </w:pPr>
      <w:r>
        <w:t>Order ID and return ID.</w:t>
      </w:r>
    </w:p>
    <w:p>
      <w:pPr>
        <w:pStyle w:val="ListBullet"/>
      </w:pPr>
      <w:r>
        <w:t>Photograph of brand tags and SKU label.</w:t>
      </w:r>
    </w:p>
    <w:p>
      <w:pPr>
        <w:pStyle w:val="ListBullet"/>
      </w:pPr>
      <w:r>
        <w:t>For defects: photograph of the defect (seam failure, dye bleed, misprint).</w:t>
      </w:r>
    </w:p>
    <w:p>
      <w:pPr>
        <w:pStyle w:val="Heading2"/>
      </w:pPr>
      <w:r>
        <w:t>7. Refund approval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Refund amount</w:t>
            </w:r>
          </w:p>
        </w:tc>
        <w:tc>
          <w:tcPr>
            <w:tcW w:type="dxa" w:w="2880"/>
          </w:tcPr>
          <w:p>
            <w:r>
              <w:rPr>
                <w:b/>
              </w:rPr>
              <w:t>Approver</w:t>
            </w:r>
          </w:p>
        </w:tc>
        <w:tc>
          <w:tcPr>
            <w:tcW w:type="dxa" w:w="2880"/>
          </w:tcPr>
          <w:p>
            <w:r>
              <w:rPr>
                <w:b/>
              </w:rPr>
              <w:t>Notes</w:t>
            </w:r>
          </w:p>
        </w:tc>
      </w:tr>
      <w:tr>
        <w:tc>
          <w:tcPr>
            <w:tcW w:type="dxa" w:w="2880"/>
          </w:tcPr>
          <w:p>
            <w:r>
              <w:t>Up to INR 10,000</w:t>
            </w:r>
          </w:p>
        </w:tc>
        <w:tc>
          <w:tcPr>
            <w:tcW w:type="dxa" w:w="2880"/>
          </w:tcPr>
          <w:p>
            <w:r>
              <w:t>Returns analyst</w:t>
            </w:r>
          </w:p>
        </w:tc>
        <w:tc>
          <w:tcPr>
            <w:tcW w:type="dxa" w:w="2880"/>
          </w:tcPr>
          <w:p>
            <w:r>
              <w:t>Every refund raised by the returns investigation assistant needs a human approval before execution.</w:t>
            </w:r>
          </w:p>
        </w:tc>
      </w:tr>
      <w:tr>
        <w:tc>
          <w:tcPr>
            <w:tcW w:type="dxa" w:w="2880"/>
          </w:tcPr>
          <w:p>
            <w:r>
              <w:t>INR 10,000.01 to INR 50,000</w:t>
            </w:r>
          </w:p>
        </w:tc>
        <w:tc>
          <w:tcPr>
            <w:tcW w:type="dxa" w:w="2880"/>
          </w:tcPr>
          <w:p>
            <w:r>
              <w:t>Returns supervisor</w:t>
            </w:r>
          </w:p>
        </w:tc>
        <w:tc>
          <w:tcPr>
            <w:tcW w:type="dxa" w:w="2880"/>
          </w:tcPr>
          <w:p>
            <w:r>
              <w:t>Analyst recommendation plus supervisor sign-off.</w:t>
            </w:r>
          </w:p>
        </w:tc>
      </w:tr>
      <w:tr>
        <w:tc>
          <w:tcPr>
            <w:tcW w:type="dxa" w:w="2880"/>
          </w:tcPr>
          <w:p>
            <w:r>
              <w:t>Above INR 50,000</w:t>
            </w:r>
          </w:p>
        </w:tc>
        <w:tc>
          <w:tcPr>
            <w:tcW w:type="dxa" w:w="2880"/>
          </w:tcPr>
          <w:p>
            <w:r>
              <w:t>Returns supervisor and Finance controller</w:t>
            </w:r>
          </w:p>
        </w:tc>
        <w:tc>
          <w:tcPr>
            <w:tcW w:type="dxa" w:w="2880"/>
          </w:tcPr>
          <w:p>
            <w:r>
              <w:t>Dual approval; inspection report must be attached.</w:t>
            </w:r>
          </w:p>
        </w:tc>
      </w:tr>
      <w:tr>
        <w:tc>
          <w:tcPr>
            <w:tcW w:type="dxa" w:w="2880"/>
          </w:tcPr>
          <w:p>
            <w:r>
              <w:t>Any amount with an open investigation case</w:t>
            </w:r>
          </w:p>
        </w:tc>
        <w:tc>
          <w:tcPr>
            <w:tcW w:type="dxa" w:w="2880"/>
          </w:tcPr>
          <w:p>
            <w:r>
              <w:t>Returns supervisor</w:t>
            </w:r>
          </w:p>
        </w:tc>
        <w:tc>
          <w:tcPr>
            <w:tcW w:type="dxa" w:w="2880"/>
          </w:tcPr>
          <w:p>
            <w:r>
              <w:t>Refund is held until the case is resolved.</w:t>
            </w:r>
          </w:p>
        </w:tc>
      </w:tr>
    </w:tbl>
    <w:p/>
    <w:p>
      <w:pPr>
        <w:pStyle w:val="Heading2"/>
      </w:pPr>
      <w:r>
        <w:t>8. Refund rules</w:t>
      </w:r>
    </w:p>
    <w:p>
      <w:pPr>
        <w:pStyle w:val="ListBullet"/>
      </w:pPr>
      <w:r>
        <w:t>A return may have at most one completed refund. Before any refund is requested, the refunds ledger must be checked; if a completed refund already exists for the return_id, no further refund may be requested or executed.</w:t>
      </w:r>
    </w:p>
    <w:p>
      <w:pPr>
        <w:pStyle w:val="ListBullet"/>
      </w:pPr>
      <w:r>
        <w:t>Refunds are issued to the original payment method within 5–7 business days of approval. Store credit is issued only when the customer selects it.</w:t>
      </w:r>
    </w:p>
    <w:p>
      <w:pPr>
        <w:pStyle w:val="ListBullet"/>
      </w:pPr>
      <w:r>
        <w:t>Refund amounts may not exceed the unit price paid on the order line (order_items.unit_price), excluding any promotional cashback already reversed.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POL-FASH-2024-02 v2.4 — Internal use only — ShopSphere Retail.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and Apparel Return Policy</dc:title>
  <dc:subject>ShopSphere Retail — clothing, footwear and textiles (including UrbanWeave)</dc:subject>
  <dc:creator>ShopSphere Retail</dc:creator>
  <cp:keywords/>
  <dc:description>generated by python-docx</dc:description>
  <cp:lastModifiedBy>ShopSphere Retail</cp:lastModifiedBy>
  <cp:revision>1</cp:revision>
  <dcterms:created xsi:type="dcterms:W3CDTF">2026-03-20T12:00:00Z</dcterms:created>
  <dcterms:modified xsi:type="dcterms:W3CDTF">2026-03-20T12:00:00Z</dcterms:modified>
  <cp:category/>
</cp:coreProperties>
</file>