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Accessories Limited Warranty</w:t>
      </w:r>
    </w:p>
    <w:p>
      <w:r>
        <w:rPr>
          <w:i/>
        </w:rPr>
        <w:t>ShopSphere Retail — category accessories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Warranty document</w:t>
            </w:r>
          </w:p>
        </w:tc>
        <w:tc>
          <w:tcPr>
            <w:tcW w:type="dxa" w:w="4320"/>
          </w:tcPr>
          <w:p>
            <w:r>
              <w:t>WTY-ACC-2025-01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accessories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 in catalogue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/>
    <w:p>
      <w:pPr>
        <w:pStyle w:val="Heading2"/>
      </w:pPr>
      <w:r>
        <w:t>Warranty tiers in the current catalogue</w:t>
      </w:r>
    </w:p>
    <w:p>
      <w:r>
        <w:t>The warranty period for each product is recorded in products.warranty_months. Current distribution: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Warranty period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Number of products</w:t>
            </w:r>
          </w:p>
        </w:tc>
      </w:tr>
      <w:tr>
        <w:tc>
          <w:tcPr>
            <w:tcW w:type="dxa" w:w="4320"/>
          </w:tcPr>
          <w:p>
            <w:r>
              <w:t>0 months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6 months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12 months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/>
    <w:p>
      <w:pPr>
        <w:pStyle w:val="Heading2"/>
      </w:pPr>
      <w:r>
        <w:t>Coverage</w:t>
      </w:r>
    </w:p>
    <w:p>
      <w:r>
        <w:t>Accessories in the current catalogue carry 0, 6 or 12 months. FlexFit USB-C Hub 7-in-1 carries 6 months. Accessories with 0 months are covered by the 30-day return window only.</w:t>
      </w:r>
    </w:p>
    <w:p>
      <w:pPr>
        <w:pStyle w:val="Heading2"/>
      </w:pPr>
      <w:r>
        <w:t>Replacement first</w:t>
      </w:r>
    </w:p>
    <w:p>
      <w:r>
        <w:t>Accessory warranty claims are resolved by like-for-like replacement where stock exists; refund otherwise.</w:t>
      </w:r>
    </w:p>
    <w:p>
      <w:pPr>
        <w:pStyle w:val="Heading2"/>
      </w:pPr>
      <w:r>
        <w:t>Standard conditions</w:t>
      </w:r>
    </w:p>
    <w:p>
      <w:pPr>
        <w:pStyle w:val="ListBullet"/>
      </w:pPr>
      <w:r>
        <w:t>Physical damage to connectors is excluded.</w:t>
      </w:r>
    </w:p>
    <w:p>
      <w:pPr>
        <w:pStyle w:val="ListBullet"/>
      </w:pPr>
      <w:r>
        <w:t>Missing packed items are a return-policy matter, not a warranty matter.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WTY-ACC-2025-01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Accessories Limited Warranty</dc:title>
  <dc:subject>ShopSphere Retail — category accessories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