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Warranty Claims Handling Procedure</w:t>
      </w:r>
    </w:p>
    <w:p>
      <w:r>
        <w:rPr>
          <w:i/>
        </w:rPr>
        <w:t>ShopSphere Retail — cross-category procedure for support and returns analysts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4320"/>
          </w:tcPr>
          <w:p>
            <w:r>
              <w:t>WTY-PROC-2025-03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categories with warranty_months &gt; 0</w:t>
            </w:r>
          </w:p>
        </w:tc>
      </w:tr>
    </w:tbl>
    <w:p/>
    <w:p>
      <w:pPr>
        <w:pStyle w:val="Heading2"/>
      </w:pPr>
      <w:r>
        <w:t>1. Determine the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Days since delivery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Warranty months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</w:tr>
      <w:tr>
        <w:tc>
          <w:tcPr>
            <w:tcW w:type="dxa" w:w="2880"/>
          </w:tcPr>
          <w:p>
            <w:r>
              <w:t>Within category return window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Return (category return policy)</w:t>
            </w:r>
          </w:p>
        </w:tc>
      </w:tr>
      <w:tr>
        <w:tc>
          <w:tcPr>
            <w:tcW w:type="dxa" w:w="2880"/>
          </w:tcPr>
          <w:p>
            <w:r>
              <w:t>After window, within warranty period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  <w:tc>
          <w:tcPr>
            <w:tcW w:type="dxa" w:w="2880"/>
          </w:tcPr>
          <w:p>
            <w:r>
              <w:t>Warranty claim; open warranty_review case</w:t>
            </w:r>
          </w:p>
        </w:tc>
      </w:tr>
      <w:tr>
        <w:tc>
          <w:tcPr>
            <w:tcW w:type="dxa" w:w="2880"/>
          </w:tcPr>
          <w:p>
            <w:r>
              <w:t>After warranty period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Out-of-warranty repair at cost, or policy exception review</w:t>
            </w:r>
          </w:p>
        </w:tc>
      </w:tr>
      <w:tr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Return window only; no warranty claim</w:t>
            </w:r>
          </w:p>
        </w:tc>
      </w:tr>
    </w:tbl>
    <w:p/>
    <w:p>
      <w:pPr>
        <w:pStyle w:val="Heading2"/>
      </w:pPr>
      <w:r>
        <w:t>2. Evidence required</w:t>
      </w:r>
    </w:p>
    <w:p>
      <w:pPr>
        <w:pStyle w:val="ListBullet"/>
      </w:pPr>
      <w:r>
        <w:t>Order ID, return ID and product ID.</w:t>
      </w:r>
    </w:p>
    <w:p>
      <w:pPr>
        <w:pStyle w:val="ListBullet"/>
      </w:pPr>
      <w:r>
        <w:t>Purchased serial number (serial-tracked products) and the serial read from the returned unit.</w:t>
      </w:r>
    </w:p>
    <w:p>
      <w:pPr>
        <w:pStyle w:val="ListBullet"/>
      </w:pPr>
      <w:r>
        <w:t>Inspection report with defect_verified = Yes.</w:t>
      </w:r>
    </w:p>
    <w:p>
      <w:pPr>
        <w:pStyle w:val="Heading2"/>
      </w:pPr>
      <w:r>
        <w:t>3. Worked example</w:t>
      </w:r>
    </w:p>
    <w:p>
      <w:r>
        <w:t>Return R112 (order O112): TechNova Ultrabook 14, serial LT8891, delivered 2026-01-24, return requested 2026-02-13 (20 days after delivery). The product carries 24 months of warranty, so a verified failure is well within the warranty period.</w:t>
      </w:r>
    </w:p>
    <w:p>
      <w:pPr>
        <w:pStyle w:val="Heading2"/>
      </w:pPr>
      <w:r>
        <w:t>4. Outcomes</w:t>
      </w:r>
    </w:p>
    <w:p>
      <w:pPr>
        <w:pStyle w:val="ListBullet"/>
      </w:pPr>
      <w:r>
        <w:t>Repair: create a repair task; repaired unit returned to the customer.</w:t>
      </w:r>
    </w:p>
    <w:p>
      <w:pPr>
        <w:pStyle w:val="ListBullet"/>
      </w:pPr>
      <w:r>
        <w:t>Replacement: dispatch a like-for-like unit; the returned unit follows the recovery framework.</w:t>
      </w:r>
    </w:p>
    <w:p>
      <w:pPr>
        <w:pStyle w:val="ListBullet"/>
      </w:pPr>
      <w:r>
        <w:t>Refund: only with approvals per the category policy thresholds.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WTY-PROC-2025-03 v1.2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Warranty Claims Handling Procedure</dc:title>
  <dc:subject>ShopSphere Retail — cross-category procedure for support and returns analysts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