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 Light" w:hAnsi="Calibri Light"/>
          <w:b/>
          <w:i w:val="0"/>
          <w:color w:val="1F4E79"/>
          <w:sz w:val="48"/>
        </w:rPr>
        <w:t>Intraoral Image Classification Using Deep Learning</w:t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95959"/>
          <w:sz w:val="24"/>
        </w:rPr>
        <w:t>Technical System Specifications &amp; Rigorous Performance Requirements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This document details the complete system specifications, clinical data attributes, reproducible preprocessing methodologies, multi-architecture hyperparameters, hold-out comparative leaderboards, and multi-resolution K-Fold cross-validation robustness profiles. These requirements form the standardized framework for the intraoral dental view classification study, utilizing PyTorch and the Albumentations library.</w:t>
      </w: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1. Clinical Dataset &amp; Structural Attributes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Our analysis operates on a standardized, deduplicated, and class-aware offline augmented clinical dataset. Below are the verified structural parameters of the training, validation, and hold-out test divisions.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 Field</w:t>
            </w:r>
          </w:p>
        </w:tc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Technical Specification &amp; Clinical Breakdown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Total Number of Images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5,234 balanced images (expanded from 2,975 unique cleaned instances)</w:t>
            </w:r>
          </w:p>
        </w:tc>
      </w:tr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Intraoral Image Varieties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8 Classifications: lower_front (650) | lower_left (684) | lower_occlusal (650) | lower_right (650) | upper_front (650) | upper_left (650) | upper_occlusal (650) | upper_right (650)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Spatial Resolution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Standardized at 224 x 224 pixels (RGB, 3 color channels)</w:t>
            </w:r>
          </w:p>
        </w:tc>
      </w:tr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Dataset Split Ratio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Stratified Partition: 70% Training / 15% Validation / 15% Hold-out Testing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Cohort Split Cardinality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3,663 training images, 785 validation images, and 786 unseen testing images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2. Data Preprocessing &amp; Rigorous Integrity Pipeline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To enforce clinical hygiene, avoid overfitting, and eliminate label noise, a robust four-stage preprocessing pipeline was implemented:</w:t>
      </w:r>
    </w:p>
    <w:p>
      <w:pPr>
        <w:pStyle w:val="ListBullet"/>
        <w:spacing w:line="276" w:lineRule="auto" w:after="120"/>
      </w:pPr>
      <w:r>
        <w:rPr>
          <w:rFonts w:ascii="Calibri" w:hAnsi="Calibri"/>
          <w:b/>
          <w:i w:val="0"/>
          <w:color w:val="2B2B2B"/>
          <w:sz w:val="22"/>
        </w:rPr>
        <w:t xml:space="preserve">1. Cryptographic MD5 Deduplication: </w:t>
      </w:r>
      <w:r>
        <w:rPr>
          <w:rFonts w:ascii="Calibri" w:hAnsi="Calibri"/>
          <w:b w:val="0"/>
          <w:i w:val="0"/>
          <w:color w:val="2B2B2B"/>
          <w:sz w:val="22"/>
        </w:rPr>
        <w:t>All raw images were scanned using MD5 checksum hashing. This eliminated 967 redundant duplicate within-class image copies (24.5% of raw collection). Additionally, 4 cross-class label conflicts (representing 8 image files) were completely discarded as label noise to ensure clear decision boundaries.</w:t>
      </w:r>
    </w:p>
    <w:p>
      <w:pPr>
        <w:pStyle w:val="ListBullet"/>
        <w:spacing w:line="276" w:lineRule="auto" w:after="120"/>
      </w:pPr>
      <w:r>
        <w:rPr>
          <w:rFonts w:ascii="Calibri" w:hAnsi="Calibri"/>
          <w:b/>
          <w:i w:val="0"/>
          <w:color w:val="2B2B2B"/>
          <w:sz w:val="22"/>
        </w:rPr>
        <w:t xml:space="preserve">2. Dimensional Resolution Standardization: </w:t>
      </w:r>
      <w:r>
        <w:rPr>
          <w:rFonts w:ascii="Calibri" w:hAnsi="Calibri"/>
          <w:b w:val="0"/>
          <w:i w:val="0"/>
          <w:color w:val="2B2B2B"/>
          <w:sz w:val="22"/>
        </w:rPr>
        <w:t>The remaining 2,975 unique cleaned images were structurally downsampled/upsampled using bilinear interpolation to a standard input resolution of 224 x 224 pixels with 3 RGB color channels.</w:t>
      </w:r>
    </w:p>
    <w:p>
      <w:pPr>
        <w:pStyle w:val="ListBullet"/>
        <w:spacing w:line="276" w:lineRule="auto" w:after="120"/>
      </w:pPr>
      <w:r>
        <w:rPr>
          <w:rFonts w:ascii="Calibri" w:hAnsi="Calibri"/>
          <w:b/>
          <w:i w:val="0"/>
          <w:color w:val="2B2B2B"/>
          <w:sz w:val="22"/>
        </w:rPr>
        <w:t xml:space="preserve">3. Tier-Based Class-Aware Augmentation: </w:t>
      </w:r>
      <w:r>
        <w:rPr>
          <w:rFonts w:ascii="Calibri" w:hAnsi="Calibri"/>
          <w:b w:val="0"/>
          <w:i w:val="0"/>
          <w:color w:val="2B2B2B"/>
          <w:sz w:val="22"/>
        </w:rPr>
        <w:t>Offline augmentations via Albumentations balanced all minority classes to a targeted threshold of ~650 images each, producing 2,259 unique synthetic images. Modalities were limited to small rotations (max +-15 degrees), exposure/contrast jitter, random resized crop, Gaussian defocus blur, tissue saturation value adjustment (Hue locked at 0), and sharpening. In-memory MD5 unique filters guaranteed zero exact duplicate outputs in the final balanced dataset of 5,234 images. All flips (horizontal/vertical) and elastic warping were strictly banned to prevent Left-Right view confusion and clinical anatomical distortion.</w:t>
      </w:r>
    </w:p>
    <w:p>
      <w:pPr>
        <w:pStyle w:val="ListBullet"/>
        <w:spacing w:line="276" w:lineRule="auto" w:after="120"/>
      </w:pPr>
      <w:r>
        <w:rPr>
          <w:rFonts w:ascii="Calibri" w:hAnsi="Calibri"/>
          <w:b/>
          <w:i w:val="0"/>
          <w:color w:val="2B2B2B"/>
          <w:sz w:val="22"/>
        </w:rPr>
        <w:t xml:space="preserve">4. Isolated Stratified Splitting: </w:t>
      </w:r>
      <w:r>
        <w:rPr>
          <w:rFonts w:ascii="Calibri" w:hAnsi="Calibri"/>
          <w:b w:val="0"/>
          <w:i w:val="0"/>
          <w:color w:val="2B2B2B"/>
          <w:sz w:val="22"/>
        </w:rPr>
        <w:t>The final balanced cohort of 5,234 images was partitioned into 70% Training (3,663), 15% Validation (785), and 15% Hold-out Testing (786) to ensure unbiased generalizability metrics.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3. Hyperparameters &amp; Architectural Configurations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Five distinct paradigm families (Classical CNN, Dense CNN, Lightweight CNN, Modern CNN, and Vision Transformer) were evaluated under identical conditions. Below is the detailed comparative hyperparameter configuration matrix.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Hyperparameter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ResNet-50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DenseNet-121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MobileNetV3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ConvNeXt-Tiny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Swin-Tiny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Model Backbone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resnet50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densenet121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mobilenetv3_small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convnext_tiny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swin_tiny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Model Initialization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Pretrained ImageNet-1K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Pretrained ImageNet-1K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Pretrained ImageNet-1K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Pretrained ImageNet-1K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Pretrained ImageNet-22K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Convolution Layers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layers deep, residual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121 layers deep, dense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Depthwise separable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Modernized blocks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None (Vision Transformer)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Attention Mechanism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None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None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Squeeze-and-Excitation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None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Shifted Window Self-Attn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Pooling Strategy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Average Pooling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Average Pooling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Average Pooling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Average Pooling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Average Pooling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FC Output Layer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(768 -&gt; 8)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(1024 -&gt; 8)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(1024 -&gt; 8)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(768 -&gt; 8)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(768 -&gt; 8)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Activation Function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ReLU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ReLU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Hard-Swish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GELU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GELU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Output Activation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Softmax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Softmax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Softmax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Softmax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Softmax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Loss Function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Cross-Entropy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Cross-Entropy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Cross-Entropy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Cross-Entropy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Cross-Entropy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Optimizer Type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(decay=0.01)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(decay=0.01)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(decay=0.01)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(decay=0.01)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(decay=0.01)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Learning Rate Strategy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 1e-3, P2: 1e-4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 1e-3, P2: 1e-4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 1e-3, P2: 1e-4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 1e-3, P2: 1e-4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 1e-3, P2: 1e-4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Batch Size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Number of Epochs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max (10 P1, 40 P2)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max (10 P1, 40 P2)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max (10 P1, 40 P2)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max (10 P1, 40 P2)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 max (10 P1, 40 P2)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Dropout / DropPath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 (None)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 (None)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0.2 (Dropout)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 (None)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0.2 (Stochastic Depth)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Data Augmentation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Tiered Offline Albumentations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Tiered Offline Albumentations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Tiered Offline Albumentations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Tiered Offline Albumentations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Tiered Offline Albumentations</w:t>
            </w:r>
          </w:p>
        </w:tc>
      </w:tr>
      <w:tr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Fine-Tuning gradual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Two-stage unfreezing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Two-stage unfreezing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Two-stage unfreezing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Two-stage unfreezing</w:t>
            </w:r>
          </w:p>
        </w:tc>
        <w:tc>
          <w:tcPr>
            <w:tcW w:type="dxa" w:w="15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Two-stage unfreezing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Evaluation Metrics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Acc, Prec, Recall, F1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Acc, Prec, Recall, F1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Acc, Prec, Recall, F1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Acc, Prec, Recall, F1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Acc, Prec, Recall, F1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4. Cross-Architecture Comparative Evaluation Leaderboard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The trained models were evaluated on the strictly isolated 15% stratified hold-out test set (786 unseen images). The leaderboard below is ranked descending by F1-Score (Macro), representing the standard metric for class-imbalance robustness in diagnostic medical imaging classification.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Model Architecture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Paradigm Family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Params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FLOPs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Accuracy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Precision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Recall</w:t>
            </w:r>
          </w:p>
        </w:tc>
        <w:tc>
          <w:tcPr>
            <w:tcW w:type="dxa" w:w="117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F1-Score</w:t>
            </w:r>
          </w:p>
        </w:tc>
      </w:tr>
      <w:tr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Swin-Tiny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Vision Transformer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28.3M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4.5G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99.11%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99.13%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99.12%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99.11%</w:t>
            </w:r>
          </w:p>
        </w:tc>
      </w:tr>
      <w:tr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ConvNeXt-Tiny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Modern CNN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28.6M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4.5G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</w:tr>
      <w:tr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MobileNetV3-Small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2.5M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0.06G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98.99%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99.00%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98.99%</w:t>
            </w:r>
          </w:p>
        </w:tc>
      </w:tr>
      <w:tr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DenseNet-121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Classical CNN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8.0M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2.9G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</w:tr>
      <w:tr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ResNet-50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Classical CNN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25.6M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4.1G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98.85%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98.86%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98.85%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98.85%</w:t>
            </w:r>
          </w:p>
        </w:tc>
      </w:tr>
      <w:tr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EfficientNet-B2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9.1M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1.0G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98.35%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98.37%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98.35%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98.35%</w:t>
            </w:r>
          </w:p>
        </w:tc>
      </w:tr>
      <w:tr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EfficientNet-B3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12.2M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1.8G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97.46%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97.48%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97.46%</w:t>
            </w:r>
          </w:p>
        </w:tc>
        <w:tc>
          <w:tcPr>
            <w:tcW w:type="dxa" w:w="117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97.46%</w:t>
            </w:r>
          </w:p>
        </w:tc>
      </w:tr>
      <w:tr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DINOv2-Small (ViT-S/14)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Vision Transformer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22.1M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4.6G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94.78%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95.21%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94.77%</w:t>
            </w:r>
          </w:p>
        </w:tc>
        <w:tc>
          <w:tcPr>
            <w:tcW w:type="dxa" w:w="117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94.81%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5. Statistical Robustness &amp; K-Fold Cross-Validation Sweeps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To validate that the peak generalizability of our champion model (Swin-Tiny) was not an artifact of a specific train-test partition, we subjected it to a rigorous multi-resolution stratified cross-validation sweep across K in {2, 3, 5, 7}. The consistently tight standard deviations across all configurations prove that the model is highly invariant to data splitting and represents an clinically-stable classifier.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Dataset Identifier</w:t>
            </w:r>
          </w:p>
        </w:tc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K-Fold Configuration</w:t>
            </w:r>
          </w:p>
        </w:tc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Accuracy % (μ ± σ)</w:t>
            </w:r>
          </w:p>
        </w:tc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Precision % (μ ± σ)</w:t>
            </w:r>
          </w:p>
        </w:tc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Recall % (μ ± σ)</w:t>
            </w:r>
          </w:p>
        </w:tc>
        <w:tc>
          <w:tcPr>
            <w:tcW w:type="dxa" w:w="1560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F1-Score % (μ ± σ)</w:t>
            </w:r>
          </w:p>
        </w:tc>
      </w:tr>
      <w:tr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Intraoral dataset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K=2 (50% train split)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98.18% ± 0.10%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98.20% ± 0.08%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98.19% ± 0.10%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98.18% ± 0.10%</w:t>
            </w:r>
          </w:p>
        </w:tc>
      </w:tr>
      <w:tr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Intraoral dataset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K=3 (66% train split)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99.04% ± 0.22%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99.05% ± 0.22%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99.05% ± 0.22%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99.04% ± 0.22%</w:t>
            </w:r>
          </w:p>
        </w:tc>
      </w:tr>
      <w:tr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Intraoral dataset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K=5 (80% train split)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99.14% ± 0.28%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</w:tr>
      <w:tr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Intraoral dataset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K=7 (85.7% train split)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99.40% ± 0.17%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  <w:tc>
          <w:tcPr>
            <w:tcW w:type="dxa" w:w="1560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</w:tr>
      <w:tr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Intraoral dataset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K=9 (88.9% train split)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 (Not Evaluated)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  <w:tc>
          <w:tcPr>
            <w:tcW w:type="dxa" w:w="1560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i w:val="0"/>
          <w:color w:val="1F4E79"/>
          <w:sz w:val="32"/>
        </w:rPr>
        <w:t>6. Technical System Execution Flow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2B2B2B"/>
          <w:sz w:val="22"/>
        </w:rPr>
        <w:t>The comprehensive system pipeline represents a unified engineering workflow, running from raw clinical ingestion to publication comparison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bottom w:w="150" w:type="dxa"/>
              <w:left w:w="200" w:type="dxa"/>
              <w:right w:w="200" w:type="dxa"/>
            </w:tcMar>
            <w:shd w:fill="F2F2F2"/>
            <w:tcBorders>
              <w:top w:val="none"/>
              <w:bottom w:val="none"/>
              <w:left w:val="single" w:sz="36" w:space="0" w:color="1F4E79"/>
              <w:right w:val="none"/>
            </w:tcBorders>
          </w:tcPr>
          <w:p>
            <w:pPr>
              <w:spacing w:line="300" w:lineRule="auto" w:after="0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Clinical Image Dataset Ingestion ➔ Cryptographic MD5 Deduplication (Phase 1) ➔ Bilinear Standardized Resizing (224x224 RGB) ➔ Class-Aware Tiered Offline Augmentation (Phase 2) ➔ Stratified Train/Val/Test Isolation (70/15/15) ➔ Double-Phase Optimizer Training (Phase 1 Head Calibration ➔ Phase 2 Global Fine-Tuning) ➔ Hold-out Leaderboard Benchmarking ➔ Multi-Resolution K-Fold Sweeps (Statistical Proofs) ➔ Publication-Grade Comparison Report Compilation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