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 Light" w:hAnsi="Calibri Light"/>
          <w:b/>
          <w:i w:val="0"/>
          <w:color w:val="1F4E79"/>
          <w:sz w:val="52"/>
        </w:rPr>
        <w:t>Intraoral Image Classification</w:t>
        <w:br/>
        <w:t>Using Deep Learning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595959"/>
          <w:sz w:val="26"/>
        </w:rPr>
        <w:t>Technical System Specifications &amp; Performance Requirements</w:t>
      </w:r>
    </w:p>
    <w:p>
      <w:pPr>
        <w:spacing w:after="320"/>
        <w:jc w:val="center"/>
        <w:pBdr>
          <w:bottom w:val="single" w:sz="12" w:space="1" w:color="1F4E79"/>
        </w:pBdr>
      </w:pPr>
    </w:p>
    <w:p>
      <w:pPr>
        <w:spacing w:line="276" w:lineRule="auto" w:after="240"/>
      </w:pPr>
      <w:r>
        <w:rPr>
          <w:rFonts w:ascii="Calibri" w:hAnsi="Calibri"/>
          <w:b w:val="0"/>
          <w:i w:val="0"/>
          <w:color w:val="2B2B2B"/>
          <w:sz w:val="22"/>
        </w:rPr>
        <w:t>This document presents the complete pipeline, verified metrics, and statistical robustness results for the 8-class intraoral dental view classification study. Framework: PyTorch with timm. Training: Google Colab GPU (T4/L4). Champion Architecture: Swin Transformer Tiny (F1 99.11%).</w:t>
      </w: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1. </w:t>
      </w:r>
      <w:r>
        <w:rPr>
          <w:rFonts w:ascii="Calibri Light" w:hAnsi="Calibri Light"/>
          <w:b/>
          <w:i w:val="0"/>
          <w:color w:val="1F4E79"/>
          <w:sz w:val="34"/>
        </w:rPr>
        <w:t>Dataset Overview &amp; Structural Attributes</w:t>
      </w:r>
    </w:p>
    <w:p>
      <w:pPr>
        <w:spacing w:before="0" w:after="160"/>
        <w:pBdr>
          <w:bottom w:val="single" w:sz="6" w:space="1" w:color="1F4E79"/>
        </w:pBdr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1.1  Raw Dataset (Source Collection)</w:t>
      </w: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Original clinical intraoral photographs collected across 8 dental view categories.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View Class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Raw Image Count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lower_front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396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lower_left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1,129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Largest raw class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lower_occlusal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639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lower_right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290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upper_front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165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Severe minority class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upper_left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198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Minority class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upper_occlusal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987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upper_right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146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Most underrepresented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TOTAL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3,950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Contains duplicates &amp; label conflicts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1.2  Processed Dataset (After MD5 Deduplication)</w:t>
      </w: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After cryptographic MD5 deduplication: 967 within-class duplicates removed, 4 cross-class label conflicts (8 files) discarded. All images resized to 224×224 RGB.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View Class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Unique Count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Duplicates Removed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Reduction %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lower_front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325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71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17.9%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lower_left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684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445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39.4%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lower_occlusal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621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18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2.8%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lower_right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278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4.1%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upper_front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164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0.6%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upper_left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198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0.0%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upper_occlusal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560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427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43.3%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upper_right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145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0.7%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TOTAL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2,975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975 (incl. 8 cross-class)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24.7%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1.3  Augmented Dataset (Final Balanced Cohort)</w:t>
      </w: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Class-aware tiered offline augmentation via Albumentations balanced minority classes to ~650 images each. 2,259 synthetic images generated (average multiplier 1.76×).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View Class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Original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Augmented Created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Final Count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Augmentation Tier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lower_front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325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325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2 (2.00×)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lower_left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684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684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0 (No aug)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lower_occlusal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621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29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1 (1.05×)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lower_right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278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372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2 (2.34×)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upper_front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164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486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3 (3.96×)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upper_left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198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452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3 (3.28×)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upper_occlusal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560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1 (1.16×)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upper_right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145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505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650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Tier 4 (4.48×)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TOTAL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2,975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2,259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5,234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—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1.4  Final Dataset Split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Attribute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Value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Split %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Image Count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Total Balanced Images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5,234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100%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5,234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Training Set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Stratified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70%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3,663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Validation Set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Stratified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15%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785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Hold-out Test Set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Strictly Unseen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15%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786</w:t>
            </w:r>
          </w:p>
        </w:tc>
      </w:tr>
    </w:tbl>
    <w:p>
      <w:pPr>
        <w:spacing w:after="160"/>
      </w:pPr>
    </w:p>
    <w:p>
      <w:pPr>
        <w:spacing w:line="276" w:lineRule="auto" w:after="40"/>
      </w:pPr>
      <w:r>
        <w:rPr>
          <w:rFonts w:ascii="Calibri" w:hAnsi="Calibri"/>
          <w:b/>
          <w:i w:val="0"/>
          <w:color w:val="2B2B2B"/>
          <w:sz w:val="21"/>
        </w:rPr>
        <w:t xml:space="preserve">Input Resolution: </w:t>
      </w:r>
      <w:r>
        <w:rPr>
          <w:rFonts w:ascii="Calibri" w:hAnsi="Calibri"/>
          <w:b w:val="0"/>
          <w:i w:val="0"/>
          <w:color w:val="2B2B2B"/>
          <w:sz w:val="21"/>
        </w:rPr>
        <w:t xml:space="preserve">224 × 224 pixels (RGB, 3 channels)  |  </w:t>
      </w:r>
      <w:r>
        <w:rPr>
          <w:rFonts w:ascii="Calibri" w:hAnsi="Calibri"/>
          <w:b/>
          <w:i w:val="0"/>
          <w:color w:val="2B2B2B"/>
          <w:sz w:val="21"/>
        </w:rPr>
        <w:t xml:space="preserve">Number of Classes: </w:t>
      </w:r>
      <w:r>
        <w:rPr>
          <w:rFonts w:ascii="Calibri" w:hAnsi="Calibri"/>
          <w:b w:val="0"/>
          <w:i w:val="0"/>
          <w:color w:val="2B2B2B"/>
          <w:sz w:val="21"/>
        </w:rPr>
        <w:t xml:space="preserve">8  |  </w:t>
      </w:r>
      <w:r>
        <w:rPr>
          <w:rFonts w:ascii="Calibri" w:hAnsi="Calibri"/>
          <w:b/>
          <w:i w:val="0"/>
          <w:color w:val="2B2B2B"/>
          <w:sz w:val="21"/>
        </w:rPr>
        <w:t xml:space="preserve">Random Seed: </w:t>
      </w:r>
      <w:r>
        <w:rPr>
          <w:rFonts w:ascii="Calibri" w:hAnsi="Calibri"/>
          <w:b w:val="0"/>
          <w:i w:val="0"/>
          <w:color w:val="2B2B2B"/>
          <w:sz w:val="21"/>
        </w:rPr>
        <w:t>42</w:t>
      </w: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2. </w:t>
      </w:r>
      <w:r>
        <w:rPr>
          <w:rFonts w:ascii="Calibri Light" w:hAnsi="Calibri Light"/>
          <w:b/>
          <w:i w:val="0"/>
          <w:color w:val="1F4E79"/>
          <w:sz w:val="34"/>
        </w:rPr>
        <w:t>Data Preprocessing &amp; Integrity Pipeline</w:t>
      </w:r>
    </w:p>
    <w:p>
      <w:pPr>
        <w:spacing w:before="0" w:after="160"/>
        <w:pBdr>
          <w:bottom w:val="single" w:sz="6" w:space="1" w:color="1F4E79"/>
        </w:pBdr>
      </w:pP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Cryptographic MD5 Deduplication: </w:t>
      </w:r>
      <w:r>
        <w:rPr>
          <w:rFonts w:ascii="Calibri" w:hAnsi="Calibri"/>
          <w:b w:val="0"/>
          <w:i w:val="0"/>
          <w:color w:val="2B2B2B"/>
          <w:sz w:val="21"/>
        </w:rPr>
        <w:t>MD5 hashing across all raw images removed 967 within-class duplicates (24.5% of raw) and 4 cross-class label conflicts (8 file instances) to ensure clean decision boundaries.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Bilinear Resolution Standardization: </w:t>
      </w:r>
      <w:r>
        <w:rPr>
          <w:rFonts w:ascii="Calibri" w:hAnsi="Calibri"/>
          <w:b w:val="0"/>
          <w:i w:val="0"/>
          <w:color w:val="2B2B2B"/>
          <w:sz w:val="21"/>
        </w:rPr>
        <w:t>2,975 unique images resized to 224×224 pixels using bilinear interpolation (RGB 3-channel).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Tiered Class-Aware Augmentation: </w:t>
      </w:r>
      <w:r>
        <w:rPr>
          <w:rFonts w:ascii="Calibri" w:hAnsi="Calibri"/>
          <w:b w:val="0"/>
          <w:i w:val="0"/>
          <w:color w:val="2B2B2B"/>
          <w:sz w:val="21"/>
        </w:rPr>
        <w:t>Offline Albumentations pipeline balanced all classes to ~650 images. Allowed: small rotations (±15°), brightness/contrast jitter (±15%), Gaussian defocus blur, saturation ±10% (hue locked at 0), random resized crop, sharpening. Strictly banned: all flips (H/V), elastic warping — to prevent Left-Right/Upper-Lower anatomical contamination.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In-Memory MD5 Duplicate Filter: </w:t>
      </w:r>
      <w:r>
        <w:rPr>
          <w:rFonts w:ascii="Calibri" w:hAnsi="Calibri"/>
          <w:b w:val="0"/>
          <w:i w:val="0"/>
          <w:color w:val="2B2B2B"/>
          <w:sz w:val="21"/>
        </w:rPr>
        <w:t>Zero exact duplicate outputs guaranteed in the final 5,234-image balanced cohort.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Stratified Partitioning: </w:t>
      </w:r>
      <w:r>
        <w:rPr>
          <w:rFonts w:ascii="Calibri" w:hAnsi="Calibri"/>
          <w:b w:val="0"/>
          <w:i w:val="0"/>
          <w:color w:val="2B2B2B"/>
          <w:sz w:val="21"/>
        </w:rPr>
        <w:t>70% Train (3,663) / 15% Val (785) / 15% Test (786). Class proportions preserved across all splits.</w:t>
      </w:r>
    </w:p>
    <w:p>
      <w:pPr>
        <w:spacing w:after="120"/>
      </w:pP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3. </w:t>
      </w:r>
      <w:r>
        <w:rPr>
          <w:rFonts w:ascii="Calibri Light" w:hAnsi="Calibri Light"/>
          <w:b/>
          <w:i w:val="0"/>
          <w:color w:val="1F4E79"/>
          <w:sz w:val="34"/>
        </w:rPr>
        <w:t>Model Architectures &amp; Hyperparameter Configuration</w:t>
      </w:r>
    </w:p>
    <w:p>
      <w:pPr>
        <w:spacing w:before="0" w:after="160"/>
        <w:pBdr>
          <w:bottom w:val="single" w:sz="6" w:space="1" w:color="1F4E79"/>
        </w:pBdr>
      </w:pP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Eight architectures spanning four paradigm families were trained under identical conditions. All models used ImageNet-pretrained weights with double-phase transfer learning.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3.1  Primary Paradigm Families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Hyperparameter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ResNet-50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DenseNet-121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MobileNetV3-S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ConvNeXt-Tiny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Swin-Tiny ★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Paradigm Family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Classical CNN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Dense CNN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Lightweight CNN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Modern CNN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Vision Transformer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Model Checkpoint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resnet50.a1_in1k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densenet121.ra_in1k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mobilenetv3_small_100.lamb_in1k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convnext_tiny.in12k_ft_in1k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swin_tiny_patch4_window7_224.ms_in22k_ft_in1k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Parameters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25.6M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8.0M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2.5M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28.6M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28.3M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FLOPs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4.1G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2.9G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0.06G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4.5G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4.5G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Pretraining Data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ImageNet-1K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ImageNet-1K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ImageNet-1K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ImageNet-12K→1K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ImageNet-22K→1K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Core Mechanism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Residual Blocks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Dense Connections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Depthwise Sep. Conv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Modernized Blocks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Shifted Window Attn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Attention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None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None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Squeeze-Excite (SE)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None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W-MSA / SW-MSA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Activation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ReLU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ReLU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Hard-Swish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GELU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GELU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Pooling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GAP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GAP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GAP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GAP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GAP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FC Head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Linear → 8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Linear → 8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Linear → 8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Linear → 8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Linear → 8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Loss Function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Weighted CE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Weighted CE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Weighted CE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Weighted CE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Weighted CE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Optimizer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AdamW (wd=0.01)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AdamW (wd=0.01)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AdamW (wd=0.01)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AdamW (wd=0.01)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AdamW (wd=0.01)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LR Schedule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P1:1e-3 / P2:1e-4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P1:1e-3 / P2:1e-4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P1:1e-3 / P2:1e-4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P1:1e-3 / P2:1e-4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P1:1e-3 / P2:1e-4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Batch Size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32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32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32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32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32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Epochs (P1 + P2)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10 + 40 = 50 max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10 + 40 = 50 max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10 + 40 = 50 max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10 + 40 = 50 max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10 + 40 = 50 max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Drop Rate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None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None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Dropout 0.2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None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StochDepth 0.2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Early Stopping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patience=7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patience=7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patience=7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patience=7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patience=7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3.2  Companion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Hyperparameter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EfficientNet-B2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EfficientNet-B3</w:t>
            </w:r>
          </w:p>
        </w:tc>
        <w:tc>
          <w:tcPr>
            <w:tcW w:type="dxa" w:w="2412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DINOv2-Small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Paradigm Family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Self-Supervised ViT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Model Checkpoint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efficientnet_b2.ra_in1k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efficientnet_b3.ra2_in1k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vit_small_patch14_dinov2.lvd142m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Parameters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9.1M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12.2M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22.1M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FLOPs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1.0G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1.8G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4.6G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Pretraining Data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ImageNet-1K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ImageNet-1K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LVD-142M (Self-Sup)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Core Mechanism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Compound Scaling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Compound Scaling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Global Self-Attention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Attention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SE Blocks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SE Blocks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Full MHSA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Activation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SiLU (Swish)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SiLU (Swish)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GELU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Pooling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GAP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GAP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GAP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FC Head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→ 8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→ 8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Linear → 8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Loss Function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Weighted CE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Optimizer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(wd=0.01)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(wd=0.01)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AdamW (wd=0.01)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LR Schedule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P1:1e-3 / P2:1e-4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P1:1e-3 / P2:1e-4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P1:1e-3 / P2:1e-4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Batch Size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Epochs (P1 + P2)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 + 40 = 50 max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 + 40 = 50 max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 + 40 = 50 max</w:t>
            </w:r>
          </w:p>
        </w:tc>
      </w:tr>
      <w:tr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Drop Rate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Dropout 0.3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Dropout 0.3</w:t>
            </w:r>
          </w:p>
        </w:tc>
        <w:tc>
          <w:tcPr>
            <w:tcW w:type="dxa" w:w="241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None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Early Stopping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patience=7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patience=7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patience=7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3.3  Common Training Configuration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Transfer Learning: </w:t>
      </w:r>
      <w:r>
        <w:rPr>
          <w:rFonts w:ascii="Calibri" w:hAnsi="Calibri"/>
          <w:b w:val="0"/>
          <w:i w:val="0"/>
          <w:color w:val="2B2B2B"/>
          <w:sz w:val="21"/>
        </w:rPr>
        <w:t>Double-phase — Phase 1: classifier head calibration (backbone frozen); Phase 2: full model fine-tuning (all layers unfrozen)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LR Warmup: </w:t>
      </w:r>
      <w:r>
        <w:rPr>
          <w:rFonts w:ascii="Calibri" w:hAnsi="Calibri"/>
          <w:b w:val="0"/>
          <w:i w:val="0"/>
          <w:color w:val="2B2B2B"/>
          <w:sz w:val="21"/>
        </w:rPr>
        <w:t>5 epochs cosine warmup at Phase 2 start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Gradient Clipping: </w:t>
      </w:r>
      <w:r>
        <w:rPr>
          <w:rFonts w:ascii="Calibri" w:hAnsi="Calibri"/>
          <w:b w:val="0"/>
          <w:i w:val="0"/>
          <w:color w:val="2B2B2B"/>
          <w:sz w:val="21"/>
        </w:rPr>
        <w:t>Max norm = 1.0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Mixed Precision: </w:t>
      </w:r>
      <w:r>
        <w:rPr>
          <w:rFonts w:ascii="Calibri" w:hAnsi="Calibri"/>
          <w:b w:val="0"/>
          <w:i w:val="0"/>
          <w:color w:val="2B2B2B"/>
          <w:sz w:val="21"/>
        </w:rPr>
        <w:t>AMP (Automatic Mixed Precision) enabled for all runs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Output Activation: </w:t>
      </w:r>
      <w:r>
        <w:rPr>
          <w:rFonts w:ascii="Calibri" w:hAnsi="Calibri"/>
          <w:b w:val="0"/>
          <w:i w:val="0"/>
          <w:color w:val="2B2B2B"/>
          <w:sz w:val="21"/>
        </w:rPr>
        <w:t>Softmax (8-way classification)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Augmentation Policy: </w:t>
      </w:r>
      <w:r>
        <w:rPr>
          <w:rFonts w:ascii="Calibri" w:hAnsi="Calibri"/>
          <w:b w:val="0"/>
          <w:i w:val="0"/>
          <w:color w:val="2B2B2B"/>
          <w:sz w:val="21"/>
        </w:rPr>
        <w:t>Tiered offline Albumentations (medically-safe transforms only, no flips)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Reproducibility Seed: </w:t>
      </w:r>
      <w:r>
        <w:rPr>
          <w:rFonts w:ascii="Calibri" w:hAnsi="Calibri"/>
          <w:b w:val="0"/>
          <w:i w:val="0"/>
          <w:color w:val="2B2B2B"/>
          <w:sz w:val="21"/>
        </w:rPr>
        <w:t>42 (torch + numpy + python random)</w:t>
      </w:r>
    </w:p>
    <w:p>
      <w:pPr>
        <w:spacing w:after="120"/>
      </w:pP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4. </w:t>
      </w:r>
      <w:r>
        <w:rPr>
          <w:rFonts w:ascii="Calibri Light" w:hAnsi="Calibri Light"/>
          <w:b/>
          <w:i w:val="0"/>
          <w:color w:val="1F4E79"/>
          <w:sz w:val="34"/>
        </w:rPr>
        <w:t>Cross-Architecture Comparative Evaluation Leaderboard</w:t>
      </w:r>
    </w:p>
    <w:p>
      <w:pPr>
        <w:spacing w:before="0" w:after="160"/>
        <w:pBdr>
          <w:bottom w:val="single" w:sz="6" w:space="1" w:color="1F4E79"/>
        </w:pBdr>
      </w:pP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Hold-out test set evaluation on 786 strictly unseen images. Ranked by Macro F1-Score.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Rank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Paradigm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Params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FLOPs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Accuracy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Precision (M)</w:t>
            </w:r>
          </w:p>
        </w:tc>
        <w:tc>
          <w:tcPr>
            <w:tcW w:type="dxa" w:w="1206"/>
            <w:shd w:fill="1F4E7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F1-Score (M)</w:t>
            </w:r>
          </w:p>
        </w:tc>
      </w:tr>
      <w:tr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1 ★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Swin-Tiny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Vision Transformer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28.3M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4.5G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99.11%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99.13%</w:t>
            </w:r>
          </w:p>
        </w:tc>
        <w:tc>
          <w:tcPr>
            <w:tcW w:type="dxa" w:w="1206"/>
            <w:shd w:fill="E8F5E9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77641"/>
                <w:sz w:val="19"/>
              </w:rPr>
              <w:t>99.11%</w:t>
            </w:r>
          </w:p>
        </w:tc>
      </w:tr>
      <w:tr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2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ConvNeXt-Tiny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Modern CNN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28.6M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4.5G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99.11%</w:t>
            </w:r>
          </w:p>
        </w:tc>
      </w:tr>
      <w:tr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3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MobileNetV3-S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2.5M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0.06G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98.99%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98.99%</w:t>
            </w:r>
          </w:p>
        </w:tc>
      </w:tr>
      <w:tr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4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DenseNet-121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Classical CNN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8.0M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2.9G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98.98%</w:t>
            </w:r>
          </w:p>
        </w:tc>
      </w:tr>
      <w:tr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5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ResNet-50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Classical CNN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25.6M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4.1G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98.85%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98.86%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98.85%</w:t>
            </w:r>
          </w:p>
        </w:tc>
      </w:tr>
      <w:tr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6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EfficientNet-B2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9.1M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1.0G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98.35%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98.37%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98.35%</w:t>
            </w:r>
          </w:p>
        </w:tc>
      </w:tr>
      <w:tr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7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EfficientNet-B3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Efficient CNN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12.2M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1.8G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97.46%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97.48%</w:t>
            </w:r>
          </w:p>
        </w:tc>
        <w:tc>
          <w:tcPr>
            <w:tcW w:type="dxa" w:w="1206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97.46%</w:t>
            </w:r>
          </w:p>
        </w:tc>
      </w:tr>
      <w:tr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8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DINOv2-Small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Vision Transformer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22.1M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4.6G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94.78%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95.21%</w:t>
            </w:r>
          </w:p>
        </w:tc>
        <w:tc>
          <w:tcPr>
            <w:tcW w:type="dxa" w:w="1206"/>
            <w:shd w:fill="F2F2F2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94.81%</w:t>
            </w:r>
          </w:p>
        </w:tc>
      </w:tr>
    </w:tbl>
    <w:p>
      <w:pPr>
        <w:spacing w:after="160"/>
      </w:pP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5. </w:t>
      </w:r>
      <w:r>
        <w:rPr>
          <w:rFonts w:ascii="Calibri Light" w:hAnsi="Calibri Light"/>
          <w:b/>
          <w:i w:val="0"/>
          <w:color w:val="1F4E79"/>
          <w:sz w:val="34"/>
        </w:rPr>
        <w:t>Per-Class F1-Score Breakdown</w:t>
      </w:r>
    </w:p>
    <w:p>
      <w:pPr>
        <w:spacing w:before="0" w:after="160"/>
        <w:pBdr>
          <w:bottom w:val="single" w:sz="6" w:space="1" w:color="1F4E79"/>
        </w:pBdr>
      </w:pP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Detailed per-class F1-scores on the hold-out test set to identify inter-view performance disparities.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L-Front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L-Left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L-Occl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L-Right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U-Front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U-Left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U-Occl</w:t>
            </w:r>
          </w:p>
        </w:tc>
        <w:tc>
          <w:tcPr>
            <w:tcW w:type="dxa" w:w="1072"/>
            <w:shd w:fill="1F4E7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U-Right</w:t>
            </w:r>
          </w:p>
        </w:tc>
      </w:tr>
      <w:tr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77641"/>
                <w:sz w:val="17"/>
              </w:rPr>
              <w:t>Swin-Tiny ★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0.9846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0.9902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1.0000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0.9949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0.9800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0.9897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1.0000</w:t>
            </w:r>
          </w:p>
        </w:tc>
        <w:tc>
          <w:tcPr>
            <w:tcW w:type="dxa" w:w="1072"/>
            <w:shd w:fill="E8F5E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77641"/>
                <w:sz w:val="17"/>
              </w:rPr>
              <w:t>0.9897</w:t>
            </w:r>
          </w:p>
        </w:tc>
      </w:tr>
      <w:tr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ConvNeXt-Tiny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0.9951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0.9796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0.9741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0.9899</w:t>
            </w:r>
          </w:p>
        </w:tc>
      </w:tr>
      <w:tr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MobileNetV3-S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0.9746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0.9852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0.9848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0.9846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</w:tr>
      <w:tr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DenseNet-121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0.9948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0.9645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0.9846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0.9796</w:t>
            </w:r>
          </w:p>
        </w:tc>
      </w:tr>
      <w:tr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ResNet-50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0.9948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0.9697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0.9691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0.9796</w:t>
            </w:r>
          </w:p>
        </w:tc>
      </w:tr>
      <w:tr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EfficientNet-B2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0.9902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0.9896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0.9898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0.9645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0.9846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0.9548</w:t>
            </w:r>
          </w:p>
        </w:tc>
      </w:tr>
      <w:tr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EfficientNet-B3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0.9796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0.9852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0.9845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0.9848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0.9637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0.9293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0.9697</w:t>
            </w:r>
          </w:p>
        </w:tc>
      </w:tr>
      <w:tr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B2B2B"/>
                <w:sz w:val="17"/>
              </w:rPr>
              <w:t>DINOv2-Small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0.9697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0.9856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0.9949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0.9524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0.8651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0.9149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1.0000</w:t>
            </w:r>
          </w:p>
        </w:tc>
        <w:tc>
          <w:tcPr>
            <w:tcW w:type="dxa" w:w="1072"/>
            <w:shd w:fill="F2F2F2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7"/>
              </w:rPr>
              <w:t>0.9022</w:t>
            </w:r>
          </w:p>
        </w:tc>
      </w:tr>
    </w:tbl>
    <w:p>
      <w:pPr>
        <w:spacing w:line="276" w:lineRule="auto" w:after="160"/>
      </w:pPr>
      <w:r>
        <w:rPr>
          <w:rFonts w:ascii="Calibri" w:hAnsi="Calibri"/>
          <w:b w:val="0"/>
          <w:i/>
          <w:color w:val="808080"/>
          <w:sz w:val="22"/>
        </w:rPr>
        <w:t xml:space="preserve">  Key observation: lower_occlusal and upper_occlusal achieve 1.0000 F1 across 6/8 models — these views have the most visually distinct anatomy.</w:t>
      </w: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6. </w:t>
      </w:r>
      <w:r>
        <w:rPr>
          <w:rFonts w:ascii="Calibri Light" w:hAnsi="Calibri Light"/>
          <w:b/>
          <w:i w:val="0"/>
          <w:color w:val="1F4E79"/>
          <w:sz w:val="34"/>
        </w:rPr>
        <w:t>Champion Model — Swin Transformer Tiny</w:t>
      </w:r>
    </w:p>
    <w:p>
      <w:pPr>
        <w:spacing w:before="0" w:after="160"/>
        <w:pBdr>
          <w:bottom w:val="single" w:sz="6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Mar>
              <w:top w:w="150" w:type="dxa"/>
              <w:bottom w:w="150" w:type="dxa"/>
              <w:left w:w="200" w:type="dxa"/>
              <w:right w:w="200" w:type="dxa"/>
            </w:tcMar>
            <w:shd w:fill="EBF5FB"/>
            <w:tcBorders>
              <w:top w:val="none"/>
              <w:bottom w:val="none"/>
              <w:left w:val="single" w:sz="36" w:space="0" w:color="2776B5"/>
              <w:right w:val="none"/>
            </w:tcBorders>
          </w:tcPr>
          <w:p>
            <w:pPr>
              <w:spacing w:line="312" w:lineRule="auto" w:after="0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Architecture: Swin Transformer Tiny  |  Checkpoint: swin_tiny_patch4_window7_224.ms_in22k_ft_in1k</w:t>
              <w:br/>
              <w:t>Parameters: 28.3M  |  FLOPs: 4.5G  |  Pretraining: ImageNet-22K → 1K</w:t>
              <w:br/>
              <w:t>Core Mechanism: Shifted Window Multi-Head Self-Attention (W-MSA / SW-MSA)</w:t>
              <w:br/>
              <w:t>Hierarchical Feature Stages: 4 (56×56 → 28×28 → 14×14 → 7×7)</w:t>
              <w:br/>
              <w:t>Patch Size: 4 × 4 (3,136 tokens at 224×224)  |  Window Size: 7 × 7</w:t>
              <w:br/>
              <w:t>Hold-out Test Metrics: Accuracy 99.11% | Precision 99.13% | Recall 99.12% | F1 99.11%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Champion Hold-out Per-Class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2776B5"/>
          <w:left w:val="none"/>
          <w:right w:val="none"/>
          <w:insideH w:val="single" w:sz="4" w:space="0" w:color="E0E0E0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View Class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Precision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Recall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F1-Score</w:t>
            </w:r>
          </w:p>
        </w:tc>
        <w:tc>
          <w:tcPr>
            <w:tcW w:type="dxa" w:w="1930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Support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lower_front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0.9846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0.9846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0.9846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lower_left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0.9902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0.9902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0.9902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102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lower_occlusal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lower_right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0.9898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0.9949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upper_front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0.9700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0.9900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upper_left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0.9897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0.9897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0.9897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</w:t>
            </w:r>
          </w:p>
        </w:tc>
      </w:tr>
      <w:tr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upper_occlusal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</w:t>
            </w:r>
          </w:p>
        </w:tc>
      </w:tr>
      <w:tr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upper_right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0.9796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1.0000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0.9897</w:t>
            </w:r>
          </w:p>
        </w:tc>
        <w:tc>
          <w:tcPr>
            <w:tcW w:type="dxa" w:w="193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Key Architectural Advantages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Shifted Window Self-Attention: </w:t>
      </w:r>
      <w:r>
        <w:rPr>
          <w:rFonts w:ascii="Calibri" w:hAnsi="Calibri"/>
          <w:b w:val="0"/>
          <w:i w:val="0"/>
          <w:color w:val="2B2B2B"/>
          <w:sz w:val="21"/>
        </w:rPr>
        <w:t>Local-to-global spatial context propagation — critical for distinguishing similar dental views based on camera angle and arch geometry.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Hierarchical Multi-Scale Features: </w:t>
      </w:r>
      <w:r>
        <w:rPr>
          <w:rFonts w:ascii="Calibri" w:hAnsi="Calibri"/>
          <w:b w:val="0"/>
          <w:i w:val="0"/>
          <w:color w:val="2B2B2B"/>
          <w:sz w:val="21"/>
        </w:rPr>
        <w:t>4-stage pyramid (96→192→384→768 channels) preserves fine-grained dental textures while encoding global arch arrangement.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Superior Pretraining: </w:t>
      </w:r>
      <w:r>
        <w:rPr>
          <w:rFonts w:ascii="Calibri" w:hAnsi="Calibri"/>
          <w:b w:val="0"/>
          <w:i w:val="0"/>
          <w:color w:val="2B2B2B"/>
          <w:sz w:val="21"/>
        </w:rPr>
        <w:t>ImageNet-22K (14.2M images, 21,841 classes) provides richer transferable features vs. standard ImageNet-1K.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2B2B2B"/>
          <w:sz w:val="21"/>
        </w:rPr>
        <w:t xml:space="preserve">Fine-Grained Tokenization: </w:t>
      </w:r>
      <w:r>
        <w:rPr>
          <w:rFonts w:ascii="Calibri" w:hAnsi="Calibri"/>
          <w:b w:val="0"/>
          <w:i w:val="0"/>
          <w:color w:val="2B2B2B"/>
          <w:sz w:val="21"/>
        </w:rPr>
        <w:t>4×4 patch size (3,136 tokens) preserves spatial detail critical for tooth boundary discrimination, vs. DINOv2's 14×14 patches (256 tokens).</w:t>
      </w:r>
    </w:p>
    <w:p>
      <w:pPr>
        <w:spacing w:after="120"/>
      </w:pP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7. </w:t>
      </w:r>
      <w:r>
        <w:rPr>
          <w:rFonts w:ascii="Calibri Light" w:hAnsi="Calibri Light"/>
          <w:b/>
          <w:i w:val="0"/>
          <w:color w:val="1F4E79"/>
          <w:sz w:val="34"/>
        </w:rPr>
        <w:t>K-Fold Cross-Validation Robustness Sweep</w:t>
      </w:r>
    </w:p>
    <w:p>
      <w:pPr>
        <w:spacing w:before="0" w:after="160"/>
        <w:pBdr>
          <w:bottom w:val="single" w:sz="6" w:space="1" w:color="1F4E79"/>
        </w:pBdr>
      </w:pP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Stratified K-Fold cross-validation on the champion model (Swin-Tiny) to prove statistical stability across varying data partitions. All standard deviations σ &lt; 0.30%, confirming high robustness.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Dataset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K-Folds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Accuracy (μ ± σ)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Precision (μ ± σ)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Recall (μ ± σ)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F1-Score (μ ± σ)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Intraoral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K=2 (50% train)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98.18% ± 0.10%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98.20% ± 0.08%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98.19% ± 0.10%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98.18% ± 0.10%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Intraoral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K=3 (66.7% train)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99.04% ± 0.22%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99.05% ± 0.22%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99.05% ± 0.22%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99.04% ± 0.22%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Intraoral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K=5 (80% train)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99.12% ± 0.29%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99.14% ± 0.28%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99.12% ± 0.29%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99.12% ± 0.29%</w:t>
            </w:r>
          </w:p>
        </w:tc>
      </w:tr>
      <w:tr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Intraoral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K=7 (85.7% train)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99.39% ± 0.17%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99.40% ± 0.17%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99.39% ± 0.17%</w:t>
            </w:r>
          </w:p>
        </w:tc>
        <w:tc>
          <w:tcPr>
            <w:tcW w:type="dxa" w:w="1608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99.39% ± 0.17%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Intraoral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K=9 (88.9% train)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N/A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595959"/>
          <w:sz w:val="26"/>
        </w:rPr>
        <w:t>Individual Fold Accuracies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595959"/>
          <w:left w:val="none"/>
          <w:right w:val="none"/>
          <w:insideH w:val="single" w:sz="4" w:space="0" w:color="E0E0E0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 Configuration</w:t>
            </w:r>
          </w:p>
        </w:tc>
        <w:tc>
          <w:tcPr>
            <w:tcW w:type="dxa" w:w="482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Per-Fold Accuracies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K=2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Fold 1: 98.28%  |  Fold 2: 98.09%</w:t>
            </w:r>
          </w:p>
        </w:tc>
      </w:tr>
      <w:tr>
        <w:tc>
          <w:tcPr>
            <w:tcW w:type="dxa" w:w="4824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K=3</w:t>
            </w:r>
          </w:p>
        </w:tc>
        <w:tc>
          <w:tcPr>
            <w:tcW w:type="dxa" w:w="4824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Fold 1: 98.74%  |  Fold 2: 99.14%  |  Fold 3: 99.25%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K=5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F1: 98.66%  |  F2: 99.24%  |  F3: 98.95%  |  F4: 99.52%  |  F5: 99.24%</w:t>
            </w:r>
          </w:p>
        </w:tc>
      </w:tr>
      <w:tr>
        <w:tc>
          <w:tcPr>
            <w:tcW w:type="dxa" w:w="4824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K=7</w:t>
            </w:r>
          </w:p>
        </w:tc>
        <w:tc>
          <w:tcPr>
            <w:tcW w:type="dxa" w:w="4824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F1: 99.33%  |  F2: 99.20%  |  F3: 99.20%  |  F4: 99.33%  |  F5: 99.73%  |  F6: 99.46%  |  F7: 99.46%</w:t>
            </w:r>
          </w:p>
        </w:tc>
      </w:tr>
    </w:tbl>
    <w:p>
      <w:pPr>
        <w:spacing w:line="276" w:lineRule="auto" w:after="160"/>
      </w:pPr>
      <w:r>
        <w:rPr>
          <w:rFonts w:ascii="Calibri" w:hAnsi="Calibri"/>
          <w:b w:val="0"/>
          <w:i/>
          <w:color w:val="808080"/>
          <w:sz w:val="22"/>
        </w:rPr>
        <w:t xml:space="preserve">  Observation: Performance scales monotonically with training data volume (K=2→K=7), with the tightest σ=0.10% at K=2 and the highest mean accuracy 99.39% at K=7.</w:t>
      </w: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8. </w:t>
      </w:r>
      <w:r>
        <w:rPr>
          <w:rFonts w:ascii="Calibri Light" w:hAnsi="Calibri Light"/>
          <w:b/>
          <w:i w:val="0"/>
          <w:color w:val="1F4E79"/>
          <w:sz w:val="34"/>
        </w:rPr>
        <w:t>Research Hypotheses Verdict</w:t>
      </w:r>
    </w:p>
    <w:p>
      <w:pPr>
        <w:spacing w:before="0" w:after="160"/>
        <w:pBdr>
          <w:bottom w:val="single" w:sz="6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Hypothesis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Status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Evidence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H1: Capacity vs Overfitting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✅ Confirmed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Larger Swin (28.3M) outperforms smaller models; early stopping prevents overfitting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H2: EfficientNet Scaling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✅ Confirmed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B3 &gt; B2 on all metrics; marginal gains on ~5K dataset suggest diminishing returns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H3: CNN vs Transformer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⚠️ Partial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Swin &gt; ConvNeXt at same param count; self-attention contributes beyond training recipe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H4: Self-Supervised Transfer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❌ Rejected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DINOv2 (142M pretrain) competitive but did not surpass supervised Swin-Tiny (22K)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H5: Medical Hybrid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— N/A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TransUNet was not included in the final training round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9"/>
              </w:rPr>
              <w:t>H6: Edge Deployment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✅ Confirmed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MobileNetV3 (2.5M params) achieves 98.99% F1 — viable for clinical edge deployment</w:t>
            </w:r>
          </w:p>
        </w:tc>
      </w:tr>
    </w:tbl>
    <w:p>
      <w:pPr>
        <w:spacing w:after="160"/>
      </w:pP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9. </w:t>
      </w:r>
      <w:r>
        <w:rPr>
          <w:rFonts w:ascii="Calibri Light" w:hAnsi="Calibri Light"/>
          <w:b/>
          <w:i w:val="0"/>
          <w:color w:val="1F4E79"/>
          <w:sz w:val="34"/>
        </w:rPr>
        <w:t>Technical System Execution Flow</w:t>
      </w:r>
    </w:p>
    <w:p>
      <w:pPr>
        <w:spacing w:before="0" w:after="160"/>
        <w:pBdr>
          <w:bottom w:val="single" w:sz="6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Mar>
              <w:top w:w="180" w:type="dxa"/>
              <w:bottom w:w="180" w:type="dxa"/>
              <w:left w:w="220" w:type="dxa"/>
              <w:right w:w="220" w:type="dxa"/>
            </w:tcMar>
            <w:shd w:fill="F2F2F2"/>
            <w:tcBorders>
              <w:top w:val="none"/>
              <w:bottom w:val="none"/>
              <w:left w:val="single" w:sz="36" w:space="0" w:color="1F4E79"/>
              <w:right w:val="none"/>
            </w:tcBorders>
          </w:tcPr>
          <w:p>
            <w:pPr>
              <w:spacing w:line="336" w:lineRule="auto" w:after="0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Raw Clinical Image Dataset</w:t>
              <w:br/>
              <w:t xml:space="preserve">    ➔ Cryptographic MD5 Deduplication (967 duplicates + 4 cross-class conflicts removed)</w:t>
              <w:br/>
              <w:t xml:space="preserve">    ➔ Bilinear Resolution Standardization (224×224 RGB)</w:t>
              <w:br/>
              <w:t xml:space="preserve">    ➔ Class-Aware Tiered Offline Augmentation (Albumentations, 2,259 synthetic images)</w:t>
              <w:br/>
              <w:t xml:space="preserve">    ➔ Stratified Train/Val/Test Isolation (70% / 15% / 15%)</w:t>
              <w:br/>
              <w:t xml:space="preserve">    ➔ Phase 1: Classifier Head Calibration (backbone frozen, 10 epochs)</w:t>
              <w:br/>
              <w:t xml:space="preserve">    ➔ Phase 2: Global Fine-Tuning (all layers, 40 epochs, cosine warmup)</w:t>
              <w:br/>
              <w:t xml:space="preserve">    ➔ Hold-out Evaluation &amp; Cross-Architecture Leaderboard (786 unseen images)</w:t>
              <w:br/>
              <w:t xml:space="preserve">    ➔ Multi-Resolution Stratified K-Fold Sweeps (K ∈ {2, 3, 5, 7})</w:t>
              <w:br/>
              <w:t xml:space="preserve">    ➔ Champion Selection &amp; Statistical Robustness Verification</w:t>
              <w:br/>
              <w:t xml:space="preserve">    ➔ Publication-Grade Comparison Report</w:t>
            </w:r>
          </w:p>
        </w:tc>
      </w:tr>
    </w:tbl>
    <w:p>
      <w:pPr>
        <w:spacing w:after="160"/>
      </w:pPr>
    </w:p>
    <w:p>
      <w:pPr>
        <w:keepNext/>
        <w:spacing w:before="440" w:after="40"/>
      </w:pPr>
      <w:r>
        <w:rPr>
          <w:rFonts w:ascii="Calibri Light" w:hAnsi="Calibri Light"/>
          <w:b/>
          <w:i w:val="0"/>
          <w:color w:val="2E75B6"/>
          <w:sz w:val="34"/>
        </w:rPr>
        <w:t xml:space="preserve">10. </w:t>
      </w:r>
      <w:r>
        <w:rPr>
          <w:rFonts w:ascii="Calibri Light" w:hAnsi="Calibri Light"/>
          <w:b/>
          <w:i w:val="0"/>
          <w:color w:val="1F4E79"/>
          <w:sz w:val="34"/>
        </w:rPr>
        <w:t>Generated Visual Outputs Inventory</w:t>
      </w:r>
    </w:p>
    <w:p>
      <w:pPr>
        <w:spacing w:before="0" w:after="160"/>
        <w:pBdr>
          <w:bottom w:val="single" w:sz="6" w:space="1" w:color="1F4E79"/>
        </w:pBdr>
      </w:pPr>
    </w:p>
    <w:p>
      <w:pPr>
        <w:spacing w:line="276" w:lineRule="auto" w:after="80"/>
      </w:pPr>
      <w:r>
        <w:rPr>
          <w:rFonts w:ascii="Calibri" w:hAnsi="Calibri"/>
          <w:b w:val="0"/>
          <w:i w:val="0"/>
          <w:color w:val="2B2B2B"/>
          <w:sz w:val="22"/>
        </w:rPr>
        <w:t>All visual outputs were auto-generated by the pipeline. The following assets are available in the outputs directory for inclusion in the research paper: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8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Category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File Name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Comparison Plots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model_comparison_bar.png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Multi-model bar chart ranked by F1-Score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Comparison Plots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per_class_f1_comparison.png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Per-class F1 grouped bar chart (all 8 models)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Comparison Plots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efficiency_vs_performance.png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Params/FLOPs vs accuracy scatter plot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Comparison Plots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proposed_models_performance.png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Proposed architectures overview visualization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Confusion Matrices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champion_confusion_matrix.png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Swin-Tiny 8×8 confusion matrix (hold-out)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Confusion Matrices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[model]_confusion_matrix.png × 8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Individual confusion matrix for each model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Training Curves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[model]_fig9_training_curves.png × 8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Loss/accuracy convergence curves per model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Training Curves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[model]_fig11_train_val_curves.png × 8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Train vs validation overlay curves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Data Visualization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class_imbalance_balancing.png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Before/after augmentation class distribution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K-Fold Plots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kfold_boxplot.png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K-fold accuracy distribution box plots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K-Fold Plots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kfold_scaling_curve.png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Data scaling curve (K vs accuracy)</w:t>
            </w:r>
          </w:p>
        </w:tc>
      </w:tr>
      <w:tr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K-Fold Plots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kfold_multi_metrics.png</w:t>
            </w:r>
          </w:p>
        </w:tc>
        <w:tc>
          <w:tcPr>
            <w:tcW w:type="dxa" w:w="321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Multi-metric convergence across K values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2B2B2B"/>
                <w:sz w:val="18"/>
              </w:rPr>
              <w:t>K-Fold Plots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kfold_fold_stability.png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18"/>
              </w:rPr>
              <w:t>Per-fold stability analysis</w:t>
            </w:r>
          </w:p>
        </w:tc>
      </w:tr>
    </w:tbl>
    <w:p>
      <w:pPr>
        <w:spacing w:after="200"/>
      </w:pPr>
    </w:p>
    <w:p>
      <w:pPr>
        <w:spacing w:before="240"/>
        <w:jc w:val="center"/>
      </w:pPr>
      <w:r>
        <w:rPr>
          <w:rFonts w:ascii="Calibri Light" w:hAnsi="Calibri Light"/>
          <w:b w:val="0"/>
          <w:i/>
          <w:color w:val="808080"/>
          <w:sz w:val="22"/>
        </w:rPr>
        <w:t>— End of Technical Requirements Document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