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517A" w14:textId="04378EAC" w:rsidR="00AE04B7" w:rsidRPr="00060DDD" w:rsidRDefault="00AE04B7" w:rsidP="00AE04B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gerian" w:hAnsi="Algerian" w:cs="Calibri"/>
          <w:sz w:val="32"/>
          <w:szCs w:val="32"/>
        </w:rPr>
      </w:pPr>
      <w:r w:rsidRPr="00060DDD">
        <w:rPr>
          <w:rStyle w:val="normaltextrun"/>
          <w:rFonts w:ascii="Algerian" w:hAnsi="Algerian" w:cs="Calibri"/>
          <w:sz w:val="32"/>
          <w:szCs w:val="32"/>
          <w:lang w:val="en-US"/>
        </w:rPr>
        <w:t>PROJECT 1</w:t>
      </w:r>
      <w:r w:rsidRPr="00060DDD">
        <w:rPr>
          <w:rStyle w:val="eop"/>
          <w:rFonts w:ascii="Algerian" w:hAnsi="Algerian" w:cs="Calibri"/>
          <w:sz w:val="32"/>
          <w:szCs w:val="32"/>
        </w:rPr>
        <w:t> </w:t>
      </w:r>
    </w:p>
    <w:p w14:paraId="62690F5C" w14:textId="41221A58" w:rsidR="0066181B" w:rsidRPr="00060DDD" w:rsidRDefault="0066181B" w:rsidP="0066181B">
      <w:pPr>
        <w:pStyle w:val="paragraph"/>
        <w:spacing w:before="0" w:beforeAutospacing="0" w:after="0" w:afterAutospacing="0"/>
        <w:textAlignment w:val="baseline"/>
        <w:rPr>
          <w:rFonts w:ascii="Algerian" w:hAnsi="Algerian" w:cs="Segoe UI"/>
          <w:b/>
          <w:bCs/>
          <w:sz w:val="18"/>
          <w:szCs w:val="18"/>
        </w:rPr>
      </w:pPr>
      <w:r w:rsidRPr="00060DDD">
        <w:rPr>
          <w:rStyle w:val="eop"/>
          <w:rFonts w:ascii="Algerian" w:hAnsi="Algerian" w:cs="Calibri"/>
          <w:b/>
          <w:bCs/>
          <w:sz w:val="22"/>
          <w:szCs w:val="22"/>
        </w:rPr>
        <w:t>Observations:</w:t>
      </w:r>
    </w:p>
    <w:p w14:paraId="00F3AA66" w14:textId="54597EE1" w:rsidR="00AE04B7" w:rsidRPr="0066181B" w:rsidRDefault="00AE04B7" w:rsidP="006618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5000+ Resources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920F96" w14:textId="672C82AE" w:rsidR="00AE04B7" w:rsidRDefault="00AE04B7">
      <w:r>
        <w:rPr>
          <w:noProof/>
        </w:rPr>
        <w:drawing>
          <wp:inline distT="0" distB="0" distL="0" distR="0" wp14:anchorId="737BD6D6" wp14:editId="67ECF50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3BB35D-0DBD-C881-624C-60C3DC093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9E3F41" w14:textId="7C991F61" w:rsidR="00AE04B7" w:rsidRDefault="00AE04B7">
      <w:r>
        <w:t>690 Contractors</w:t>
      </w:r>
    </w:p>
    <w:p w14:paraId="1955CE2B" w14:textId="79D2DCF4" w:rsidR="00AE04B7" w:rsidRDefault="00AE04B7">
      <w:r>
        <w:rPr>
          <w:noProof/>
        </w:rPr>
        <w:drawing>
          <wp:inline distT="0" distB="0" distL="0" distR="0" wp14:anchorId="7AE556D1" wp14:editId="0882373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227150-B3FF-F4A2-0E56-333C0F893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7370EE" w14:textId="08656093" w:rsidR="00AE04B7" w:rsidRDefault="009817F2">
      <w:r>
        <w:t>Cost of contractors = 1.4 x Cost of permanent employees</w:t>
      </w:r>
    </w:p>
    <w:p w14:paraId="34368AEB" w14:textId="77777777" w:rsidR="0066181B" w:rsidRDefault="0066181B"/>
    <w:p w14:paraId="14D74BBE" w14:textId="575529D2" w:rsidR="009817F2" w:rsidRDefault="009817F2">
      <w:r>
        <w:lastRenderedPageBreak/>
        <w:t>Customers across 35 countries</w:t>
      </w:r>
      <w:r w:rsidR="00074BA7">
        <w:rPr>
          <w:noProof/>
        </w:rPr>
        <w:drawing>
          <wp:inline distT="0" distB="0" distL="0" distR="0" wp14:anchorId="223EAC57" wp14:editId="068CE8A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33F88E-8F88-64CB-3032-748BB4E533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324ECD" w14:textId="77777777" w:rsidR="0066181B" w:rsidRDefault="0066181B"/>
    <w:p w14:paraId="038E8BFA" w14:textId="4E01B572" w:rsidR="00074BA7" w:rsidRDefault="00074BA7">
      <w:r>
        <w:t>Sectors BFSI, Healthcare,</w:t>
      </w:r>
      <w:r w:rsidRPr="00074BA7">
        <w:rPr>
          <w:rFonts w:ascii="Roboto" w:hAnsi="Roboto"/>
          <w:color w:val="373535"/>
          <w:shd w:val="clear" w:color="auto" w:fill="FFFFFF"/>
        </w:rPr>
        <w:t xml:space="preserve"> </w:t>
      </w:r>
      <w:r>
        <w:rPr>
          <w:rFonts w:ascii="Roboto" w:hAnsi="Roboto"/>
          <w:color w:val="373535"/>
          <w:shd w:val="clear" w:color="auto" w:fill="FFFFFF"/>
        </w:rPr>
        <w:t>Retail, Public sector, Manufacturing, Travel, Entertainment etc.</w:t>
      </w:r>
    </w:p>
    <w:p w14:paraId="397C170B" w14:textId="1A0615CC" w:rsidR="00074BA7" w:rsidRDefault="00074BA7">
      <w:r>
        <w:rPr>
          <w:noProof/>
        </w:rPr>
        <w:drawing>
          <wp:inline distT="0" distB="0" distL="0" distR="0" wp14:anchorId="28860EA4" wp14:editId="6955B6B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DE32DE-A6D8-E3EE-BC9B-714CBE7BF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7EE861" w14:textId="77777777" w:rsidR="0066181B" w:rsidRDefault="0066181B"/>
    <w:p w14:paraId="21799124" w14:textId="5E38442C" w:rsidR="00074BA7" w:rsidRDefault="00074BA7">
      <w:r>
        <w:lastRenderedPageBreak/>
        <w:t>Products DevOps bundle, cybersecurity, digital marketing</w:t>
      </w:r>
      <w:r w:rsidR="00211DF4">
        <w:rPr>
          <w:noProof/>
        </w:rPr>
        <w:drawing>
          <wp:inline distT="0" distB="0" distL="0" distR="0" wp14:anchorId="37986498" wp14:editId="41507D5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C321A54-B23F-C085-0252-9C1FF7EBD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9C3137" w14:textId="77777777" w:rsidR="0066181B" w:rsidRDefault="0066181B"/>
    <w:p w14:paraId="2351CC44" w14:textId="749FFE5F" w:rsidR="00067697" w:rsidRDefault="00067697">
      <w:r>
        <w:rPr>
          <w:noProof/>
        </w:rPr>
        <mc:AlternateContent>
          <mc:Choice Requires="cx1">
            <w:drawing>
              <wp:inline distT="0" distB="0" distL="0" distR="0" wp14:anchorId="38EE8929" wp14:editId="3210AD1B">
                <wp:extent cx="4572000" cy="2743200"/>
                <wp:effectExtent l="0" t="0" r="0" b="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E5CDE7-C39A-A253-ECDF-F46B022DA1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8EE8929" wp14:editId="3210AD1B">
                <wp:extent cx="4572000" cy="2743200"/>
                <wp:effectExtent l="0" t="0" r="0" b="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E5CDE7-C39A-A253-ECDF-F46B022DA1A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B8E5CDE7-C39A-A253-ECDF-F46B022DA1A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56330F" w14:textId="1618CDAB" w:rsidR="00477915" w:rsidRDefault="00211DF4">
      <w:r>
        <w:rPr>
          <w:noProof/>
        </w:rPr>
        <w:lastRenderedPageBreak/>
        <w:drawing>
          <wp:inline distT="0" distB="0" distL="0" distR="0" wp14:anchorId="0682285F" wp14:editId="47E4478B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9893EC-044C-AFA1-DAEF-D3677E71F0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7F47D7" w14:textId="260500FD" w:rsidR="00211DF4" w:rsidRDefault="00211DF4">
      <w:r>
        <w:t>Year-on-year Margin 11% vs 26% for other companies</w:t>
      </w:r>
    </w:p>
    <w:p w14:paraId="2903B0CB" w14:textId="7D822559" w:rsidR="001D2FC4" w:rsidRDefault="001D2FC4"/>
    <w:p w14:paraId="04DFB568" w14:textId="51F38C65" w:rsidR="001D2FC4" w:rsidRPr="00060DDD" w:rsidRDefault="001D2FC4">
      <w:pPr>
        <w:rPr>
          <w:rFonts w:ascii="Algerian" w:hAnsi="Algerian"/>
          <w:b/>
          <w:bCs/>
        </w:rPr>
      </w:pPr>
      <w:r w:rsidRPr="00060DDD">
        <w:rPr>
          <w:rFonts w:ascii="Algerian" w:hAnsi="Algerian"/>
          <w:b/>
          <w:bCs/>
        </w:rPr>
        <w:t>MECE:</w:t>
      </w:r>
    </w:p>
    <w:p w14:paraId="15369265" w14:textId="77777777" w:rsidR="00314FE4" w:rsidRDefault="00314FE4">
      <w:pPr>
        <w:rPr>
          <w:noProof/>
        </w:rPr>
      </w:pPr>
    </w:p>
    <w:p w14:paraId="075DE8DE" w14:textId="043B57EF" w:rsidR="001D2FC4" w:rsidRDefault="00314FE4">
      <w:r>
        <w:rPr>
          <w:noProof/>
        </w:rPr>
        <w:drawing>
          <wp:inline distT="0" distB="0" distL="0" distR="0" wp14:anchorId="12990034" wp14:editId="687937A9">
            <wp:extent cx="6601460" cy="3048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769" cy="30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AB27" w14:textId="58517212" w:rsidR="001D2FC4" w:rsidRPr="00314FE4" w:rsidRDefault="001D2FC4" w:rsidP="00314FE4">
      <w:pPr>
        <w:rPr>
          <w:rFonts w:ascii="Algerian" w:hAnsi="Algerian"/>
          <w:b/>
          <w:bCs/>
        </w:rPr>
      </w:pPr>
      <w:r w:rsidRPr="00314FE4">
        <w:rPr>
          <w:rFonts w:ascii="Algerian" w:hAnsi="Algerian"/>
          <w:b/>
          <w:bCs/>
        </w:rPr>
        <w:t>Solutions:</w:t>
      </w:r>
    </w:p>
    <w:p w14:paraId="47920750" w14:textId="73CC0E20" w:rsidR="003A407E" w:rsidRPr="003A407E" w:rsidRDefault="003A407E" w:rsidP="0066181B">
      <w:pPr>
        <w:pStyle w:val="ListParagraph"/>
        <w:rPr>
          <w:rFonts w:cstheme="minorHAnsi"/>
          <w:b/>
          <w:bCs/>
        </w:rPr>
      </w:pPr>
      <w:r w:rsidRPr="003A407E">
        <w:rPr>
          <w:rFonts w:cstheme="minorHAnsi"/>
          <w:b/>
          <w:bCs/>
        </w:rPr>
        <w:t>Reduce costs:</w:t>
      </w:r>
    </w:p>
    <w:p w14:paraId="7646E5CC" w14:textId="4953C33D" w:rsidR="003A407E" w:rsidRPr="003A407E" w:rsidRDefault="003A407E" w:rsidP="0066181B">
      <w:pPr>
        <w:pStyle w:val="ListParagraph"/>
        <w:rPr>
          <w:rFonts w:cstheme="minorHAnsi"/>
          <w:b/>
          <w:bCs/>
        </w:rPr>
      </w:pPr>
      <w:r w:rsidRPr="003A407E">
        <w:rPr>
          <w:rFonts w:cstheme="minorHAnsi"/>
          <w:b/>
          <w:bCs/>
        </w:rPr>
        <w:tab/>
        <w:t>Reduce Service Cost:</w:t>
      </w:r>
    </w:p>
    <w:p w14:paraId="359CA277" w14:textId="77777777" w:rsidR="00424FBE" w:rsidRDefault="001D2FC4" w:rsidP="003A407E">
      <w:pPr>
        <w:pStyle w:val="ListParagraph"/>
        <w:ind w:left="1800"/>
      </w:pPr>
      <w:r>
        <w:t xml:space="preserve">To Reduce Costs, the company must reduce number of Contractors as they cost 1.4 times more than the permanent employees. </w:t>
      </w:r>
    </w:p>
    <w:p w14:paraId="404F3594" w14:textId="77777777" w:rsidR="004B4CFA" w:rsidRDefault="004D4DCF" w:rsidP="004B4CFA">
      <w:pPr>
        <w:pStyle w:val="ListParagraph"/>
        <w:numPr>
          <w:ilvl w:val="2"/>
          <w:numId w:val="1"/>
        </w:numPr>
      </w:pPr>
      <w:r>
        <w:t>Hire the contractors as permanent employees.</w:t>
      </w:r>
    </w:p>
    <w:p w14:paraId="60618B6B" w14:textId="5C8297C5" w:rsidR="00424FBE" w:rsidRDefault="004B4CFA" w:rsidP="004B4CFA">
      <w:pPr>
        <w:pStyle w:val="ListParagraph"/>
        <w:numPr>
          <w:ilvl w:val="2"/>
          <w:numId w:val="1"/>
        </w:numPr>
      </w:pPr>
      <w:r>
        <w:t>This</w:t>
      </w:r>
      <w:r w:rsidR="001D2FC4">
        <w:t xml:space="preserve"> can be done by acquisition of companies with the skills that the original contractors had</w:t>
      </w:r>
      <w:r w:rsidR="00424FBE">
        <w:t>.</w:t>
      </w:r>
    </w:p>
    <w:p w14:paraId="7B95F46D" w14:textId="4661556A" w:rsidR="00424FBE" w:rsidRDefault="004D4DCF" w:rsidP="003A407E">
      <w:pPr>
        <w:pStyle w:val="ListParagraph"/>
        <w:numPr>
          <w:ilvl w:val="2"/>
          <w:numId w:val="1"/>
        </w:numPr>
      </w:pPr>
      <w:r>
        <w:lastRenderedPageBreak/>
        <w:t>Higher resources with the required skills.</w:t>
      </w:r>
    </w:p>
    <w:p w14:paraId="1CB7B5D3" w14:textId="6EDB5D76" w:rsidR="004D4DCF" w:rsidRDefault="00424FBE" w:rsidP="004D4DCF">
      <w:pPr>
        <w:pStyle w:val="ListParagraph"/>
        <w:numPr>
          <w:ilvl w:val="2"/>
          <w:numId w:val="1"/>
        </w:numPr>
      </w:pPr>
      <w:r>
        <w:t xml:space="preserve"> </w:t>
      </w:r>
      <w:r w:rsidR="004D4DCF">
        <w:t>B</w:t>
      </w:r>
      <w:r>
        <w:t xml:space="preserve">uild skills in permanent employees </w:t>
      </w:r>
      <w:r w:rsidR="00861A2F">
        <w:t>for which the contractors were employed</w:t>
      </w:r>
      <w:r w:rsidR="001D2FC4">
        <w:t>.</w:t>
      </w:r>
    </w:p>
    <w:p w14:paraId="44C20B01" w14:textId="121AE712" w:rsidR="004D4DCF" w:rsidRDefault="004D4DCF" w:rsidP="004D4DCF">
      <w:pPr>
        <w:ind w:left="1080"/>
      </w:pPr>
      <w:r>
        <w:t xml:space="preserve">Do one or more of above in a phased manner so that knowledge is not lost. </w:t>
      </w:r>
    </w:p>
    <w:p w14:paraId="2D1F6B3E" w14:textId="1E4FDA08" w:rsidR="003A407E" w:rsidRDefault="003A407E" w:rsidP="003A407E">
      <w:pPr>
        <w:rPr>
          <w:b/>
          <w:bCs/>
        </w:rPr>
      </w:pPr>
      <w:r w:rsidRPr="003A407E">
        <w:rPr>
          <w:b/>
          <w:bCs/>
        </w:rPr>
        <w:t>Grow Revenue:</w:t>
      </w:r>
    </w:p>
    <w:p w14:paraId="786C2A83" w14:textId="035FC9BD" w:rsidR="00BE66F9" w:rsidRPr="003A407E" w:rsidRDefault="00BE66F9" w:rsidP="003A407E">
      <w:pPr>
        <w:rPr>
          <w:b/>
          <w:bCs/>
        </w:rPr>
      </w:pPr>
      <w:r>
        <w:rPr>
          <w:b/>
          <w:bCs/>
        </w:rPr>
        <w:tab/>
        <w:t>Improve Sales &amp; Services:</w:t>
      </w:r>
    </w:p>
    <w:p w14:paraId="22536157" w14:textId="0F38A193" w:rsidR="001D2FC4" w:rsidRDefault="00E00690" w:rsidP="00BE66F9">
      <w:pPr>
        <w:pStyle w:val="ListParagraph"/>
        <w:ind w:left="1080"/>
      </w:pPr>
      <w:r>
        <w:t xml:space="preserve">The </w:t>
      </w:r>
      <w:r w:rsidR="00BE66F9">
        <w:t>R</w:t>
      </w:r>
      <w:r>
        <w:t xml:space="preserve">evenue of sectors like </w:t>
      </w:r>
      <w:r w:rsidRPr="0066181B">
        <w:t>Retail, Public sector, Manufacturing, Travel, Entertainment is low so the company must focus on these sectors and acquire people with these skills.</w:t>
      </w:r>
    </w:p>
    <w:p w14:paraId="646E6FC6" w14:textId="0888B74E" w:rsidR="00BE66F9" w:rsidRPr="00BE66F9" w:rsidRDefault="00BE66F9" w:rsidP="00BE66F9">
      <w:pPr>
        <w:rPr>
          <w:b/>
          <w:bCs/>
        </w:rPr>
      </w:pPr>
      <w:r>
        <w:tab/>
      </w:r>
      <w:r w:rsidRPr="00BE66F9">
        <w:rPr>
          <w:b/>
          <w:bCs/>
        </w:rPr>
        <w:t>Improve Product:</w:t>
      </w:r>
    </w:p>
    <w:p w14:paraId="665FB50F" w14:textId="00B52548" w:rsidR="00BE66F9" w:rsidRDefault="00BE66F9" w:rsidP="00BE66F9">
      <w:pPr>
        <w:pStyle w:val="ListParagraph"/>
        <w:numPr>
          <w:ilvl w:val="0"/>
          <w:numId w:val="2"/>
        </w:numPr>
      </w:pPr>
      <w:r>
        <w:t>If the company sees potential in</w:t>
      </w:r>
      <w:r w:rsidR="00E00690" w:rsidRPr="0066181B">
        <w:t xml:space="preserve"> DevOps bundle and cybersecurity</w:t>
      </w:r>
      <w:r>
        <w:t>, but the revenue</w:t>
      </w:r>
      <w:r w:rsidR="00E00690" w:rsidRPr="0066181B">
        <w:t xml:space="preserve"> is </w:t>
      </w:r>
      <w:r w:rsidR="00861A2F" w:rsidRPr="0066181B">
        <w:t>extremely low</w:t>
      </w:r>
      <w:r>
        <w:t>,</w:t>
      </w:r>
      <w:r w:rsidR="00E00690" w:rsidRPr="0066181B">
        <w:t xml:space="preserve"> so acquiring people with these skills would be helpful.</w:t>
      </w:r>
    </w:p>
    <w:p w14:paraId="60BF931E" w14:textId="263A474D" w:rsidR="00E00690" w:rsidRPr="00E00690" w:rsidRDefault="000943FB" w:rsidP="00BE66F9">
      <w:pPr>
        <w:pStyle w:val="ListParagraph"/>
        <w:numPr>
          <w:ilvl w:val="0"/>
          <w:numId w:val="2"/>
        </w:numPr>
      </w:pPr>
      <w:r w:rsidRPr="0066181B">
        <w:t>Usually,</w:t>
      </w:r>
      <w:r w:rsidR="00E00690" w:rsidRPr="0066181B">
        <w:t xml:space="preserve"> Products have a higher scope for margin so the company must focus on its products.</w:t>
      </w:r>
    </w:p>
    <w:p w14:paraId="4D8397BD" w14:textId="77777777" w:rsidR="00BE66F9" w:rsidRDefault="00BE66F9" w:rsidP="00BE66F9"/>
    <w:p w14:paraId="498E3E66" w14:textId="0BC2A355" w:rsidR="00BE66F9" w:rsidRDefault="00E00690" w:rsidP="00BE66F9">
      <w:pPr>
        <w:pStyle w:val="ListParagraph"/>
        <w:numPr>
          <w:ilvl w:val="0"/>
          <w:numId w:val="3"/>
        </w:numPr>
      </w:pPr>
      <w:r w:rsidRPr="0066181B">
        <w:t xml:space="preserve">If the </w:t>
      </w:r>
      <w:r w:rsidR="0066181B" w:rsidRPr="0066181B">
        <w:t xml:space="preserve">goal is only increasing the profit, the company can focus on BFSI and US as the margin is </w:t>
      </w:r>
      <w:r w:rsidR="00861A2F" w:rsidRPr="0066181B">
        <w:t>particularly good</w:t>
      </w:r>
      <w:r w:rsidR="0066181B" w:rsidRPr="0066181B">
        <w:t xml:space="preserve"> there.</w:t>
      </w:r>
    </w:p>
    <w:p w14:paraId="6E180DEA" w14:textId="3C6F27AC" w:rsidR="00BE66F9" w:rsidRDefault="0066181B" w:rsidP="00BE66F9">
      <w:pPr>
        <w:pStyle w:val="ListParagraph"/>
        <w:numPr>
          <w:ilvl w:val="0"/>
          <w:numId w:val="3"/>
        </w:numPr>
      </w:pPr>
      <w:r w:rsidRPr="0066181B">
        <w:t xml:space="preserve">If overall the growth is </w:t>
      </w:r>
      <w:r w:rsidR="000943FB" w:rsidRPr="0066181B">
        <w:t>needed,</w:t>
      </w:r>
      <w:r w:rsidRPr="0066181B">
        <w:t xml:space="preserve"> then the company must focus on increasing the revenue and margin in other sectors too.</w:t>
      </w:r>
      <w:r w:rsidR="003A407E">
        <w:t xml:space="preserve"> </w:t>
      </w:r>
      <w:r w:rsidR="000943FB">
        <w:t>E.g.,</w:t>
      </w:r>
      <w:r w:rsidR="003A407E">
        <w:t xml:space="preserve"> </w:t>
      </w:r>
      <w:r w:rsidR="000943FB">
        <w:t>Europe, Retail</w:t>
      </w:r>
    </w:p>
    <w:p w14:paraId="6EAC5533" w14:textId="73DE5471" w:rsidR="00BE66F9" w:rsidRDefault="00AB3967" w:rsidP="00BE66F9">
      <w:pPr>
        <w:pStyle w:val="ListParagraph"/>
        <w:numPr>
          <w:ilvl w:val="0"/>
          <w:numId w:val="3"/>
        </w:numPr>
      </w:pPr>
      <w:r w:rsidRPr="00AB3967">
        <w:t xml:space="preserve">The company is looking forward to investing in India, </w:t>
      </w:r>
      <w:r w:rsidR="000943FB" w:rsidRPr="00AB3967">
        <w:t>US,</w:t>
      </w:r>
      <w:r w:rsidRPr="00AB3967">
        <w:t xml:space="preserve"> and Europe.</w:t>
      </w:r>
      <w:r>
        <w:t xml:space="preserve"> </w:t>
      </w:r>
      <w:r w:rsidR="00BE66F9">
        <w:t>Since the cost in India is low so the company can increase number of employees in India and just keep required number of people in US and Europe.</w:t>
      </w:r>
    </w:p>
    <w:p w14:paraId="52590ABE" w14:textId="2CAAEDF7" w:rsidR="00B46AF3" w:rsidRDefault="00AB3967" w:rsidP="00B46AF3">
      <w:pPr>
        <w:pStyle w:val="ListParagraph"/>
        <w:numPr>
          <w:ilvl w:val="0"/>
          <w:numId w:val="3"/>
        </w:numPr>
      </w:pPr>
      <w:r>
        <w:t xml:space="preserve">But </w:t>
      </w:r>
      <w:r w:rsidR="0042100D">
        <w:t xml:space="preserve">the margin in India is </w:t>
      </w:r>
      <w:r w:rsidR="00861A2F">
        <w:t>extremely low</w:t>
      </w:r>
      <w:r w:rsidR="0042100D">
        <w:t xml:space="preserve"> so </w:t>
      </w:r>
      <w:r w:rsidR="00314FE4">
        <w:t>selling</w:t>
      </w:r>
      <w:r w:rsidR="0042100D">
        <w:t xml:space="preserve"> in India would not be profitable. US and Europe </w:t>
      </w:r>
      <w:r w:rsidR="004B4CFA">
        <w:t>are</w:t>
      </w:r>
      <w:r w:rsidR="0042100D">
        <w:t xml:space="preserve"> fine.</w:t>
      </w:r>
      <w:r w:rsidR="00B46AF3">
        <w:t xml:space="preserve"> </w:t>
      </w:r>
    </w:p>
    <w:sectPr w:rsidR="00B46AF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A471" w14:textId="77777777" w:rsidR="00872014" w:rsidRDefault="00872014" w:rsidP="000943FB">
      <w:pPr>
        <w:spacing w:after="0" w:line="240" w:lineRule="auto"/>
      </w:pPr>
      <w:r>
        <w:separator/>
      </w:r>
    </w:p>
  </w:endnote>
  <w:endnote w:type="continuationSeparator" w:id="0">
    <w:p w14:paraId="39FC69E9" w14:textId="77777777" w:rsidR="00872014" w:rsidRDefault="00872014" w:rsidP="0009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4522" w14:textId="77777777" w:rsidR="000943FB" w:rsidRDefault="00094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078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33A4E" w14:textId="03E3E640" w:rsidR="0072013D" w:rsidRDefault="0072013D" w:rsidP="00720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445C2" w14:textId="77777777" w:rsidR="000943FB" w:rsidRDefault="000943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8CE4" w14:textId="77777777" w:rsidR="000943FB" w:rsidRDefault="0009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28BE" w14:textId="77777777" w:rsidR="00872014" w:rsidRDefault="00872014" w:rsidP="000943FB">
      <w:pPr>
        <w:spacing w:after="0" w:line="240" w:lineRule="auto"/>
      </w:pPr>
      <w:r>
        <w:separator/>
      </w:r>
    </w:p>
  </w:footnote>
  <w:footnote w:type="continuationSeparator" w:id="0">
    <w:p w14:paraId="774DE6ED" w14:textId="77777777" w:rsidR="00872014" w:rsidRDefault="00872014" w:rsidP="0009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EE14" w14:textId="77777777" w:rsidR="000943FB" w:rsidRDefault="00094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4858" w14:textId="7D12F47E" w:rsidR="000943FB" w:rsidRDefault="000943FB" w:rsidP="0072013D">
    <w:pPr>
      <w:pStyle w:val="Header"/>
      <w:jc w:val="right"/>
    </w:pPr>
    <w:r>
      <w:t>Atharva Parag Lonhari, COEP, CS</w:t>
    </w:r>
  </w:p>
  <w:p w14:paraId="0D8D7579" w14:textId="77777777" w:rsidR="000943FB" w:rsidRDefault="000943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CF9E" w14:textId="77777777" w:rsidR="000943FB" w:rsidRDefault="00094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86"/>
    <w:multiLevelType w:val="hybridMultilevel"/>
    <w:tmpl w:val="D08E6DA4"/>
    <w:lvl w:ilvl="0" w:tplc="55760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371D1"/>
    <w:multiLevelType w:val="hybridMultilevel"/>
    <w:tmpl w:val="9080219C"/>
    <w:lvl w:ilvl="0" w:tplc="49C69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22BDF"/>
    <w:multiLevelType w:val="hybridMultilevel"/>
    <w:tmpl w:val="B4E69220"/>
    <w:lvl w:ilvl="0" w:tplc="6DC82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47631">
    <w:abstractNumId w:val="0"/>
  </w:num>
  <w:num w:numId="2" w16cid:durableId="1353415322">
    <w:abstractNumId w:val="2"/>
  </w:num>
  <w:num w:numId="3" w16cid:durableId="128399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B7"/>
    <w:rsid w:val="00060DDD"/>
    <w:rsid w:val="00067697"/>
    <w:rsid w:val="00074BA7"/>
    <w:rsid w:val="000943FB"/>
    <w:rsid w:val="001D2FC4"/>
    <w:rsid w:val="00211DF4"/>
    <w:rsid w:val="00314FE4"/>
    <w:rsid w:val="003A407E"/>
    <w:rsid w:val="0042100D"/>
    <w:rsid w:val="00424FBE"/>
    <w:rsid w:val="00477915"/>
    <w:rsid w:val="004B4CFA"/>
    <w:rsid w:val="004D4DCF"/>
    <w:rsid w:val="0066181B"/>
    <w:rsid w:val="0072013D"/>
    <w:rsid w:val="00861A2F"/>
    <w:rsid w:val="00872014"/>
    <w:rsid w:val="009817F2"/>
    <w:rsid w:val="00996B9E"/>
    <w:rsid w:val="00AB3967"/>
    <w:rsid w:val="00AE04B7"/>
    <w:rsid w:val="00B46AF3"/>
    <w:rsid w:val="00BE5CC0"/>
    <w:rsid w:val="00BE66F9"/>
    <w:rsid w:val="00E0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7CD0"/>
  <w15:chartTrackingRefBased/>
  <w15:docId w15:val="{93A240EA-68A9-4E9E-9F74-16F9EA65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E04B7"/>
  </w:style>
  <w:style w:type="character" w:customStyle="1" w:styleId="eop">
    <w:name w:val="eop"/>
    <w:basedOn w:val="DefaultParagraphFont"/>
    <w:rsid w:val="00AE04B7"/>
  </w:style>
  <w:style w:type="paragraph" w:styleId="ListParagraph">
    <w:name w:val="List Paragraph"/>
    <w:basedOn w:val="Normal"/>
    <w:uiPriority w:val="34"/>
    <w:qFormat/>
    <w:rsid w:val="001D2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FB"/>
  </w:style>
  <w:style w:type="paragraph" w:styleId="Footer">
    <w:name w:val="footer"/>
    <w:basedOn w:val="Normal"/>
    <w:link w:val="FooterChar"/>
    <w:uiPriority w:val="99"/>
    <w:unhideWhenUsed/>
    <w:rsid w:val="0009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chart" Target="charts/chart1.xml"/><Relationship Id="rId12" Type="http://schemas.microsoft.com/office/2014/relationships/chartEx" Target="charts/chartEx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Book1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Book1" TargetMode="External"/><Relationship Id="rId4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Employees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3B2-433F-9FD7-E9EB7D2B6FA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3B2-433F-9FD7-E9EB7D2B6FA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Sheet1!$A$3:$A$4</c:f>
              <c:strCache>
                <c:ptCount val="2"/>
                <c:pt idx="0">
                  <c:v>India</c:v>
                </c:pt>
                <c:pt idx="1">
                  <c:v>Other</c:v>
                </c:pt>
              </c:strCache>
            </c:strRef>
          </c:cat>
          <c:val>
            <c:numRef>
              <c:f>Sheet1!$B$3:$B$4</c:f>
              <c:numCache>
                <c:formatCode>0%</c:formatCode>
                <c:ptCount val="2"/>
                <c:pt idx="0">
                  <c:v>0.73</c:v>
                </c:pt>
                <c:pt idx="1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3B2-433F-9FD7-E9EB7D2B6FA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Sheet1!$B$19</c:f>
              <c:strCache>
                <c:ptCount val="1"/>
                <c:pt idx="0">
                  <c:v>Contractors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1E8-4467-B459-9790E6EF46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1E8-4467-B459-9790E6EF46E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1E8-4467-B459-9790E6EF46E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1E8-4467-B459-9790E6EF46E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Sheet1!$A$20:$A$23</c:f>
              <c:strCache>
                <c:ptCount val="4"/>
                <c:pt idx="0">
                  <c:v>India</c:v>
                </c:pt>
                <c:pt idx="1">
                  <c:v>Australia</c:v>
                </c:pt>
                <c:pt idx="2">
                  <c:v>Asia Pacific</c:v>
                </c:pt>
                <c:pt idx="3">
                  <c:v>Other</c:v>
                </c:pt>
              </c:strCache>
            </c:strRef>
          </c:cat>
          <c:val>
            <c:numRef>
              <c:f>Sheet1!$B$20:$B$23</c:f>
              <c:numCache>
                <c:formatCode>0%</c:formatCode>
                <c:ptCount val="4"/>
                <c:pt idx="0">
                  <c:v>0.6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1E8-4467-B459-9790E6EF46E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Sheet1!$B$36</c:f>
              <c:strCache>
                <c:ptCount val="1"/>
                <c:pt idx="0">
                  <c:v>Customers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9F-47B3-96BD-36EBB65491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9F-47B3-96BD-36EBB65491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09F-47B3-96BD-36EBB65491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9F-47B3-96BD-36EBB65491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Sheet1!$A$37:$A$40</c:f>
              <c:strCache>
                <c:ptCount val="4"/>
                <c:pt idx="0">
                  <c:v>US</c:v>
                </c:pt>
                <c:pt idx="1">
                  <c:v>Middle-east</c:v>
                </c:pt>
                <c:pt idx="2">
                  <c:v>Europe</c:v>
                </c:pt>
                <c:pt idx="3">
                  <c:v>Other</c:v>
                </c:pt>
              </c:strCache>
            </c:strRef>
          </c:cat>
          <c:val>
            <c:numRef>
              <c:f>Sheet1!$B$37:$B$40</c:f>
              <c:numCache>
                <c:formatCode>0%</c:formatCode>
                <c:ptCount val="4"/>
                <c:pt idx="0">
                  <c:v>0.32</c:v>
                </c:pt>
                <c:pt idx="1">
                  <c:v>0.27</c:v>
                </c:pt>
                <c:pt idx="2">
                  <c:v>0.2</c:v>
                </c:pt>
                <c:pt idx="3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9F-47B3-96BD-36EBB65491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Sheet1!$B$53</c:f>
              <c:strCache>
                <c:ptCount val="1"/>
                <c:pt idx="0">
                  <c:v>Revenue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32-4843-96B2-8B0E8A10EE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32-4843-96B2-8B0E8A10EE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732-4843-96B2-8B0E8A10EE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Sheet1!$A$54:$A$56</c:f>
              <c:strCache>
                <c:ptCount val="3"/>
                <c:pt idx="0">
                  <c:v>BFSI</c:v>
                </c:pt>
                <c:pt idx="1">
                  <c:v>Healthcare</c:v>
                </c:pt>
                <c:pt idx="2">
                  <c:v>Other</c:v>
                </c:pt>
              </c:strCache>
            </c:strRef>
          </c:cat>
          <c:val>
            <c:numRef>
              <c:f>Sheet1!$B$54:$B$56</c:f>
              <c:numCache>
                <c:formatCode>0%</c:formatCode>
                <c:ptCount val="3"/>
                <c:pt idx="0">
                  <c:v>0.46</c:v>
                </c:pt>
                <c:pt idx="1">
                  <c:v>0.21</c:v>
                </c:pt>
                <c:pt idx="2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2-4843-96B2-8B0E8A10EE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Sheet1!$B$69</c:f>
              <c:strCache>
                <c:ptCount val="1"/>
                <c:pt idx="0">
                  <c:v>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Sheet1!$A$70:$A$71</c:f>
              <c:strCache>
                <c:ptCount val="2"/>
                <c:pt idx="0">
                  <c:v>Digital Marketing</c:v>
                </c:pt>
                <c:pt idx="1">
                  <c:v>Other</c:v>
                </c:pt>
              </c:strCache>
            </c:strRef>
          </c:cat>
          <c:val>
            <c:numRef>
              <c:f>Sheet1!$B$70:$B$71</c:f>
              <c:numCache>
                <c:formatCode>0%</c:formatCode>
                <c:ptCount val="2"/>
                <c:pt idx="0">
                  <c:v>0.9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CD-460A-B7BC-2FB2B8067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05740304"/>
        <c:axId val="705740632"/>
      </c:barChart>
      <c:catAx>
        <c:axId val="705740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40632"/>
        <c:crosses val="autoZero"/>
        <c:auto val="1"/>
        <c:lblAlgn val="ctr"/>
        <c:lblOffset val="100"/>
        <c:noMultiLvlLbl val="0"/>
      </c:catAx>
      <c:valAx>
        <c:axId val="70574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40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Sheet1!$B$85</c:f>
              <c:strCache>
                <c:ptCount val="1"/>
                <c:pt idx="0">
                  <c:v>Margin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Sheet1!$A$86:$A$91</c:f>
              <c:strCache>
                <c:ptCount val="6"/>
                <c:pt idx="0">
                  <c:v>BFSI</c:v>
                </c:pt>
                <c:pt idx="1">
                  <c:v>Retail</c:v>
                </c:pt>
                <c:pt idx="2">
                  <c:v>US</c:v>
                </c:pt>
                <c:pt idx="3">
                  <c:v>Europe</c:v>
                </c:pt>
                <c:pt idx="4">
                  <c:v>India</c:v>
                </c:pt>
                <c:pt idx="5">
                  <c:v>Asia Pacific</c:v>
                </c:pt>
              </c:strCache>
            </c:strRef>
          </c:cat>
          <c:val>
            <c:numRef>
              <c:f>Sheet1!$B$86:$B$91</c:f>
              <c:numCache>
                <c:formatCode>0%</c:formatCode>
                <c:ptCount val="6"/>
                <c:pt idx="0">
                  <c:v>0.42</c:v>
                </c:pt>
                <c:pt idx="1">
                  <c:v>0.39</c:v>
                </c:pt>
                <c:pt idx="2">
                  <c:v>0.49</c:v>
                </c:pt>
                <c:pt idx="3">
                  <c:v>0.44</c:v>
                </c:pt>
                <c:pt idx="4">
                  <c:v>0.09</c:v>
                </c:pt>
                <c:pt idx="5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BD-4526-91D7-F2748F6332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4548128"/>
        <c:axId val="704548456"/>
      </c:barChart>
      <c:catAx>
        <c:axId val="7045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548456"/>
        <c:crosses val="autoZero"/>
        <c:auto val="1"/>
        <c:lblAlgn val="ctr"/>
        <c:lblOffset val="100"/>
        <c:noMultiLvlLbl val="0"/>
      </c:catAx>
      <c:valAx>
        <c:axId val="70454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54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Sheet1!$A$103:$B$107</cx:f>
        <cx:lvl ptCount="5">
          <cx:pt idx="0">BFSI</cx:pt>
          <cx:pt idx="1">Healthcare</cx:pt>
          <cx:pt idx="2">Other</cx:pt>
          <cx:pt idx="3">Digital Marketing</cx:pt>
          <cx:pt idx="4">Other</cx:pt>
        </cx:lvl>
        <cx:lvl ptCount="5">
          <cx:pt idx="0">Service</cx:pt>
          <cx:pt idx="3">Product</cx:pt>
        </cx:lvl>
      </cx:strDim>
      <cx:numDim type="size">
        <cx:f>Sheet1!$C$103:$C$107</cx:f>
        <cx:lvl ptCount="5" formatCode="0%">
          <cx:pt idx="0">0.27600000000000002</cx:pt>
          <cx:pt idx="1">0.126</cx:pt>
          <cx:pt idx="2">0.19800000000000001</cx:pt>
          <cx:pt idx="3">0.35999999999999999</cx:pt>
          <cx:pt idx="4">0.040000000000000001</cx:pt>
        </cx:lvl>
      </cx:numDim>
    </cx:data>
  </cx:chartData>
  <cx:chart>
    <cx:title pos="t" align="ctr" overlay="0"/>
    <cx:plotArea>
      <cx:plotAreaRegion>
        <cx:series layoutId="sunburst" uniqueId="{A303AF68-4A8B-4B6D-A001-57CB2DAC0E8D}">
          <cx:tx>
            <cx:txData>
              <cx:f>Sheet1!$C$102</cx:f>
              <cx:v>Revenue</cx:v>
            </cx:txData>
          </cx:tx>
          <cx:dataLabels pos="ctr">
            <cx:numFmt formatCode="0.0%" sourceLinked="0"/>
            <cx:visibility seriesName="0" categoryName="1" value="1"/>
            <cx:separator> </cx:separator>
          </cx:dataLabels>
          <cx:dataId val="0"/>
        </cx:series>
      </cx:plotAreaRegion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LONHARI ATHARVA PARAG</dc:creator>
  <cp:keywords/>
  <dc:description/>
  <cp:lastModifiedBy>LONHARI ATHARVA PARAG</cp:lastModifiedBy>
  <cp:revision>19</cp:revision>
  <dcterms:created xsi:type="dcterms:W3CDTF">2022-09-19T12:02:00Z</dcterms:created>
  <dcterms:modified xsi:type="dcterms:W3CDTF">2022-09-21T17:40:00Z</dcterms:modified>
</cp:coreProperties>
</file>