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br/>
        <w:br/>
        <w:t>E-WASTE MANAGEMENT</w:t>
        <w:br/>
        <w:t>CASE STUDY REPORT</w:t>
      </w:r>
    </w:p>
    <w:p>
      <w:pPr>
        <w:jc w:val="center"/>
      </w:pPr>
      <w:r>
        <w:rPr>
          <w:b/>
          <w:sz w:val="32"/>
        </w:rPr>
        <w:t>MSE 2 – TE Case Studies</w:t>
      </w:r>
    </w:p>
    <w:p>
      <w:r>
        <w:br/>
        <w:br/>
      </w:r>
    </w:p>
    <w:p>
      <w:pPr>
        <w:jc w:val="center"/>
      </w:pPr>
      <w:r>
        <w:t>Subject: ______________________________</w:t>
      </w:r>
    </w:p>
    <w:p>
      <w:pPr>
        <w:jc w:val="center"/>
      </w:pPr>
      <w:r>
        <w:t>Name: Atharva Tayade</w:t>
      </w:r>
    </w:p>
    <w:p>
      <w:pPr>
        <w:jc w:val="center"/>
      </w:pPr>
      <w:r>
        <w:t>Roll No.: 24102C0018</w:t>
      </w:r>
    </w:p>
    <w:p>
      <w:pPr>
        <w:jc w:val="center"/>
      </w:pPr>
      <w:r>
        <w:t>Division: C</w:t>
      </w:r>
    </w:p>
    <w:p>
      <w:pPr>
        <w:jc w:val="center"/>
      </w:pPr>
      <w:r>
        <w:t>Academic Year: 2026–27</w:t>
      </w:r>
    </w:p>
    <w:p>
      <w:r>
        <w:br w:type="page"/>
      </w:r>
    </w:p>
    <w:p>
      <w:pPr>
        <w:pStyle w:val="Heading1"/>
      </w:pPr>
      <w:r>
        <w:t>Scope and Source Note</w:t>
      </w:r>
    </w:p>
    <w:p>
      <w:r>
        <w:t>The uploaded TE case-study document lists ten E-waste topics: Japan, Switzerland, India's E-Waste Management Rules 2022, India's EPR, Bengaluru, Mumbai, Kerala's Clean Kerala Company, Pune's SWaCH model, Dharavi and Dell's circular economy strategy. The uploaded document provides the titles only; it does not contain the detailed case-study facts or numerical datasets. Therefore, this report uses those ten titles as its required scope and supplements them with official government, UN/ITU, company and institutional sources. Where city-level data are not consistently reported, the report explicitly avoids presenting an unsupported exact figure.</w:t>
      </w:r>
    </w:p>
    <w:p>
      <w:pPr>
        <w:pStyle w:val="Heading1"/>
      </w:pPr>
      <w:r>
        <w:t>Executive Summary</w:t>
      </w:r>
    </w:p>
    <w:p>
      <w:r>
        <w:t>Electronic waste is one of the fastest-growing waste streams because digitalisation, shorter replacement cycles and increasing device ownership continuously add discarded electrical and electronic equipment. The Global E-waste Monitor 2024 reports that 62 billion kg of e-waste was generated globally in 2022, while only 22.3% was documented as formally collected and recycled in an environmentally sound manner. The report therefore shows a large gap between device consumption and responsible end-of-life management.</w:t>
      </w:r>
    </w:p>
    <w:p>
      <w:r>
        <w:t>The ten case studies show different approaches to closing this gap. Japan demonstrates a producer-and-retailer-linked take-back and recycling system. Switzerland demonstrates a high-performing collective take-back model. India provides a regulatory approach through the E-Waste Management Rules, 2022 and Extended Producer Responsibility (EPR). Bengaluru, Mumbai and Dharavi illustrate the complexity of large urban and informal recycling ecosystems. Kerala and Pune demonstrate organised collection models that connect local institutions and waste workers to recycling. Dell demonstrates a corporate circular-economy approach based on repair, refurbishment, recycled materials, recovery and design for disassembly.</w:t>
      </w:r>
    </w:p>
    <w:p>
      <w:pPr>
        <w:pStyle w:val="Heading1"/>
      </w:pPr>
      <w:r>
        <w:t>Background</w:t>
      </w:r>
    </w:p>
    <w:p>
      <w:r>
        <w:t>E-waste includes discarded electrical and electronic equipment and its components. It can contain valuable materials such as metals as well as substances that can create environmental and health risks if handled improperly. The central management challenge is to keep products, components and materials in productive use for as long as possible while preventing unsafe disposal.</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D3"/>
          </w:tcPr>
          <w:p>
            <w:r>
              <w:rPr>
                <w:b/>
              </w:rPr>
              <w:t>Indicator</w:t>
            </w:r>
          </w:p>
        </w:tc>
        <w:tc>
          <w:tcPr>
            <w:tcW w:type="dxa" w:w="3312"/>
            <w:shd w:fill="D9EAD3"/>
          </w:tcPr>
          <w:p>
            <w:r>
              <w:rPr>
                <w:b/>
              </w:rPr>
              <w:t>Value / finding</w:t>
            </w:r>
          </w:p>
        </w:tc>
        <w:tc>
          <w:tcPr>
            <w:tcW w:type="dxa" w:w="3312"/>
            <w:shd w:fill="D9EAD3"/>
          </w:tcPr>
          <w:p>
            <w:r>
              <w:rPr>
                <w:b/>
              </w:rPr>
              <w:t>Source</w:t>
            </w:r>
          </w:p>
        </w:tc>
      </w:tr>
      <w:tr>
        <w:tc>
          <w:tcPr>
            <w:tcW w:type="dxa" w:w="3312"/>
            <w:vAlign w:val="center"/>
          </w:tcPr>
          <w:p>
            <w:r>
              <w:t>Global e-waste generated (2022)</w:t>
            </w:r>
          </w:p>
        </w:tc>
        <w:tc>
          <w:tcPr>
            <w:tcW w:type="dxa" w:w="3312"/>
            <w:vAlign w:val="center"/>
          </w:tcPr>
          <w:p>
            <w:r>
              <w:t>62 billion kg / 62 million tonnes</w:t>
            </w:r>
          </w:p>
        </w:tc>
        <w:tc>
          <w:tcPr>
            <w:tcW w:type="dxa" w:w="3312"/>
            <w:vAlign w:val="center"/>
          </w:tcPr>
          <w:p>
            <w:r>
              <w:t>ITU / Global E-waste Monitor 2024</w:t>
            </w:r>
          </w:p>
        </w:tc>
      </w:tr>
      <w:tr>
        <w:tc>
          <w:tcPr>
            <w:tcW w:type="dxa" w:w="3312"/>
            <w:vAlign w:val="center"/>
          </w:tcPr>
          <w:p>
            <w:r>
              <w:t>Formally documented collected &amp; recycled</w:t>
            </w:r>
          </w:p>
        </w:tc>
        <w:tc>
          <w:tcPr>
            <w:tcW w:type="dxa" w:w="3312"/>
            <w:vAlign w:val="center"/>
          </w:tcPr>
          <w:p>
            <w:r>
              <w:t>22.3%</w:t>
            </w:r>
          </w:p>
        </w:tc>
        <w:tc>
          <w:tcPr>
            <w:tcW w:type="dxa" w:w="3312"/>
            <w:vAlign w:val="center"/>
          </w:tcPr>
          <w:p>
            <w:r>
              <w:t>ITU / Global E-waste Monitor 2024</w:t>
            </w:r>
          </w:p>
        </w:tc>
      </w:tr>
      <w:tr>
        <w:tc>
          <w:tcPr>
            <w:tcW w:type="dxa" w:w="3312"/>
            <w:vAlign w:val="center"/>
          </w:tcPr>
          <w:p>
            <w:r>
              <w:t>Projected global e-waste (2030)</w:t>
            </w:r>
          </w:p>
        </w:tc>
        <w:tc>
          <w:tcPr>
            <w:tcW w:type="dxa" w:w="3312"/>
            <w:vAlign w:val="center"/>
          </w:tcPr>
          <w:p>
            <w:r>
              <w:t>82 million tonnes</w:t>
            </w:r>
          </w:p>
        </w:tc>
        <w:tc>
          <w:tcPr>
            <w:tcW w:type="dxa" w:w="3312"/>
            <w:vAlign w:val="center"/>
          </w:tcPr>
          <w:p>
            <w:r>
              <w:t>ITU / Global E-waste Monitor 2024</w:t>
            </w:r>
          </w:p>
        </w:tc>
      </w:tr>
      <w:tr>
        <w:tc>
          <w:tcPr>
            <w:tcW w:type="dxa" w:w="3312"/>
            <w:vAlign w:val="center"/>
          </w:tcPr>
          <w:p>
            <w:r>
              <w:t>Global metals embedded in e-waste (2022)</w:t>
            </w:r>
          </w:p>
        </w:tc>
        <w:tc>
          <w:tcPr>
            <w:tcW w:type="dxa" w:w="3312"/>
            <w:vAlign w:val="center"/>
          </w:tcPr>
          <w:p>
            <w:r>
              <w:t>31 billion kg</w:t>
            </w:r>
          </w:p>
        </w:tc>
        <w:tc>
          <w:tcPr>
            <w:tcW w:type="dxa" w:w="3312"/>
            <w:vAlign w:val="center"/>
          </w:tcPr>
          <w:p>
            <w:r>
              <w:t>ITU / Global E-waste Monitor 2024</w:t>
            </w:r>
          </w:p>
        </w:tc>
      </w:tr>
    </w:tbl>
    <w:p>
      <w:pPr>
        <w:pStyle w:val="Heading1"/>
      </w:pPr>
      <w:r>
        <w:t>Case Study 1: Why Japan Recycles More Than Most Countries – Lessons for India</w:t>
      </w:r>
    </w:p>
    <w:p>
      <w:pPr>
        <w:pStyle w:val="Heading2"/>
      </w:pPr>
      <w:r>
        <w:t>Background</w:t>
      </w:r>
    </w:p>
    <w:p>
      <w:r>
        <w:t>Japan developed a structured appliance-recycling framework to address discarded household electronics. Its Home Appliance Recycling Law has operated since April 2001 and assigns responsibilities across consumers, retailers and manufacturers.</w:t>
      </w:r>
    </w:p>
    <w:p>
      <w:pPr>
        <w:pStyle w:val="Heading2"/>
      </w:pPr>
      <w:r>
        <w:t>Strategy / Initiative</w:t>
      </w:r>
    </w:p>
    <w:p>
      <w:pPr>
        <w:pStyle w:val="ListBullet"/>
      </w:pPr>
      <w:r>
        <w:t>Consumers pay recycling-related costs and hand appliances over for appropriate disposal.</w:t>
      </w:r>
    </w:p>
    <w:p>
      <w:pPr>
        <w:pStyle w:val="ListBullet"/>
      </w:pPr>
      <w:r>
        <w:t>Retailers collect and transport specified used appliances.</w:t>
      </w:r>
    </w:p>
    <w:p>
      <w:pPr>
        <w:pStyle w:val="ListBullet"/>
      </w:pPr>
      <w:r>
        <w:t>Manufacturers and importers take responsibility for recycling appliances they manufacture or import.</w:t>
      </w:r>
    </w:p>
    <w:p>
      <w:pPr>
        <w:pStyle w:val="ListBullet"/>
      </w:pPr>
      <w:r>
        <w:t>The system uses a recycling-coupon mechanism to support traceability and payment.</w:t>
      </w:r>
    </w:p>
    <w:p>
      <w:pPr>
        <w:pStyle w:val="ListBullet"/>
      </w:pPr>
      <w:r>
        <w:t>The specified appliance system covers air conditioners, televisions, refrigerators/freezers and washing/drying machines.</w:t>
      </w:r>
    </w:p>
    <w:p>
      <w:pPr>
        <w:pStyle w:val="Heading2"/>
      </w:pPr>
      <w:r>
        <w:t>Impact &amp; Results</w:t>
      </w:r>
    </w:p>
    <w:tbl>
      <w:tblPr>
        <w:tblStyle w:val="TableGrid"/>
        <w:tblW w:type="auto" w:w="0"/>
        <w:jc w:val="center"/>
        <w:tblLook w:firstColumn="1" w:firstRow="1" w:lastColumn="0" w:lastRow="0" w:noHBand="0" w:noVBand="1" w:val="04A0"/>
      </w:tblPr>
      <w:tblGrid>
        <w:gridCol w:w="4968"/>
        <w:gridCol w:w="4968"/>
      </w:tblGrid>
      <w:tr>
        <w:tc>
          <w:tcPr>
            <w:tcW w:type="dxa" w:w="4968"/>
            <w:shd w:fill="D9EAD3"/>
          </w:tcPr>
          <w:p>
            <w:r>
              <w:rPr>
                <w:b/>
              </w:rPr>
              <w:t>Appliance</w:t>
            </w:r>
          </w:p>
        </w:tc>
        <w:tc>
          <w:tcPr>
            <w:tcW w:type="dxa" w:w="4968"/>
            <w:shd w:fill="D9EAD3"/>
          </w:tcPr>
          <w:p>
            <w:r>
              <w:rPr>
                <w:b/>
              </w:rPr>
              <w:t>Recycling-rate standard in METI framework</w:t>
            </w:r>
          </w:p>
        </w:tc>
      </w:tr>
      <w:tr>
        <w:tc>
          <w:tcPr>
            <w:tcW w:type="dxa" w:w="4968"/>
            <w:vAlign w:val="center"/>
          </w:tcPr>
          <w:p>
            <w:r>
              <w:t>Air conditioner</w:t>
            </w:r>
          </w:p>
        </w:tc>
        <w:tc>
          <w:tcPr>
            <w:tcW w:type="dxa" w:w="4968"/>
            <w:vAlign w:val="center"/>
          </w:tcPr>
          <w:p>
            <w:r>
              <w:t>80%</w:t>
            </w:r>
          </w:p>
        </w:tc>
      </w:tr>
      <w:tr>
        <w:tc>
          <w:tcPr>
            <w:tcW w:type="dxa" w:w="4968"/>
            <w:vAlign w:val="center"/>
          </w:tcPr>
          <w:p>
            <w:r>
              <w:t>TV – CRT</w:t>
            </w:r>
          </w:p>
        </w:tc>
        <w:tc>
          <w:tcPr>
            <w:tcW w:type="dxa" w:w="4968"/>
            <w:vAlign w:val="center"/>
          </w:tcPr>
          <w:p>
            <w:r>
              <w:t>55%</w:t>
            </w:r>
          </w:p>
        </w:tc>
      </w:tr>
      <w:tr>
        <w:tc>
          <w:tcPr>
            <w:tcW w:type="dxa" w:w="4968"/>
            <w:vAlign w:val="center"/>
          </w:tcPr>
          <w:p>
            <w:r>
              <w:t>TV – plasma/LCD</w:t>
            </w:r>
          </w:p>
        </w:tc>
        <w:tc>
          <w:tcPr>
            <w:tcW w:type="dxa" w:w="4968"/>
            <w:vAlign w:val="center"/>
          </w:tcPr>
          <w:p>
            <w:r>
              <w:t>74%</w:t>
            </w:r>
          </w:p>
        </w:tc>
      </w:tr>
      <w:tr>
        <w:tc>
          <w:tcPr>
            <w:tcW w:type="dxa" w:w="4968"/>
            <w:vAlign w:val="center"/>
          </w:tcPr>
          <w:p>
            <w:r>
              <w:t>Refrigerator/freezer</w:t>
            </w:r>
          </w:p>
        </w:tc>
        <w:tc>
          <w:tcPr>
            <w:tcW w:type="dxa" w:w="4968"/>
            <w:vAlign w:val="center"/>
          </w:tcPr>
          <w:p>
            <w:r>
              <w:t>70%</w:t>
            </w:r>
          </w:p>
        </w:tc>
      </w:tr>
      <w:tr>
        <w:tc>
          <w:tcPr>
            <w:tcW w:type="dxa" w:w="4968"/>
            <w:vAlign w:val="center"/>
          </w:tcPr>
          <w:p>
            <w:r>
              <w:t>Washing/drying machine</w:t>
            </w:r>
          </w:p>
        </w:tc>
        <w:tc>
          <w:tcPr>
            <w:tcW w:type="dxa" w:w="4968"/>
            <w:vAlign w:val="center"/>
          </w:tcPr>
          <w:p>
            <w:r>
              <w:t>82%</w:t>
            </w:r>
          </w:p>
        </w:tc>
      </w:tr>
    </w:tbl>
    <w:p>
      <w:r>
        <w:t>These are statutory recycling-rate standards reported by Japan's Ministry of Economy, Trade and Industry (METI), not a claim that every discarded appliance achieves the same rate.</w:t>
      </w:r>
    </w:p>
    <w:p>
      <w:pPr>
        <w:pStyle w:val="Heading2"/>
      </w:pPr>
      <w:r>
        <w:t>SWOT Analysis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D3"/>
          </w:tcPr>
          <w:p>
            <w:r>
              <w:rPr>
                <w:b/>
              </w:rPr>
              <w:t>Strengths</w:t>
            </w:r>
          </w:p>
        </w:tc>
        <w:tc>
          <w:tcPr>
            <w:tcW w:type="dxa" w:w="2484"/>
            <w:shd w:fill="D9EAD3"/>
          </w:tcPr>
          <w:p>
            <w:r>
              <w:rPr>
                <w:b/>
              </w:rPr>
              <w:t>Weaknesses</w:t>
            </w:r>
          </w:p>
        </w:tc>
        <w:tc>
          <w:tcPr>
            <w:tcW w:type="dxa" w:w="2484"/>
            <w:shd w:fill="D9EAD3"/>
          </w:tcPr>
          <w:p>
            <w:r>
              <w:rPr>
                <w:b/>
              </w:rPr>
              <w:t>Opportunities</w:t>
            </w:r>
          </w:p>
        </w:tc>
        <w:tc>
          <w:tcPr>
            <w:tcW w:type="dxa" w:w="2484"/>
            <w:shd w:fill="D9EAD3"/>
          </w:tcPr>
          <w:p>
            <w:r>
              <w:rPr>
                <w:b/>
              </w:rPr>
              <w:t>Threats</w:t>
            </w:r>
          </w:p>
        </w:tc>
      </w:tr>
      <w:tr>
        <w:tc>
          <w:tcPr>
            <w:tcW w:type="dxa" w:w="2484"/>
            <w:vAlign w:val="center"/>
          </w:tcPr>
          <w:p>
            <w:r>
              <w:t>Clear role-sharing</w:t>
            </w:r>
          </w:p>
        </w:tc>
        <w:tc>
          <w:tcPr>
            <w:tcW w:type="dxa" w:w="2484"/>
            <w:vAlign w:val="center"/>
          </w:tcPr>
          <w:p>
            <w:r>
              <w:t>Consumer recycling fees can discourage disposal</w:t>
            </w:r>
          </w:p>
        </w:tc>
        <w:tc>
          <w:tcPr>
            <w:tcW w:type="dxa" w:w="2484"/>
            <w:vAlign w:val="center"/>
          </w:tcPr>
          <w:p>
            <w:r>
              <w:t>Apply stronger traceability in India</w:t>
            </w:r>
          </w:p>
        </w:tc>
        <w:tc>
          <w:tcPr>
            <w:tcW w:type="dxa" w:w="2484"/>
            <w:vAlign w:val="center"/>
          </w:tcPr>
          <w:p>
            <w:r>
              <w:t>Illegal dumping / leakage</w:t>
            </w:r>
          </w:p>
        </w:tc>
      </w:tr>
      <w:tr>
        <w:tc>
          <w:tcPr>
            <w:tcW w:type="dxa" w:w="2484"/>
            <w:vAlign w:val="center"/>
          </w:tcPr>
          <w:p>
            <w:r>
              <w:t>Manufacturer responsibility</w:t>
            </w:r>
          </w:p>
        </w:tc>
        <w:tc>
          <w:tcPr>
            <w:tcW w:type="dxa" w:w="2484"/>
            <w:vAlign w:val="center"/>
          </w:tcPr>
          <w:p>
            <w:r>
              <w:t>Focused on specified appliance categories</w:t>
            </w:r>
          </w:p>
        </w:tc>
        <w:tc>
          <w:tcPr>
            <w:tcW w:type="dxa" w:w="2484"/>
            <w:vAlign w:val="center"/>
          </w:tcPr>
          <w:p>
            <w:r>
              <w:t>Expand producer take-back</w:t>
            </w:r>
          </w:p>
        </w:tc>
        <w:tc>
          <w:tcPr>
            <w:tcW w:type="dxa" w:w="2484"/>
            <w:vAlign w:val="center"/>
          </w:tcPr>
          <w:p>
            <w:r>
              <w:t>Rapid product turnover</w:t>
            </w:r>
          </w:p>
        </w:tc>
      </w:tr>
      <w:tr>
        <w:tc>
          <w:tcPr>
            <w:tcW w:type="dxa" w:w="2484"/>
            <w:vAlign w:val="center"/>
          </w:tcPr>
          <w:p>
            <w:r>
              <w:t>Retailer take-back channel</w:t>
            </w:r>
          </w:p>
        </w:tc>
        <w:tc>
          <w:tcPr>
            <w:tcW w:type="dxa" w:w="2484"/>
            <w:vAlign w:val="center"/>
          </w:tcPr>
          <w:p>
            <w:r>
              <w:t>Administrative complexity</w:t>
            </w:r>
          </w:p>
        </w:tc>
        <w:tc>
          <w:tcPr>
            <w:tcW w:type="dxa" w:w="2484"/>
            <w:vAlign w:val="center"/>
          </w:tcPr>
          <w:p>
            <w:r>
              <w:t>Digital tracking</w:t>
            </w:r>
          </w:p>
        </w:tc>
        <w:tc>
          <w:tcPr>
            <w:tcW w:type="dxa" w:w="2484"/>
            <w:vAlign w:val="center"/>
          </w:tcPr>
          <w:p>
            <w:r>
              <w:t>Informal disposal channels</w:t>
            </w:r>
          </w:p>
        </w:tc>
      </w:tr>
    </w:tbl>
    <w:p>
      <w:pPr>
        <w:pStyle w:val="Heading2"/>
      </w:pPr>
      <w:r>
        <w:t>Comparison with India</w:t>
      </w:r>
    </w:p>
    <w:p>
      <w:r>
        <w:t>Japan's model makes responsibility highly visible across the product chain. India's 2022 framework instead places strong emphasis on EPR registration, recycling obligations and an EPR certificate system. India can learn from Japan's visible take-back and role clarity while retaining India's broader digital EPR framework.</w:t>
      </w:r>
    </w:p>
    <w:p>
      <w:pPr>
        <w:pStyle w:val="Heading2"/>
      </w:pPr>
      <w:r>
        <w:t>Recommendations</w:t>
      </w:r>
    </w:p>
    <w:p>
      <w:pPr>
        <w:pStyle w:val="ListBullet"/>
      </w:pPr>
      <w:r>
        <w:t>Strengthen retailer take-back at the point of replacement.</w:t>
      </w:r>
    </w:p>
    <w:p>
      <w:pPr>
        <w:pStyle w:val="ListBullet"/>
      </w:pPr>
      <w:r>
        <w:t>Use QR/serial-number based end-of-life tracking.</w:t>
      </w:r>
    </w:p>
    <w:p>
      <w:pPr>
        <w:pStyle w:val="ListBullet"/>
      </w:pPr>
      <w:r>
        <w:t>Increase consumer awareness of authorised collection routes.</w:t>
      </w:r>
    </w:p>
    <w:p>
      <w:pPr>
        <w:pStyle w:val="Heading1"/>
      </w:pPr>
      <w:r>
        <w:t>Case Study 2: Switzerland's E-Waste Success Story</w:t>
      </w:r>
    </w:p>
    <w:p>
      <w:pPr>
        <w:pStyle w:val="Heading2"/>
      </w:pPr>
      <w:r>
        <w:t>Background</w:t>
      </w:r>
    </w:p>
    <w:p>
      <w:r>
        <w:t>Switzerland is a strong example of organised electronics take-back. Its system involves producer/importer-led collective recycling organisations and extensive return points.</w:t>
      </w:r>
    </w:p>
    <w:p>
      <w:pPr>
        <w:pStyle w:val="Heading2"/>
      </w:pPr>
      <w:r>
        <w:t>Strategy / Initiative</w:t>
      </w:r>
    </w:p>
    <w:p>
      <w:pPr>
        <w:pStyle w:val="ListBullet"/>
      </w:pPr>
      <w:r>
        <w:t>Collective producer/importer responsibility.</w:t>
      </w:r>
    </w:p>
    <w:p>
      <w:pPr>
        <w:pStyle w:val="ListBullet"/>
      </w:pPr>
      <w:r>
        <w:t>Convenient return through official collection and take-back points.</w:t>
      </w:r>
    </w:p>
    <w:p>
      <w:pPr>
        <w:pStyle w:val="ListBullet"/>
      </w:pPr>
      <w:r>
        <w:t>Advance recycling contribution mechanisms help finance collection and recycling.</w:t>
      </w:r>
    </w:p>
    <w:p>
      <w:pPr>
        <w:pStyle w:val="ListBullet"/>
      </w:pPr>
      <w:r>
        <w:t>Specialised organisations such as SWICO and SENS coordinate recycling streams.</w:t>
      </w:r>
    </w:p>
    <w:p>
      <w:pPr>
        <w:pStyle w:val="Heading2"/>
      </w:pPr>
      <w:r>
        <w:t>Impact &amp; Results</w:t>
      </w:r>
    </w:p>
    <w:tbl>
      <w:tblPr>
        <w:tblStyle w:val="TableGrid"/>
        <w:tblW w:type="auto" w:w="0"/>
        <w:jc w:val="center"/>
        <w:tblLook w:firstColumn="1" w:firstRow="1" w:lastColumn="0" w:lastRow="0" w:noHBand="0" w:noVBand="1" w:val="04A0"/>
      </w:tblPr>
      <w:tblGrid>
        <w:gridCol w:w="4968"/>
        <w:gridCol w:w="4968"/>
      </w:tblGrid>
      <w:tr>
        <w:tc>
          <w:tcPr>
            <w:tcW w:type="dxa" w:w="4968"/>
            <w:shd w:fill="D9EAD3"/>
          </w:tcPr>
          <w:p>
            <w:r>
              <w:rPr>
                <w:b/>
              </w:rPr>
              <w:t>Reported indicator</w:t>
            </w:r>
          </w:p>
        </w:tc>
        <w:tc>
          <w:tcPr>
            <w:tcW w:type="dxa" w:w="4968"/>
            <w:shd w:fill="D9EAD3"/>
          </w:tcPr>
          <w:p>
            <w:r>
              <w:rPr>
                <w:b/>
              </w:rPr>
              <w:t>Value</w:t>
            </w:r>
          </w:p>
        </w:tc>
      </w:tr>
      <w:tr>
        <w:tc>
          <w:tcPr>
            <w:tcW w:type="dxa" w:w="4968"/>
            <w:vAlign w:val="center"/>
          </w:tcPr>
          <w:p>
            <w:r>
              <w:t>Swico 2019 electronics collected</w:t>
            </w:r>
          </w:p>
        </w:tc>
        <w:tc>
          <w:tcPr>
            <w:tcW w:type="dxa" w:w="4968"/>
            <w:vAlign w:val="center"/>
          </w:tcPr>
          <w:p>
            <w:r>
              <w:t>About 47,000 tonnes</w:t>
            </w:r>
          </w:p>
        </w:tc>
      </w:tr>
      <w:tr>
        <w:tc>
          <w:tcPr>
            <w:tcW w:type="dxa" w:w="4968"/>
            <w:vAlign w:val="center"/>
          </w:tcPr>
          <w:p>
            <w:r>
              <w:t>Devices represented</w:t>
            </w:r>
          </w:p>
        </w:tc>
        <w:tc>
          <w:tcPr>
            <w:tcW w:type="dxa" w:w="4968"/>
            <w:vAlign w:val="center"/>
          </w:tcPr>
          <w:p>
            <w:r>
              <w:t>About 8.8 million</w:t>
            </w:r>
          </w:p>
        </w:tc>
      </w:tr>
      <w:tr>
        <w:tc>
          <w:tcPr>
            <w:tcW w:type="dxa" w:w="4968"/>
            <w:vAlign w:val="center"/>
          </w:tcPr>
          <w:p>
            <w:r>
              <w:t>Reported recycling rate</w:t>
            </w:r>
          </w:p>
        </w:tc>
        <w:tc>
          <w:tcPr>
            <w:tcW w:type="dxa" w:w="4968"/>
            <w:vAlign w:val="center"/>
          </w:tcPr>
          <w:p>
            <w:r>
              <w:t>About 95%</w:t>
            </w:r>
          </w:p>
        </w:tc>
      </w:tr>
    </w:tbl>
    <w:p>
      <w:r>
        <w:t>The figures above are reported by SWICO for its recycling stream and should not be interpreted as a universal recycling rate for every type of waste in Switzerland.</w:t>
      </w:r>
    </w:p>
    <w:p>
      <w:pPr>
        <w:pStyle w:val="Heading2"/>
      </w:pPr>
      <w:r>
        <w:t>SWOT Analysis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D3"/>
          </w:tcPr>
          <w:p>
            <w:r>
              <w:rPr>
                <w:b/>
              </w:rPr>
              <w:t>Strengths</w:t>
            </w:r>
          </w:p>
        </w:tc>
        <w:tc>
          <w:tcPr>
            <w:tcW w:type="dxa" w:w="2484"/>
            <w:shd w:fill="D9EAD3"/>
          </w:tcPr>
          <w:p>
            <w:r>
              <w:rPr>
                <w:b/>
              </w:rPr>
              <w:t>Weaknesses</w:t>
            </w:r>
          </w:p>
        </w:tc>
        <w:tc>
          <w:tcPr>
            <w:tcW w:type="dxa" w:w="2484"/>
            <w:shd w:fill="D9EAD3"/>
          </w:tcPr>
          <w:p>
            <w:r>
              <w:rPr>
                <w:b/>
              </w:rPr>
              <w:t>Opportunities</w:t>
            </w:r>
          </w:p>
        </w:tc>
        <w:tc>
          <w:tcPr>
            <w:tcW w:type="dxa" w:w="2484"/>
            <w:shd w:fill="D9EAD3"/>
          </w:tcPr>
          <w:p>
            <w:r>
              <w:rPr>
                <w:b/>
              </w:rPr>
              <w:t>Threats</w:t>
            </w:r>
          </w:p>
        </w:tc>
      </w:tr>
      <w:tr>
        <w:tc>
          <w:tcPr>
            <w:tcW w:type="dxa" w:w="2484"/>
            <w:vAlign w:val="center"/>
          </w:tcPr>
          <w:p>
            <w:r>
              <w:t>High collection convenience</w:t>
            </w:r>
          </w:p>
        </w:tc>
        <w:tc>
          <w:tcPr>
            <w:tcW w:type="dxa" w:w="2484"/>
            <w:vAlign w:val="center"/>
          </w:tcPr>
          <w:p>
            <w:r>
              <w:t>Requires stable financing</w:t>
            </w:r>
          </w:p>
        </w:tc>
        <w:tc>
          <w:tcPr>
            <w:tcW w:type="dxa" w:w="2484"/>
            <w:vAlign w:val="center"/>
          </w:tcPr>
          <w:p>
            <w:r>
              <w:t>Digital product passports</w:t>
            </w:r>
          </w:p>
        </w:tc>
        <w:tc>
          <w:tcPr>
            <w:tcW w:type="dxa" w:w="2484"/>
            <w:vAlign w:val="center"/>
          </w:tcPr>
          <w:p>
            <w:r>
              <w:t>Consumption growth</w:t>
            </w:r>
          </w:p>
        </w:tc>
      </w:tr>
      <w:tr>
        <w:tc>
          <w:tcPr>
            <w:tcW w:type="dxa" w:w="2484"/>
            <w:vAlign w:val="center"/>
          </w:tcPr>
          <w:p>
            <w:r>
              <w:t>Producer/importer participation</w:t>
            </w:r>
          </w:p>
        </w:tc>
        <w:tc>
          <w:tcPr>
            <w:tcW w:type="dxa" w:w="2484"/>
            <w:vAlign w:val="center"/>
          </w:tcPr>
          <w:p>
            <w:r>
              <w:t>System coordination costs</w:t>
            </w:r>
          </w:p>
        </w:tc>
        <w:tc>
          <w:tcPr>
            <w:tcW w:type="dxa" w:w="2484"/>
            <w:vAlign w:val="center"/>
          </w:tcPr>
          <w:p>
            <w:r>
              <w:t>Greater repair/reuse</w:t>
            </w:r>
          </w:p>
        </w:tc>
        <w:tc>
          <w:tcPr>
            <w:tcW w:type="dxa" w:w="2484"/>
            <w:vAlign w:val="center"/>
          </w:tcPr>
          <w:p>
            <w:r>
              <w:t>Illegal exports</w:t>
            </w:r>
          </w:p>
        </w:tc>
      </w:tr>
      <w:tr>
        <w:tc>
          <w:tcPr>
            <w:tcW w:type="dxa" w:w="2484"/>
            <w:vAlign w:val="center"/>
          </w:tcPr>
          <w:p>
            <w:r>
              <w:t>Strong recycling infrastructure</w:t>
            </w:r>
          </w:p>
        </w:tc>
        <w:tc>
          <w:tcPr>
            <w:tcW w:type="dxa" w:w="2484"/>
            <w:vAlign w:val="center"/>
          </w:tcPr>
          <w:p>
            <w:r>
              <w:t>Dependence on participation</w:t>
            </w:r>
          </w:p>
        </w:tc>
        <w:tc>
          <w:tcPr>
            <w:tcW w:type="dxa" w:w="2484"/>
            <w:vAlign w:val="center"/>
          </w:tcPr>
          <w:p>
            <w:r>
              <w:t>Circular business models</w:t>
            </w:r>
          </w:p>
        </w:tc>
        <w:tc>
          <w:tcPr>
            <w:tcW w:type="dxa" w:w="2484"/>
            <w:vAlign w:val="center"/>
          </w:tcPr>
          <w:p>
            <w:r>
              <w:t>Complex device composition</w:t>
            </w:r>
          </w:p>
        </w:tc>
      </w:tr>
    </w:tbl>
    <w:p>
      <w:pPr>
        <w:pStyle w:val="Heading2"/>
      </w:pPr>
      <w:r>
        <w:t>Comparison with India</w:t>
      </w:r>
    </w:p>
    <w:p>
      <w:r>
        <w:t>Switzerland shows the value of convenient return infrastructure, stable financing and collective responsibility. India has EPR and authorised recyclers but faces a larger and more heterogeneous market, including a major informal sector.</w:t>
      </w:r>
    </w:p>
    <w:p>
      <w:pPr>
        <w:pStyle w:val="Heading2"/>
      </w:pPr>
      <w:r>
        <w:t>Recommendations</w:t>
      </w:r>
    </w:p>
    <w:p>
      <w:pPr>
        <w:pStyle w:val="ListBullet"/>
      </w:pPr>
      <w:r>
        <w:t>Create more convenient producer-funded collection points.</w:t>
      </w:r>
    </w:p>
    <w:p>
      <w:pPr>
        <w:pStyle w:val="ListBullet"/>
      </w:pPr>
      <w:r>
        <w:t>Publish transparent producer-wise collection/recycling performance.</w:t>
      </w:r>
    </w:p>
    <w:p>
      <w:pPr>
        <w:pStyle w:val="ListBullet"/>
      </w:pPr>
      <w:r>
        <w:t>Integrate repair and reuse before recycling.</w:t>
      </w:r>
    </w:p>
    <w:p>
      <w:pPr>
        <w:pStyle w:val="Heading1"/>
      </w:pPr>
      <w:r>
        <w:t>Case Study 3: India's E-Waste Management Rules, 2022</w:t>
      </w:r>
    </w:p>
    <w:p>
      <w:pPr>
        <w:pStyle w:val="Heading2"/>
      </w:pPr>
      <w:r>
        <w:t>Background</w:t>
      </w:r>
    </w:p>
    <w:p>
      <w:r>
        <w:t>India notified the E-Waste (Management) Rules, 2022 on 2 November 2022. The rules introduced a more centralised digital EPR framework and replaced the earlier 2016 framework for covered electrical and electronic equipment.</w:t>
      </w:r>
    </w:p>
    <w:p>
      <w:pPr>
        <w:pStyle w:val="Heading2"/>
      </w:pPr>
      <w:r>
        <w:t>Strategy / Initiative</w:t>
      </w:r>
    </w:p>
    <w:p>
      <w:pPr>
        <w:pStyle w:val="ListBullet"/>
      </w:pPr>
      <w:r>
        <w:t>Extended Producer Responsibility for producers of covered electrical and electronic equipment.</w:t>
      </w:r>
    </w:p>
    <w:p>
      <w:pPr>
        <w:pStyle w:val="ListBullet"/>
      </w:pPr>
      <w:r>
        <w:t>EPR obligations are fulfilled through registered recyclers and EPR certificates.</w:t>
      </w:r>
    </w:p>
    <w:p>
      <w:pPr>
        <w:pStyle w:val="ListBullet"/>
      </w:pPr>
      <w:r>
        <w:t>The EPR portal is used for registration, monitoring and compliance.</w:t>
      </w:r>
    </w:p>
    <w:p>
      <w:pPr>
        <w:pStyle w:val="ListBullet"/>
      </w:pPr>
      <w:r>
        <w:t>Refurbishing certificates encourage reuse/refurbishment.</w:t>
      </w:r>
    </w:p>
    <w:p>
      <w:pPr>
        <w:pStyle w:val="ListBullet"/>
      </w:pPr>
      <w:r>
        <w:t>Environmental compensation can be imposed for violations.</w:t>
      </w:r>
    </w:p>
    <w:p>
      <w:pPr>
        <w:pStyle w:val="ListBullet"/>
      </w:pPr>
      <w:r>
        <w:t>Producers submit periodic returns and stakeholders can be audited.</w:t>
      </w:r>
    </w:p>
    <w:p>
      <w:pPr>
        <w:pStyle w:val="Heading2"/>
      </w:pPr>
      <w:r>
        <w:t>Impact &amp; Results with Data</w:t>
      </w:r>
    </w:p>
    <w:tbl>
      <w:tblPr>
        <w:tblStyle w:val="TableGrid"/>
        <w:tblW w:type="auto" w:w="0"/>
        <w:jc w:val="center"/>
        <w:tblLook w:firstColumn="1" w:firstRow="1" w:lastColumn="0" w:lastRow="0" w:noHBand="0" w:noVBand="1" w:val="04A0"/>
      </w:tblPr>
      <w:tblGrid>
        <w:gridCol w:w="4968"/>
        <w:gridCol w:w="4968"/>
      </w:tblGrid>
      <w:tr>
        <w:tc>
          <w:tcPr>
            <w:tcW w:type="dxa" w:w="4968"/>
            <w:shd w:fill="D9EAD3"/>
          </w:tcPr>
          <w:p>
            <w:r>
              <w:rPr>
                <w:b/>
              </w:rPr>
              <w:t>Feature</w:t>
            </w:r>
          </w:p>
        </w:tc>
        <w:tc>
          <w:tcPr>
            <w:tcW w:type="dxa" w:w="4968"/>
            <w:shd w:fill="D9EAD3"/>
          </w:tcPr>
          <w:p>
            <w:r>
              <w:rPr>
                <w:b/>
              </w:rPr>
              <w:t>2022 Rules approach</w:t>
            </w:r>
          </w:p>
        </w:tc>
      </w:tr>
      <w:tr>
        <w:tc>
          <w:tcPr>
            <w:tcW w:type="dxa" w:w="4968"/>
            <w:vAlign w:val="center"/>
          </w:tcPr>
          <w:p>
            <w:r>
              <w:t>Coverage</w:t>
            </w:r>
          </w:p>
        </w:tc>
        <w:tc>
          <w:tcPr>
            <w:tcW w:type="dxa" w:w="4968"/>
            <w:vAlign w:val="center"/>
          </w:tcPr>
          <w:p>
            <w:r>
              <w:t>106 electrical/electronic equipment items under seven categories (CPCB FAQ)</w:t>
            </w:r>
          </w:p>
        </w:tc>
      </w:tr>
      <w:tr>
        <w:tc>
          <w:tcPr>
            <w:tcW w:type="dxa" w:w="4968"/>
            <w:vAlign w:val="center"/>
          </w:tcPr>
          <w:p>
            <w:r>
              <w:t>EPR mechanism</w:t>
            </w:r>
          </w:p>
        </w:tc>
        <w:tc>
          <w:tcPr>
            <w:tcW w:type="dxa" w:w="4968"/>
            <w:vAlign w:val="center"/>
          </w:tcPr>
          <w:p>
            <w:r>
              <w:t>Recycling obligation through registered recyclers and EPR certificates</w:t>
            </w:r>
          </w:p>
        </w:tc>
      </w:tr>
      <w:tr>
        <w:tc>
          <w:tcPr>
            <w:tcW w:type="dxa" w:w="4968"/>
            <w:vAlign w:val="center"/>
          </w:tcPr>
          <w:p>
            <w:r>
              <w:t>Compliance system</w:t>
            </w:r>
          </w:p>
        </w:tc>
        <w:tc>
          <w:tcPr>
            <w:tcW w:type="dxa" w:w="4968"/>
            <w:vAlign w:val="center"/>
          </w:tcPr>
          <w:p>
            <w:r>
              <w:t>Central EPR portal</w:t>
            </w:r>
          </w:p>
        </w:tc>
      </w:tr>
      <w:tr>
        <w:tc>
          <w:tcPr>
            <w:tcW w:type="dxa" w:w="4968"/>
            <w:vAlign w:val="center"/>
          </w:tcPr>
          <w:p>
            <w:r>
              <w:t>Refurbishment</w:t>
            </w:r>
          </w:p>
        </w:tc>
        <w:tc>
          <w:tcPr>
            <w:tcW w:type="dxa" w:w="4968"/>
            <w:vAlign w:val="center"/>
          </w:tcPr>
          <w:p>
            <w:r>
              <w:t>Refurbishing certificates provided</w:t>
            </w:r>
          </w:p>
        </w:tc>
      </w:tr>
      <w:tr>
        <w:tc>
          <w:tcPr>
            <w:tcW w:type="dxa" w:w="4968"/>
            <w:vAlign w:val="center"/>
          </w:tcPr>
          <w:p>
            <w:r>
              <w:t>Monitoring</w:t>
            </w:r>
          </w:p>
        </w:tc>
        <w:tc>
          <w:tcPr>
            <w:tcW w:type="dxa" w:w="4968"/>
            <w:vAlign w:val="center"/>
          </w:tcPr>
          <w:p>
            <w:r>
              <w:t>Returns, audits and inspections</w:t>
            </w:r>
          </w:p>
        </w:tc>
      </w:tr>
    </w:tbl>
    <w:p>
      <w:r>
        <w:t>The official CPCB FAQ identifies EPR, registered recyclers, EPR certificates, refurbishment certificates, environmental compensation, returns and audits as salient features.</w:t>
      </w:r>
    </w:p>
    <w:p>
      <w:pPr>
        <w:pStyle w:val="Heading2"/>
      </w:pPr>
      <w:r>
        <w:t>SWOT Analysis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D3"/>
          </w:tcPr>
          <w:p>
            <w:r>
              <w:rPr>
                <w:b/>
              </w:rPr>
              <w:t>Strengths</w:t>
            </w:r>
          </w:p>
        </w:tc>
        <w:tc>
          <w:tcPr>
            <w:tcW w:type="dxa" w:w="2484"/>
            <w:shd w:fill="D9EAD3"/>
          </w:tcPr>
          <w:p>
            <w:r>
              <w:rPr>
                <w:b/>
              </w:rPr>
              <w:t>Weaknesses</w:t>
            </w:r>
          </w:p>
        </w:tc>
        <w:tc>
          <w:tcPr>
            <w:tcW w:type="dxa" w:w="2484"/>
            <w:shd w:fill="D9EAD3"/>
          </w:tcPr>
          <w:p>
            <w:r>
              <w:rPr>
                <w:b/>
              </w:rPr>
              <w:t>Opportunities</w:t>
            </w:r>
          </w:p>
        </w:tc>
        <w:tc>
          <w:tcPr>
            <w:tcW w:type="dxa" w:w="2484"/>
            <w:shd w:fill="D9EAD3"/>
          </w:tcPr>
          <w:p>
            <w:r>
              <w:rPr>
                <w:b/>
              </w:rPr>
              <w:t>Threats</w:t>
            </w:r>
          </w:p>
        </w:tc>
      </w:tr>
      <w:tr>
        <w:tc>
          <w:tcPr>
            <w:tcW w:type="dxa" w:w="2484"/>
            <w:vAlign w:val="center"/>
          </w:tcPr>
          <w:p>
            <w:r>
              <w:t>Centralised digital EPR</w:t>
            </w:r>
          </w:p>
        </w:tc>
        <w:tc>
          <w:tcPr>
            <w:tcW w:type="dxa" w:w="2484"/>
            <w:vAlign w:val="center"/>
          </w:tcPr>
          <w:p>
            <w:r>
              <w:t>Compliance quality depends on verification</w:t>
            </w:r>
          </w:p>
        </w:tc>
        <w:tc>
          <w:tcPr>
            <w:tcW w:type="dxa" w:w="2484"/>
            <w:vAlign w:val="center"/>
          </w:tcPr>
          <w:p>
            <w:r>
              <w:t>Data analytics for traceability</w:t>
            </w:r>
          </w:p>
        </w:tc>
        <w:tc>
          <w:tcPr>
            <w:tcW w:type="dxa" w:w="2484"/>
            <w:vAlign w:val="center"/>
          </w:tcPr>
          <w:p>
            <w:r>
              <w:t>False reporting / certificate misuse</w:t>
            </w:r>
          </w:p>
        </w:tc>
      </w:tr>
      <w:tr>
        <w:tc>
          <w:tcPr>
            <w:tcW w:type="dxa" w:w="2484"/>
            <w:vAlign w:val="center"/>
          </w:tcPr>
          <w:p>
            <w:r>
              <w:t>Producer accountability</w:t>
            </w:r>
          </w:p>
        </w:tc>
        <w:tc>
          <w:tcPr>
            <w:tcW w:type="dxa" w:w="2484"/>
            <w:vAlign w:val="center"/>
          </w:tcPr>
          <w:p>
            <w:r>
              <w:t>Informal sector integration remains challenging</w:t>
            </w:r>
          </w:p>
        </w:tc>
        <w:tc>
          <w:tcPr>
            <w:tcW w:type="dxa" w:w="2484"/>
            <w:vAlign w:val="center"/>
          </w:tcPr>
          <w:p>
            <w:r>
              <w:t>Formalise collection networks</w:t>
            </w:r>
          </w:p>
        </w:tc>
        <w:tc>
          <w:tcPr>
            <w:tcW w:type="dxa" w:w="2484"/>
            <w:vAlign w:val="center"/>
          </w:tcPr>
          <w:p>
            <w:r>
              <w:t>Unsafe informal processing</w:t>
            </w:r>
          </w:p>
        </w:tc>
      </w:tr>
      <w:tr>
        <w:tc>
          <w:tcPr>
            <w:tcW w:type="dxa" w:w="2484"/>
            <w:vAlign w:val="center"/>
          </w:tcPr>
          <w:p>
            <w:r>
              <w:t>Registered recycler requirement</w:t>
            </w:r>
          </w:p>
        </w:tc>
        <w:tc>
          <w:tcPr>
            <w:tcW w:type="dxa" w:w="2484"/>
            <w:vAlign w:val="center"/>
          </w:tcPr>
          <w:p>
            <w:r>
              <w:t>Consumer participation varies</w:t>
            </w:r>
          </w:p>
        </w:tc>
        <w:tc>
          <w:tcPr>
            <w:tcW w:type="dxa" w:w="2484"/>
            <w:vAlign w:val="center"/>
          </w:tcPr>
          <w:p>
            <w:r>
              <w:t>Repair/refurbishment expansion</w:t>
            </w:r>
          </w:p>
        </w:tc>
        <w:tc>
          <w:tcPr>
            <w:tcW w:type="dxa" w:w="2484"/>
            <w:vAlign w:val="center"/>
          </w:tcPr>
          <w:p>
            <w:r>
              <w:t>Rapid e-waste growth</w:t>
            </w:r>
          </w:p>
        </w:tc>
      </w:tr>
    </w:tbl>
    <w:p>
      <w:pPr>
        <w:pStyle w:val="Heading2"/>
      </w:pPr>
      <w:r>
        <w:t>Comparison with India</w:t>
      </w:r>
    </w:p>
    <w:p>
      <w:r>
        <w:t>This case itself represents India's regulatory baseline and should be used as the reference point when comparing the other international and city-level cases.</w:t>
      </w:r>
    </w:p>
    <w:p>
      <w:pPr>
        <w:pStyle w:val="Heading2"/>
      </w:pPr>
      <w:r>
        <w:t>Recommendations</w:t>
      </w:r>
    </w:p>
    <w:p>
      <w:pPr>
        <w:pStyle w:val="ListBullet"/>
      </w:pPr>
      <w:r>
        <w:t>Improve physical verification of recycling claims.</w:t>
      </w:r>
    </w:p>
    <w:p>
      <w:pPr>
        <w:pStyle w:val="ListBullet"/>
      </w:pPr>
      <w:r>
        <w:t>Integrate authorised informal-sector workers where safe and appropriate.</w:t>
      </w:r>
    </w:p>
    <w:p>
      <w:pPr>
        <w:pStyle w:val="ListBullet"/>
      </w:pPr>
      <w:r>
        <w:t>Make producer performance easier for consumers to compare.</w:t>
      </w:r>
    </w:p>
    <w:p>
      <w:pPr>
        <w:pStyle w:val="ListBullet"/>
      </w:pPr>
      <w:r>
        <w:t>Prioritise reuse and repair before material recycling.</w:t>
      </w:r>
    </w:p>
    <w:p>
      <w:pPr>
        <w:pStyle w:val="Heading1"/>
      </w:pPr>
      <w:r>
        <w:t>Case Study 4: India's Extended Producer Responsibility – Success or Paper Compliance?</w:t>
      </w:r>
    </w:p>
    <w:p>
      <w:pPr>
        <w:pStyle w:val="Heading2"/>
      </w:pPr>
      <w:r>
        <w:t>Background</w:t>
      </w:r>
    </w:p>
    <w:p>
      <w:r>
        <w:t>EPR shifts part of end-of-life responsibility from municipalities and consumers toward producers. Under India's 2022 e-waste rules, producers meet recycling obligations through registered recyclers and the EPR portal.</w:t>
      </w:r>
    </w:p>
    <w:p>
      <w:pPr>
        <w:pStyle w:val="Heading2"/>
      </w:pPr>
      <w:r>
        <w:t>Strategy / Initiative</w:t>
      </w:r>
    </w:p>
    <w:p>
      <w:pPr>
        <w:pStyle w:val="ListBullet"/>
      </w:pPr>
      <w:r>
        <w:t>Producer registration and EPR obligations.</w:t>
      </w:r>
    </w:p>
    <w:p>
      <w:pPr>
        <w:pStyle w:val="ListBullet"/>
      </w:pPr>
      <w:r>
        <w:t>Purchase/use of EPR certificates generated from recycling activity.</w:t>
      </w:r>
    </w:p>
    <w:p>
      <w:pPr>
        <w:pStyle w:val="ListBullet"/>
      </w:pPr>
      <w:r>
        <w:t>Registered recycler participation.</w:t>
      </w:r>
    </w:p>
    <w:p>
      <w:pPr>
        <w:pStyle w:val="ListBullet"/>
      </w:pPr>
      <w:r>
        <w:t>Digital reporting, returns and audits.</w:t>
      </w:r>
    </w:p>
    <w:p>
      <w:pPr>
        <w:pStyle w:val="ListBullet"/>
      </w:pPr>
      <w:r>
        <w:t>Environmental compensation for non-compliance.</w:t>
      </w:r>
    </w:p>
    <w:p>
      <w:pPr>
        <w:pStyle w:val="Heading2"/>
      </w:pPr>
      <w:r>
        <w:t>Impact &amp; Results</w:t>
      </w:r>
    </w:p>
    <w:p>
      <w:r>
        <w:t>The system provides a formal accountability architecture, but the real test is whether reported EPR activity corresponds to physically collected and environmentally soundly recycled material. Therefore, success should be measured by verified material flows rather than only registrations or certificates.</w:t>
      </w:r>
    </w:p>
    <w:tbl>
      <w:tblPr>
        <w:tblStyle w:val="TableGrid"/>
        <w:tblW w:type="auto" w:w="0"/>
        <w:jc w:val="center"/>
        <w:tblLook w:firstColumn="1" w:firstRow="1" w:lastColumn="0" w:lastRow="0" w:noHBand="0" w:noVBand="1" w:val="04A0"/>
      </w:tblPr>
      <w:tblGrid>
        <w:gridCol w:w="4968"/>
        <w:gridCol w:w="4968"/>
      </w:tblGrid>
      <w:tr>
        <w:tc>
          <w:tcPr>
            <w:tcW w:type="dxa" w:w="4968"/>
            <w:shd w:fill="D9EAD3"/>
          </w:tcPr>
          <w:p>
            <w:r>
              <w:rPr>
                <w:b/>
              </w:rPr>
              <w:t>Success indicator</w:t>
            </w:r>
          </w:p>
        </w:tc>
        <w:tc>
          <w:tcPr>
            <w:tcW w:type="dxa" w:w="4968"/>
            <w:shd w:fill="D9EAD3"/>
          </w:tcPr>
          <w:p>
            <w:r>
              <w:rPr>
                <w:b/>
              </w:rPr>
              <w:t>What should be checked</w:t>
            </w:r>
          </w:p>
        </w:tc>
      </w:tr>
      <w:tr>
        <w:tc>
          <w:tcPr>
            <w:tcW w:type="dxa" w:w="4968"/>
            <w:vAlign w:val="center"/>
          </w:tcPr>
          <w:p>
            <w:r>
              <w:t>Collection</w:t>
            </w:r>
          </w:p>
        </w:tc>
        <w:tc>
          <w:tcPr>
            <w:tcW w:type="dxa" w:w="4968"/>
            <w:vAlign w:val="center"/>
          </w:tcPr>
          <w:p>
            <w:r>
              <w:t>Actual quantity physically collected</w:t>
            </w:r>
          </w:p>
        </w:tc>
      </w:tr>
      <w:tr>
        <w:tc>
          <w:tcPr>
            <w:tcW w:type="dxa" w:w="4968"/>
            <w:vAlign w:val="center"/>
          </w:tcPr>
          <w:p>
            <w:r>
              <w:t>Recycling</w:t>
            </w:r>
          </w:p>
        </w:tc>
        <w:tc>
          <w:tcPr>
            <w:tcW w:type="dxa" w:w="4968"/>
            <w:vAlign w:val="center"/>
          </w:tcPr>
          <w:p>
            <w:r>
              <w:t>Material actually processed by authorised recyclers</w:t>
            </w:r>
          </w:p>
        </w:tc>
      </w:tr>
      <w:tr>
        <w:tc>
          <w:tcPr>
            <w:tcW w:type="dxa" w:w="4968"/>
            <w:vAlign w:val="center"/>
          </w:tcPr>
          <w:p>
            <w:r>
              <w:t>Traceability</w:t>
            </w:r>
          </w:p>
        </w:tc>
        <w:tc>
          <w:tcPr>
            <w:tcW w:type="dxa" w:w="4968"/>
            <w:vAlign w:val="center"/>
          </w:tcPr>
          <w:p>
            <w:r>
              <w:t>Movement from producer obligation to recycler output</w:t>
            </w:r>
          </w:p>
        </w:tc>
      </w:tr>
      <w:tr>
        <w:tc>
          <w:tcPr>
            <w:tcW w:type="dxa" w:w="4968"/>
            <w:vAlign w:val="center"/>
          </w:tcPr>
          <w:p>
            <w:r>
              <w:t>Compliance</w:t>
            </w:r>
          </w:p>
        </w:tc>
        <w:tc>
          <w:tcPr>
            <w:tcW w:type="dxa" w:w="4968"/>
            <w:vAlign w:val="center"/>
          </w:tcPr>
          <w:p>
            <w:r>
              <w:t>Audits, inspections and corrective action</w:t>
            </w:r>
          </w:p>
        </w:tc>
      </w:tr>
      <w:tr>
        <w:tc>
          <w:tcPr>
            <w:tcW w:type="dxa" w:w="4968"/>
            <w:vAlign w:val="center"/>
          </w:tcPr>
          <w:p>
            <w:r>
              <w:t>Circularity</w:t>
            </w:r>
          </w:p>
        </w:tc>
        <w:tc>
          <w:tcPr>
            <w:tcW w:type="dxa" w:w="4968"/>
            <w:vAlign w:val="center"/>
          </w:tcPr>
          <w:p>
            <w:r>
              <w:t>Repair, reuse and refurbishment, not recycling alone</w:t>
            </w:r>
          </w:p>
        </w:tc>
      </w:tr>
    </w:tbl>
    <w:p>
      <w:pPr>
        <w:pStyle w:val="Heading2"/>
      </w:pPr>
      <w:r>
        <w:t>SWOT Analysis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D3"/>
          </w:tcPr>
          <w:p>
            <w:r>
              <w:rPr>
                <w:b/>
              </w:rPr>
              <w:t>Strengths</w:t>
            </w:r>
          </w:p>
        </w:tc>
        <w:tc>
          <w:tcPr>
            <w:tcW w:type="dxa" w:w="2484"/>
            <w:shd w:fill="D9EAD3"/>
          </w:tcPr>
          <w:p>
            <w:r>
              <w:rPr>
                <w:b/>
              </w:rPr>
              <w:t>Weaknesses</w:t>
            </w:r>
          </w:p>
        </w:tc>
        <w:tc>
          <w:tcPr>
            <w:tcW w:type="dxa" w:w="2484"/>
            <w:shd w:fill="D9EAD3"/>
          </w:tcPr>
          <w:p>
            <w:r>
              <w:rPr>
                <w:b/>
              </w:rPr>
              <w:t>Opportunities</w:t>
            </w:r>
          </w:p>
        </w:tc>
        <w:tc>
          <w:tcPr>
            <w:tcW w:type="dxa" w:w="2484"/>
            <w:shd w:fill="D9EAD3"/>
          </w:tcPr>
          <w:p>
            <w:r>
              <w:rPr>
                <w:b/>
              </w:rPr>
              <w:t>Threats</w:t>
            </w:r>
          </w:p>
        </w:tc>
      </w:tr>
      <w:tr>
        <w:tc>
          <w:tcPr>
            <w:tcW w:type="dxa" w:w="2484"/>
            <w:vAlign w:val="center"/>
          </w:tcPr>
          <w:p>
            <w:r>
              <w:t>Producer accountability</w:t>
            </w:r>
          </w:p>
        </w:tc>
        <w:tc>
          <w:tcPr>
            <w:tcW w:type="dxa" w:w="2484"/>
            <w:vAlign w:val="center"/>
          </w:tcPr>
          <w:p>
            <w:r>
              <w:t>Possible compliance-data gap</w:t>
            </w:r>
          </w:p>
        </w:tc>
        <w:tc>
          <w:tcPr>
            <w:tcW w:type="dxa" w:w="2484"/>
            <w:vAlign w:val="center"/>
          </w:tcPr>
          <w:p>
            <w:r>
              <w:t>Blockchain/serial traceability</w:t>
            </w:r>
          </w:p>
        </w:tc>
        <w:tc>
          <w:tcPr>
            <w:tcW w:type="dxa" w:w="2484"/>
            <w:vAlign w:val="center"/>
          </w:tcPr>
          <w:p>
            <w:r>
              <w:t>Certificate gaming</w:t>
            </w:r>
          </w:p>
        </w:tc>
      </w:tr>
      <w:tr>
        <w:tc>
          <w:tcPr>
            <w:tcW w:type="dxa" w:w="2484"/>
            <w:vAlign w:val="center"/>
          </w:tcPr>
          <w:p>
            <w:r>
              <w:t>Digital portal</w:t>
            </w:r>
          </w:p>
        </w:tc>
        <w:tc>
          <w:tcPr>
            <w:tcW w:type="dxa" w:w="2484"/>
            <w:vAlign w:val="center"/>
          </w:tcPr>
          <w:p>
            <w:r>
              <w:t>Verification burden</w:t>
            </w:r>
          </w:p>
        </w:tc>
        <w:tc>
          <w:tcPr>
            <w:tcW w:type="dxa" w:w="2484"/>
            <w:vAlign w:val="center"/>
          </w:tcPr>
          <w:p>
            <w:r>
              <w:t>Independent audits</w:t>
            </w:r>
          </w:p>
        </w:tc>
        <w:tc>
          <w:tcPr>
            <w:tcW w:type="dxa" w:w="2484"/>
            <w:vAlign w:val="center"/>
          </w:tcPr>
          <w:p>
            <w:r>
              <w:t>Informal leakage</w:t>
            </w:r>
          </w:p>
        </w:tc>
      </w:tr>
      <w:tr>
        <w:tc>
          <w:tcPr>
            <w:tcW w:type="dxa" w:w="2484"/>
            <w:vAlign w:val="center"/>
          </w:tcPr>
          <w:p>
            <w:r>
              <w:t>Environmental compensation</w:t>
            </w:r>
          </w:p>
        </w:tc>
        <w:tc>
          <w:tcPr>
            <w:tcW w:type="dxa" w:w="2484"/>
            <w:vAlign w:val="center"/>
          </w:tcPr>
          <w:p>
            <w:r>
              <w:t>Limited consumer visibility</w:t>
            </w:r>
          </w:p>
        </w:tc>
        <w:tc>
          <w:tcPr>
            <w:tcW w:type="dxa" w:w="2484"/>
            <w:vAlign w:val="center"/>
          </w:tcPr>
          <w:p>
            <w:r>
              <w:t>Public dashboards</w:t>
            </w:r>
          </w:p>
        </w:tc>
        <w:tc>
          <w:tcPr>
            <w:tcW w:type="dxa" w:w="2484"/>
            <w:vAlign w:val="center"/>
          </w:tcPr>
          <w:p>
            <w:r>
              <w:t>Low collection participation</w:t>
            </w:r>
          </w:p>
        </w:tc>
      </w:tr>
    </w:tbl>
    <w:p>
      <w:pPr>
        <w:pStyle w:val="Heading2"/>
      </w:pPr>
      <w:r>
        <w:t>Recommendations</w:t>
      </w:r>
    </w:p>
    <w:p>
      <w:pPr>
        <w:pStyle w:val="ListBullet"/>
      </w:pPr>
      <w:r>
        <w:t>Audit certificate generation against physical output.</w:t>
      </w:r>
    </w:p>
    <w:p>
      <w:pPr>
        <w:pStyle w:val="ListBullet"/>
      </w:pPr>
      <w:r>
        <w:t>Publish producer-level compliance dashboards.</w:t>
      </w:r>
    </w:p>
    <w:p>
      <w:pPr>
        <w:pStyle w:val="ListBullet"/>
      </w:pPr>
      <w:r>
        <w:t>Include collection quality and reuse in performance metrics.</w:t>
      </w:r>
    </w:p>
    <w:p>
      <w:pPr>
        <w:pStyle w:val="ListBullet"/>
      </w:pPr>
      <w:r>
        <w:t>Build formal partnerships with responsible informal-sector organisations.</w:t>
      </w:r>
    </w:p>
    <w:p>
      <w:pPr>
        <w:pStyle w:val="Heading1"/>
      </w:pPr>
      <w:r>
        <w:t>Case Study 5: Bengaluru – India's E-Waste Capital?</w:t>
      </w:r>
    </w:p>
    <w:p>
      <w:pPr>
        <w:pStyle w:val="Heading2"/>
      </w:pPr>
      <w:r>
        <w:t>Background</w:t>
      </w:r>
    </w:p>
    <w:p>
      <w:r>
        <w:t>Bengaluru is a major technology and electronics-consumption hub. The concentration of IT companies, households, institutions, repair markets and recycling actors creates a large e-waste ecosystem. The phrase 'e-waste capital' should be treated as a case-study label rather than a universally accepted official ranking.</w:t>
      </w:r>
    </w:p>
    <w:p>
      <w:pPr>
        <w:pStyle w:val="Heading2"/>
      </w:pPr>
      <w:r>
        <w:t>Strategy / Initiative</w:t>
      </w:r>
    </w:p>
    <w:p>
      <w:pPr>
        <w:pStyle w:val="ListBullet"/>
      </w:pPr>
      <w:r>
        <w:t>Formal collection through authorised recyclers and take-back programs.</w:t>
      </w:r>
    </w:p>
    <w:p>
      <w:pPr>
        <w:pStyle w:val="ListBullet"/>
      </w:pPr>
      <w:r>
        <w:t>Corporate IT asset disposal and refurbishment.</w:t>
      </w:r>
    </w:p>
    <w:p>
      <w:pPr>
        <w:pStyle w:val="ListBullet"/>
      </w:pPr>
      <w:r>
        <w:t>Repair/reuse markets and informal collection channels.</w:t>
      </w:r>
    </w:p>
    <w:p>
      <w:pPr>
        <w:pStyle w:val="ListBullet"/>
      </w:pPr>
      <w:r>
        <w:t>Growing emphasis on segregation and responsible disposal.</w:t>
      </w:r>
    </w:p>
    <w:p>
      <w:pPr>
        <w:pStyle w:val="Heading2"/>
      </w:pPr>
      <w:r>
        <w:t>Impact &amp; Results</w:t>
      </w:r>
    </w:p>
    <w:p>
      <w:r>
        <w:t>Bengaluru demonstrates both opportunity and difficulty: high-value electronics create strong recovery potential, while fragmented collection can divert material into informal or unsafe processing. City-level quantities vary by year and source, so an exact 'capital' ranking should not be stated without specifying the dataset and year.</w:t>
      </w:r>
    </w:p>
    <w:tbl>
      <w:tblPr>
        <w:tblStyle w:val="TableGrid"/>
        <w:tblW w:type="auto" w:w="0"/>
        <w:jc w:val="center"/>
        <w:tblLook w:firstColumn="1" w:firstRow="1" w:lastColumn="0" w:lastRow="0" w:noHBand="0" w:noVBand="1" w:val="04A0"/>
      </w:tblPr>
      <w:tblGrid>
        <w:gridCol w:w="4968"/>
        <w:gridCol w:w="4968"/>
      </w:tblGrid>
      <w:tr>
        <w:tc>
          <w:tcPr>
            <w:tcW w:type="dxa" w:w="4968"/>
            <w:shd w:fill="D9EAD3"/>
          </w:tcPr>
          <w:p>
            <w:r>
              <w:rPr>
                <w:b/>
              </w:rPr>
              <w:t>Dimension</w:t>
            </w:r>
          </w:p>
        </w:tc>
        <w:tc>
          <w:tcPr>
            <w:tcW w:type="dxa" w:w="4968"/>
            <w:shd w:fill="D9EAD3"/>
          </w:tcPr>
          <w:p>
            <w:r>
              <w:rPr>
                <w:b/>
              </w:rPr>
              <w:t>Observation</w:t>
            </w:r>
          </w:p>
        </w:tc>
      </w:tr>
      <w:tr>
        <w:tc>
          <w:tcPr>
            <w:tcW w:type="dxa" w:w="4968"/>
            <w:vAlign w:val="center"/>
          </w:tcPr>
          <w:p>
            <w:r>
              <w:t>Demand</w:t>
            </w:r>
          </w:p>
        </w:tc>
        <w:tc>
          <w:tcPr>
            <w:tcW w:type="dxa" w:w="4968"/>
            <w:vAlign w:val="center"/>
          </w:tcPr>
          <w:p>
            <w:r>
              <w:t>Large IT and electronics ecosystem</w:t>
            </w:r>
          </w:p>
        </w:tc>
      </w:tr>
      <w:tr>
        <w:tc>
          <w:tcPr>
            <w:tcW w:type="dxa" w:w="4968"/>
            <w:vAlign w:val="center"/>
          </w:tcPr>
          <w:p>
            <w:r>
              <w:t>Collection</w:t>
            </w:r>
          </w:p>
        </w:tc>
        <w:tc>
          <w:tcPr>
            <w:tcW w:type="dxa" w:w="4968"/>
            <w:vAlign w:val="center"/>
          </w:tcPr>
          <w:p>
            <w:r>
              <w:t>Mix of formal, corporate and informal channels</w:t>
            </w:r>
          </w:p>
        </w:tc>
      </w:tr>
      <w:tr>
        <w:tc>
          <w:tcPr>
            <w:tcW w:type="dxa" w:w="4968"/>
            <w:vAlign w:val="center"/>
          </w:tcPr>
          <w:p>
            <w:r>
              <w:t>Recovery</w:t>
            </w:r>
          </w:p>
        </w:tc>
        <w:tc>
          <w:tcPr>
            <w:tcW w:type="dxa" w:w="4968"/>
            <w:vAlign w:val="center"/>
          </w:tcPr>
          <w:p>
            <w:r>
              <w:t>High potential for valuable metals/components</w:t>
            </w:r>
          </w:p>
        </w:tc>
      </w:tr>
      <w:tr>
        <w:tc>
          <w:tcPr>
            <w:tcW w:type="dxa" w:w="4968"/>
            <w:vAlign w:val="center"/>
          </w:tcPr>
          <w:p>
            <w:r>
              <w:t>Risk</w:t>
            </w:r>
          </w:p>
        </w:tc>
        <w:tc>
          <w:tcPr>
            <w:tcW w:type="dxa" w:w="4968"/>
            <w:vAlign w:val="center"/>
          </w:tcPr>
          <w:p>
            <w:r>
              <w:t>Leakage into unsafe informal processing</w:t>
            </w:r>
          </w:p>
        </w:tc>
      </w:tr>
      <w:tr>
        <w:tc>
          <w:tcPr>
            <w:tcW w:type="dxa" w:w="4968"/>
            <w:vAlign w:val="center"/>
          </w:tcPr>
          <w:p>
            <w:r>
              <w:t>Priority</w:t>
            </w:r>
          </w:p>
        </w:tc>
        <w:tc>
          <w:tcPr>
            <w:tcW w:type="dxa" w:w="4968"/>
            <w:vAlign w:val="center"/>
          </w:tcPr>
          <w:p>
            <w:r>
              <w:t>Source segregation + authorised collection</w:t>
            </w:r>
          </w:p>
        </w:tc>
      </w:tr>
    </w:tbl>
    <w:p>
      <w:pPr>
        <w:pStyle w:val="Heading2"/>
      </w:pPr>
      <w:r>
        <w:t>SWOT Analysis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D3"/>
          </w:tcPr>
          <w:p>
            <w:r>
              <w:rPr>
                <w:b/>
              </w:rPr>
              <w:t>Strengths</w:t>
            </w:r>
          </w:p>
        </w:tc>
        <w:tc>
          <w:tcPr>
            <w:tcW w:type="dxa" w:w="2484"/>
            <w:shd w:fill="D9EAD3"/>
          </w:tcPr>
          <w:p>
            <w:r>
              <w:rPr>
                <w:b/>
              </w:rPr>
              <w:t>Weaknesses</w:t>
            </w:r>
          </w:p>
        </w:tc>
        <w:tc>
          <w:tcPr>
            <w:tcW w:type="dxa" w:w="2484"/>
            <w:shd w:fill="D9EAD3"/>
          </w:tcPr>
          <w:p>
            <w:r>
              <w:rPr>
                <w:b/>
              </w:rPr>
              <w:t>Opportunities</w:t>
            </w:r>
          </w:p>
        </w:tc>
        <w:tc>
          <w:tcPr>
            <w:tcW w:type="dxa" w:w="2484"/>
            <w:shd w:fill="D9EAD3"/>
          </w:tcPr>
          <w:p>
            <w:r>
              <w:rPr>
                <w:b/>
              </w:rPr>
              <w:t>Threats</w:t>
            </w:r>
          </w:p>
        </w:tc>
      </w:tr>
      <w:tr>
        <w:tc>
          <w:tcPr>
            <w:tcW w:type="dxa" w:w="2484"/>
            <w:vAlign w:val="center"/>
          </w:tcPr>
          <w:p>
            <w:r>
              <w:t>Strong technology ecosystem</w:t>
            </w:r>
          </w:p>
        </w:tc>
        <w:tc>
          <w:tcPr>
            <w:tcW w:type="dxa" w:w="2484"/>
            <w:vAlign w:val="center"/>
          </w:tcPr>
          <w:p>
            <w:r>
              <w:t>Fragmented channels</w:t>
            </w:r>
          </w:p>
        </w:tc>
        <w:tc>
          <w:tcPr>
            <w:tcW w:type="dxa" w:w="2484"/>
            <w:vAlign w:val="center"/>
          </w:tcPr>
          <w:p>
            <w:r>
              <w:t>Corporate take-back</w:t>
            </w:r>
          </w:p>
        </w:tc>
        <w:tc>
          <w:tcPr>
            <w:tcW w:type="dxa" w:w="2484"/>
            <w:vAlign w:val="center"/>
          </w:tcPr>
          <w:p>
            <w:r>
              <w:t>Informal unsafe processing</w:t>
            </w:r>
          </w:p>
        </w:tc>
      </w:tr>
      <w:tr>
        <w:tc>
          <w:tcPr>
            <w:tcW w:type="dxa" w:w="2484"/>
            <w:vAlign w:val="center"/>
          </w:tcPr>
          <w:p>
            <w:r>
              <w:t>Repair/refurbishment capacity</w:t>
            </w:r>
          </w:p>
        </w:tc>
        <w:tc>
          <w:tcPr>
            <w:tcW w:type="dxa" w:w="2484"/>
            <w:vAlign w:val="center"/>
          </w:tcPr>
          <w:p>
            <w:r>
              <w:t>Awareness gaps</w:t>
            </w:r>
          </w:p>
        </w:tc>
        <w:tc>
          <w:tcPr>
            <w:tcW w:type="dxa" w:w="2484"/>
            <w:vAlign w:val="center"/>
          </w:tcPr>
          <w:p>
            <w:r>
              <w:t>Digital tracking</w:t>
            </w:r>
          </w:p>
        </w:tc>
        <w:tc>
          <w:tcPr>
            <w:tcW w:type="dxa" w:w="2484"/>
            <w:vAlign w:val="center"/>
          </w:tcPr>
          <w:p>
            <w:r>
              <w:t>Rapid device replacement</w:t>
            </w:r>
          </w:p>
        </w:tc>
      </w:tr>
      <w:tr>
        <w:tc>
          <w:tcPr>
            <w:tcW w:type="dxa" w:w="2484"/>
            <w:vAlign w:val="center"/>
          </w:tcPr>
          <w:p>
            <w:r>
              <w:t>Recycling market</w:t>
            </w:r>
          </w:p>
        </w:tc>
        <w:tc>
          <w:tcPr>
            <w:tcW w:type="dxa" w:w="2484"/>
            <w:vAlign w:val="center"/>
          </w:tcPr>
          <w:p>
            <w:r>
              <w:t>Data variability</w:t>
            </w:r>
          </w:p>
        </w:tc>
        <w:tc>
          <w:tcPr>
            <w:tcW w:type="dxa" w:w="2484"/>
            <w:vAlign w:val="center"/>
          </w:tcPr>
          <w:p>
            <w:r>
              <w:t>Urban circular economy hubs</w:t>
            </w:r>
          </w:p>
        </w:tc>
        <w:tc>
          <w:tcPr>
            <w:tcW w:type="dxa" w:w="2484"/>
            <w:vAlign w:val="center"/>
          </w:tcPr>
          <w:p>
            <w:r>
              <w:t>Illegal disposal/export</w:t>
            </w:r>
          </w:p>
        </w:tc>
      </w:tr>
    </w:tbl>
    <w:p>
      <w:pPr>
        <w:pStyle w:val="Heading2"/>
      </w:pPr>
      <w:r>
        <w:t>Recommendations</w:t>
      </w:r>
    </w:p>
    <w:p>
      <w:pPr>
        <w:pStyle w:val="ListBullet"/>
      </w:pPr>
      <w:r>
        <w:t>Create ward-level e-waste drop-off points.</w:t>
      </w:r>
    </w:p>
    <w:p>
      <w:pPr>
        <w:pStyle w:val="ListBullet"/>
      </w:pPr>
      <w:r>
        <w:t>Link IT companies with verified recyclers.</w:t>
      </w:r>
    </w:p>
    <w:p>
      <w:pPr>
        <w:pStyle w:val="ListBullet"/>
      </w:pPr>
      <w:r>
        <w:t>Promote secure data destruction to increase consumer trust.</w:t>
      </w:r>
    </w:p>
    <w:p>
      <w:pPr>
        <w:pStyle w:val="ListBullet"/>
      </w:pPr>
      <w:r>
        <w:t>Publish annual city-level e-waste flow data.</w:t>
      </w:r>
    </w:p>
    <w:p>
      <w:pPr>
        <w:pStyle w:val="Heading1"/>
      </w:pPr>
      <w:r>
        <w:t>Case Study 6: Mumbai's E-Waste Ecosystem</w:t>
      </w:r>
    </w:p>
    <w:p>
      <w:pPr>
        <w:pStyle w:val="Heading2"/>
      </w:pPr>
      <w:r>
        <w:t>Background</w:t>
      </w:r>
    </w:p>
    <w:p>
      <w:r>
        <w:t>Mumbai is a major economic and consumption centre with extensive IT, commercial and household electronics use. MPCB identifies Mumbai and the Mumbai–Pune belt as important e-waste-management areas and maintains information on authorised e-waste facilities and related assessment reports.</w:t>
      </w:r>
    </w:p>
    <w:p>
      <w:pPr>
        <w:pStyle w:val="Heading2"/>
      </w:pPr>
      <w:r>
        <w:t>Strategy / Initiative</w:t>
      </w:r>
    </w:p>
    <w:p>
      <w:pPr>
        <w:pStyle w:val="ListBullet"/>
      </w:pPr>
      <w:r>
        <w:t>State pollution-control regulation and authorised recycler/dismantler systems.</w:t>
      </w:r>
    </w:p>
    <w:p>
      <w:pPr>
        <w:pStyle w:val="ListBullet"/>
      </w:pPr>
      <w:r>
        <w:t>EPR registration and compliance under the national 2022 framework.</w:t>
      </w:r>
    </w:p>
    <w:p>
      <w:pPr>
        <w:pStyle w:val="ListBullet"/>
      </w:pPr>
      <w:r>
        <w:t>Corporate and household collection through authorised channels.</w:t>
      </w:r>
    </w:p>
    <w:p>
      <w:pPr>
        <w:pStyle w:val="ListBullet"/>
      </w:pPr>
      <w:r>
        <w:t>Interaction between formal recyclers, scrap markets and informal actors.</w:t>
      </w:r>
    </w:p>
    <w:p>
      <w:pPr>
        <w:pStyle w:val="Heading2"/>
      </w:pPr>
      <w:r>
        <w:t>Impact &amp; Results</w:t>
      </w:r>
    </w:p>
    <w:tbl>
      <w:tblPr>
        <w:tblStyle w:val="TableGrid"/>
        <w:tblW w:type="auto" w:w="0"/>
        <w:jc w:val="center"/>
        <w:tblLook w:firstColumn="1" w:firstRow="1" w:lastColumn="0" w:lastRow="0" w:noHBand="0" w:noVBand="1" w:val="04A0"/>
      </w:tblPr>
      <w:tblGrid>
        <w:gridCol w:w="4968"/>
        <w:gridCol w:w="4968"/>
      </w:tblGrid>
      <w:tr>
        <w:tc>
          <w:tcPr>
            <w:tcW w:type="dxa" w:w="4968"/>
            <w:shd w:fill="D9EAD3"/>
          </w:tcPr>
          <w:p>
            <w:r>
              <w:rPr>
                <w:b/>
              </w:rPr>
              <w:t>Indicator</w:t>
            </w:r>
          </w:p>
        </w:tc>
        <w:tc>
          <w:tcPr>
            <w:tcW w:type="dxa" w:w="4968"/>
            <w:shd w:fill="D9EAD3"/>
          </w:tcPr>
          <w:p>
            <w:r>
              <w:rPr>
                <w:b/>
              </w:rPr>
              <w:t>Evidence / interpretation</w:t>
            </w:r>
          </w:p>
        </w:tc>
      </w:tr>
      <w:tr>
        <w:tc>
          <w:tcPr>
            <w:tcW w:type="dxa" w:w="4968"/>
            <w:vAlign w:val="center"/>
          </w:tcPr>
          <w:p>
            <w:r>
              <w:t>Regulatory infrastructure</w:t>
            </w:r>
          </w:p>
        </w:tc>
        <w:tc>
          <w:tcPr>
            <w:tcW w:type="dxa" w:w="4968"/>
            <w:vAlign w:val="center"/>
          </w:tcPr>
          <w:p>
            <w:r>
              <w:t>MPCB maintains e-waste rules, facility lists and annual reports</w:t>
            </w:r>
          </w:p>
        </w:tc>
      </w:tr>
      <w:tr>
        <w:tc>
          <w:tcPr>
            <w:tcW w:type="dxa" w:w="4968"/>
            <w:vAlign w:val="center"/>
          </w:tcPr>
          <w:p>
            <w:r>
              <w:t>Regional assessment</w:t>
            </w:r>
          </w:p>
        </w:tc>
        <w:tc>
          <w:tcPr>
            <w:tcW w:type="dxa" w:w="4968"/>
            <w:vAlign w:val="center"/>
          </w:tcPr>
          <w:p>
            <w:r>
              <w:t>MPCB hosts Mumbai–Pune e-waste assessment reports</w:t>
            </w:r>
          </w:p>
        </w:tc>
      </w:tr>
      <w:tr>
        <w:tc>
          <w:tcPr>
            <w:tcW w:type="dxa" w:w="4968"/>
            <w:vAlign w:val="center"/>
          </w:tcPr>
          <w:p>
            <w:r>
              <w:t>EPR</w:t>
            </w:r>
          </w:p>
        </w:tc>
        <w:tc>
          <w:tcPr>
            <w:tcW w:type="dxa" w:w="4968"/>
            <w:vAlign w:val="center"/>
          </w:tcPr>
          <w:p>
            <w:r>
              <w:t>Producer EPR applications are handled through the national EPR portal</w:t>
            </w:r>
          </w:p>
        </w:tc>
      </w:tr>
      <w:tr>
        <w:tc>
          <w:tcPr>
            <w:tcW w:type="dxa" w:w="4968"/>
            <w:vAlign w:val="center"/>
          </w:tcPr>
          <w:p>
            <w:r>
              <w:t>Main challenge</w:t>
            </w:r>
          </w:p>
        </w:tc>
        <w:tc>
          <w:tcPr>
            <w:tcW w:type="dxa" w:w="4968"/>
            <w:vAlign w:val="center"/>
          </w:tcPr>
          <w:p>
            <w:r>
              <w:t>Connecting large waste generation to verified formal processing</w:t>
            </w:r>
          </w:p>
        </w:tc>
      </w:tr>
    </w:tbl>
    <w:p>
      <w:pPr>
        <w:pStyle w:val="Heading2"/>
      </w:pPr>
      <w:r>
        <w:t>SWOT Analysis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D3"/>
          </w:tcPr>
          <w:p>
            <w:r>
              <w:rPr>
                <w:b/>
              </w:rPr>
              <w:t>Strengths</w:t>
            </w:r>
          </w:p>
        </w:tc>
        <w:tc>
          <w:tcPr>
            <w:tcW w:type="dxa" w:w="2484"/>
            <w:shd w:fill="D9EAD3"/>
          </w:tcPr>
          <w:p>
            <w:r>
              <w:rPr>
                <w:b/>
              </w:rPr>
              <w:t>Weaknesses</w:t>
            </w:r>
          </w:p>
        </w:tc>
        <w:tc>
          <w:tcPr>
            <w:tcW w:type="dxa" w:w="2484"/>
            <w:shd w:fill="D9EAD3"/>
          </w:tcPr>
          <w:p>
            <w:r>
              <w:rPr>
                <w:b/>
              </w:rPr>
              <w:t>Opportunities</w:t>
            </w:r>
          </w:p>
        </w:tc>
        <w:tc>
          <w:tcPr>
            <w:tcW w:type="dxa" w:w="2484"/>
            <w:shd w:fill="D9EAD3"/>
          </w:tcPr>
          <w:p>
            <w:r>
              <w:rPr>
                <w:b/>
              </w:rPr>
              <w:t>Threats</w:t>
            </w:r>
          </w:p>
        </w:tc>
      </w:tr>
      <w:tr>
        <w:tc>
          <w:tcPr>
            <w:tcW w:type="dxa" w:w="2484"/>
            <w:vAlign w:val="center"/>
          </w:tcPr>
          <w:p>
            <w:r>
              <w:t>Large recycling market</w:t>
            </w:r>
          </w:p>
        </w:tc>
        <w:tc>
          <w:tcPr>
            <w:tcW w:type="dxa" w:w="2484"/>
            <w:vAlign w:val="center"/>
          </w:tcPr>
          <w:p>
            <w:r>
              <w:t>Fragmented collection</w:t>
            </w:r>
          </w:p>
        </w:tc>
        <w:tc>
          <w:tcPr>
            <w:tcW w:type="dxa" w:w="2484"/>
            <w:vAlign w:val="center"/>
          </w:tcPr>
          <w:p>
            <w:r>
              <w:t>Digital collection platforms</w:t>
            </w:r>
          </w:p>
        </w:tc>
        <w:tc>
          <w:tcPr>
            <w:tcW w:type="dxa" w:w="2484"/>
            <w:vAlign w:val="center"/>
          </w:tcPr>
          <w:p>
            <w:r>
              <w:t>Unsafe dismantling</w:t>
            </w:r>
          </w:p>
        </w:tc>
      </w:tr>
      <w:tr>
        <w:tc>
          <w:tcPr>
            <w:tcW w:type="dxa" w:w="2484"/>
            <w:vAlign w:val="center"/>
          </w:tcPr>
          <w:p>
            <w:r>
              <w:t>Existing regulatory bodies</w:t>
            </w:r>
          </w:p>
        </w:tc>
        <w:tc>
          <w:tcPr>
            <w:tcW w:type="dxa" w:w="2484"/>
            <w:vAlign w:val="center"/>
          </w:tcPr>
          <w:p>
            <w:r>
              <w:t>Consumer awareness gaps</w:t>
            </w:r>
          </w:p>
        </w:tc>
        <w:tc>
          <w:tcPr>
            <w:tcW w:type="dxa" w:w="2484"/>
            <w:vAlign w:val="center"/>
          </w:tcPr>
          <w:p>
            <w:r>
              <w:t>Corporate collection partnerships</w:t>
            </w:r>
          </w:p>
        </w:tc>
        <w:tc>
          <w:tcPr>
            <w:tcW w:type="dxa" w:w="2484"/>
            <w:vAlign w:val="center"/>
          </w:tcPr>
          <w:p>
            <w:r>
              <w:t>Data leakage from devices</w:t>
            </w:r>
          </w:p>
        </w:tc>
      </w:tr>
      <w:tr>
        <w:tc>
          <w:tcPr>
            <w:tcW w:type="dxa" w:w="2484"/>
            <w:vAlign w:val="center"/>
          </w:tcPr>
          <w:p>
            <w:r>
              <w:t>Authorised facilities</w:t>
            </w:r>
          </w:p>
        </w:tc>
        <w:tc>
          <w:tcPr>
            <w:tcW w:type="dxa" w:w="2484"/>
            <w:vAlign w:val="center"/>
          </w:tcPr>
          <w:p>
            <w:r>
              <w:t>Informal-formal disconnect</w:t>
            </w:r>
          </w:p>
        </w:tc>
        <w:tc>
          <w:tcPr>
            <w:tcW w:type="dxa" w:w="2484"/>
            <w:vAlign w:val="center"/>
          </w:tcPr>
          <w:p>
            <w:r>
              <w:t>Formalisation of responsible workers</w:t>
            </w:r>
          </w:p>
        </w:tc>
        <w:tc>
          <w:tcPr>
            <w:tcW w:type="dxa" w:w="2484"/>
            <w:vAlign w:val="center"/>
          </w:tcPr>
          <w:p>
            <w:r>
              <w:t>Illegal dumping</w:t>
            </w:r>
          </w:p>
        </w:tc>
      </w:tr>
    </w:tbl>
    <w:p>
      <w:pPr>
        <w:pStyle w:val="Heading2"/>
      </w:pPr>
      <w:r>
        <w:t>Comparison with India</w:t>
      </w:r>
    </w:p>
    <w:p>
      <w:r>
        <w:t>Mumbai is a city-level implementation example of India's broader EPR and e-waste regulatory system. Its challenge is less about the absence of rules and more about ensuring that diverse waste streams are collected, tracked and processed through safe channels.</w:t>
      </w:r>
    </w:p>
    <w:p>
      <w:pPr>
        <w:pStyle w:val="Heading2"/>
      </w:pPr>
      <w:r>
        <w:t>Recommendations</w:t>
      </w:r>
    </w:p>
    <w:p>
      <w:pPr>
        <w:pStyle w:val="ListBullet"/>
      </w:pPr>
      <w:r>
        <w:t>Increase convenient residential collection points.</w:t>
      </w:r>
    </w:p>
    <w:p>
      <w:pPr>
        <w:pStyle w:val="ListBullet"/>
      </w:pPr>
      <w:r>
        <w:t>Strengthen enforcement against unsafe processing.</w:t>
      </w:r>
    </w:p>
    <w:p>
      <w:pPr>
        <w:pStyle w:val="ListBullet"/>
      </w:pPr>
      <w:r>
        <w:t>Promote certified data destruction.</w:t>
      </w:r>
    </w:p>
    <w:p>
      <w:pPr>
        <w:pStyle w:val="ListBullet"/>
      </w:pPr>
      <w:r>
        <w:t>Integrate city collection data with EPR reporting.</w:t>
      </w:r>
    </w:p>
    <w:p>
      <w:pPr>
        <w:pStyle w:val="Heading1"/>
      </w:pPr>
      <w:r>
        <w:t>Case Study 7: Kerala's Clean Kerala Company</w:t>
      </w:r>
    </w:p>
    <w:p>
      <w:pPr>
        <w:pStyle w:val="Heading2"/>
      </w:pPr>
      <w:r>
        <w:t>Background</w:t>
      </w:r>
    </w:p>
    <w:p>
      <w:r>
        <w:t>Clean Kerala Company Limited (CKCL) operates under Kerala's Local Self Government Department and provides forward linkages to local governments for processing and disposal of waste. Its activities include e-waste collection and handover to approved recycling companies.</w:t>
      </w:r>
    </w:p>
    <w:p>
      <w:pPr>
        <w:pStyle w:val="Heading2"/>
      </w:pPr>
      <w:r>
        <w:t>Strategy / Initiative</w:t>
      </w:r>
    </w:p>
    <w:p>
      <w:pPr>
        <w:pStyle w:val="ListBullet"/>
      </w:pPr>
      <w:r>
        <w:t>Local-government-linked collection system.</w:t>
      </w:r>
    </w:p>
    <w:p>
      <w:pPr>
        <w:pStyle w:val="ListBullet"/>
      </w:pPr>
      <w:r>
        <w:t>Collection of e-waste followed by transfer to approved recycling companies.</w:t>
      </w:r>
    </w:p>
    <w:p>
      <w:pPr>
        <w:pStyle w:val="ListBullet"/>
      </w:pPr>
      <w:r>
        <w:t>Partnership with local governments and community waste-management actors.</w:t>
      </w:r>
    </w:p>
    <w:p>
      <w:pPr>
        <w:pStyle w:val="ListBullet"/>
      </w:pPr>
      <w:r>
        <w:t>Separate handling of hazardous e-waste streams.</w:t>
      </w:r>
    </w:p>
    <w:p>
      <w:pPr>
        <w:pStyle w:val="Heading2"/>
      </w:pPr>
      <w:r>
        <w:t>Impact &amp; Results</w:t>
      </w:r>
    </w:p>
    <w:tbl>
      <w:tblPr>
        <w:tblStyle w:val="TableGrid"/>
        <w:tblW w:type="auto" w:w="0"/>
        <w:jc w:val="center"/>
        <w:tblLook w:firstColumn="1" w:firstRow="1" w:lastColumn="0" w:lastRow="0" w:noHBand="0" w:noVBand="1" w:val="04A0"/>
      </w:tblPr>
      <w:tblGrid>
        <w:gridCol w:w="4968"/>
        <w:gridCol w:w="4968"/>
      </w:tblGrid>
      <w:tr>
        <w:tc>
          <w:tcPr>
            <w:tcW w:type="dxa" w:w="4968"/>
            <w:shd w:fill="D9EAD3"/>
          </w:tcPr>
          <w:p>
            <w:r>
              <w:rPr>
                <w:b/>
              </w:rPr>
              <w:t>Indicator</w:t>
            </w:r>
          </w:p>
        </w:tc>
        <w:tc>
          <w:tcPr>
            <w:tcW w:type="dxa" w:w="4968"/>
            <w:shd w:fill="D9EAD3"/>
          </w:tcPr>
          <w:p>
            <w:r>
              <w:rPr>
                <w:b/>
              </w:rPr>
              <w:t>Reported value</w:t>
            </w:r>
          </w:p>
        </w:tc>
      </w:tr>
      <w:tr>
        <w:tc>
          <w:tcPr>
            <w:tcW w:type="dxa" w:w="4968"/>
            <w:vAlign w:val="center"/>
          </w:tcPr>
          <w:p>
            <w:r>
              <w:t>E-waste collected by CKCL</w:t>
            </w:r>
          </w:p>
        </w:tc>
        <w:tc>
          <w:tcPr>
            <w:tcW w:type="dxa" w:w="4968"/>
            <w:vAlign w:val="center"/>
          </w:tcPr>
          <w:p>
            <w:r>
              <w:t>2,265 MT (government LSGD page)</w:t>
            </w:r>
          </w:p>
        </w:tc>
      </w:tr>
      <w:tr>
        <w:tc>
          <w:tcPr>
            <w:tcW w:type="dxa" w:w="4968"/>
            <w:vAlign w:val="center"/>
          </w:tcPr>
          <w:p>
            <w:r>
              <w:t>Hazardous e-waste collected</w:t>
            </w:r>
          </w:p>
        </w:tc>
        <w:tc>
          <w:tcPr>
            <w:tcW w:type="dxa" w:w="4968"/>
            <w:vAlign w:val="center"/>
          </w:tcPr>
          <w:p>
            <w:r>
              <w:t>161 MT</w:t>
            </w:r>
          </w:p>
        </w:tc>
      </w:tr>
      <w:tr>
        <w:tc>
          <w:tcPr>
            <w:tcW w:type="dxa" w:w="4968"/>
            <w:vAlign w:val="center"/>
          </w:tcPr>
          <w:p>
            <w:r>
              <w:t>E-waste disposal route</w:t>
            </w:r>
          </w:p>
        </w:tc>
        <w:tc>
          <w:tcPr>
            <w:tcW w:type="dxa" w:w="4968"/>
            <w:vAlign w:val="center"/>
          </w:tcPr>
          <w:p>
            <w:r>
              <w:t>Approved e-waste recycling companies</w:t>
            </w:r>
          </w:p>
        </w:tc>
      </w:tr>
      <w:tr>
        <w:tc>
          <w:tcPr>
            <w:tcW w:type="dxa" w:w="4968"/>
            <w:vAlign w:val="center"/>
          </w:tcPr>
          <w:p>
            <w:r>
              <w:t>Collection network context</w:t>
            </w:r>
          </w:p>
        </w:tc>
        <w:tc>
          <w:tcPr>
            <w:tcW w:type="dxa" w:w="4968"/>
            <w:vAlign w:val="center"/>
          </w:tcPr>
          <w:p>
            <w:r>
              <w:t>State-supported local-government linkage</w:t>
            </w:r>
          </w:p>
        </w:tc>
      </w:tr>
    </w:tbl>
    <w:p>
      <w:pPr>
        <w:pStyle w:val="Heading2"/>
      </w:pPr>
      <w:r>
        <w:t>SWOT Analysis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D3"/>
          </w:tcPr>
          <w:p>
            <w:r>
              <w:rPr>
                <w:b/>
              </w:rPr>
              <w:t>Strengths</w:t>
            </w:r>
          </w:p>
        </w:tc>
        <w:tc>
          <w:tcPr>
            <w:tcW w:type="dxa" w:w="2484"/>
            <w:shd w:fill="D9EAD3"/>
          </w:tcPr>
          <w:p>
            <w:r>
              <w:rPr>
                <w:b/>
              </w:rPr>
              <w:t>Weaknesses</w:t>
            </w:r>
          </w:p>
        </w:tc>
        <w:tc>
          <w:tcPr>
            <w:tcW w:type="dxa" w:w="2484"/>
            <w:shd w:fill="D9EAD3"/>
          </w:tcPr>
          <w:p>
            <w:r>
              <w:rPr>
                <w:b/>
              </w:rPr>
              <w:t>Opportunities</w:t>
            </w:r>
          </w:p>
        </w:tc>
        <w:tc>
          <w:tcPr>
            <w:tcW w:type="dxa" w:w="2484"/>
            <w:shd w:fill="D9EAD3"/>
          </w:tcPr>
          <w:p>
            <w:r>
              <w:rPr>
                <w:b/>
              </w:rPr>
              <w:t>Threats</w:t>
            </w:r>
          </w:p>
        </w:tc>
      </w:tr>
      <w:tr>
        <w:tc>
          <w:tcPr>
            <w:tcW w:type="dxa" w:w="2484"/>
            <w:vAlign w:val="center"/>
          </w:tcPr>
          <w:p>
            <w:r>
              <w:t>Government-backed network</w:t>
            </w:r>
          </w:p>
        </w:tc>
        <w:tc>
          <w:tcPr>
            <w:tcW w:type="dxa" w:w="2484"/>
            <w:vAlign w:val="center"/>
          </w:tcPr>
          <w:p>
            <w:r>
              <w:t>Logistics across a large state</w:t>
            </w:r>
          </w:p>
        </w:tc>
        <w:tc>
          <w:tcPr>
            <w:tcW w:type="dxa" w:w="2484"/>
            <w:vAlign w:val="center"/>
          </w:tcPr>
          <w:p>
            <w:r>
              <w:t>Expand collection centres</w:t>
            </w:r>
          </w:p>
        </w:tc>
        <w:tc>
          <w:tcPr>
            <w:tcW w:type="dxa" w:w="2484"/>
            <w:vAlign w:val="center"/>
          </w:tcPr>
          <w:p>
            <w:r>
              <w:t>Collection capacity constraints</w:t>
            </w:r>
          </w:p>
        </w:tc>
      </w:tr>
      <w:tr>
        <w:tc>
          <w:tcPr>
            <w:tcW w:type="dxa" w:w="2484"/>
            <w:vAlign w:val="center"/>
          </w:tcPr>
          <w:p>
            <w:r>
              <w:t>Local-government integration</w:t>
            </w:r>
          </w:p>
        </w:tc>
        <w:tc>
          <w:tcPr>
            <w:tcW w:type="dxa" w:w="2484"/>
            <w:vAlign w:val="center"/>
          </w:tcPr>
          <w:p>
            <w:r>
              <w:t>Dependence on partners</w:t>
            </w:r>
          </w:p>
        </w:tc>
        <w:tc>
          <w:tcPr>
            <w:tcW w:type="dxa" w:w="2484"/>
            <w:vAlign w:val="center"/>
          </w:tcPr>
          <w:p>
            <w:r>
              <w:t>Community awareness</w:t>
            </w:r>
          </w:p>
        </w:tc>
        <w:tc>
          <w:tcPr>
            <w:tcW w:type="dxa" w:w="2484"/>
            <w:vAlign w:val="center"/>
          </w:tcPr>
          <w:p>
            <w:r>
              <w:t>Unsafe parallel channels</w:t>
            </w:r>
          </w:p>
        </w:tc>
      </w:tr>
      <w:tr>
        <w:tc>
          <w:tcPr>
            <w:tcW w:type="dxa" w:w="2484"/>
            <w:vAlign w:val="center"/>
          </w:tcPr>
          <w:p>
            <w:r>
              <w:t>Authorised recycling linkage</w:t>
            </w:r>
          </w:p>
        </w:tc>
        <w:tc>
          <w:tcPr>
            <w:tcW w:type="dxa" w:w="2484"/>
            <w:vAlign w:val="center"/>
          </w:tcPr>
          <w:p>
            <w:r>
              <w:t>Need for continuous funding</w:t>
            </w:r>
          </w:p>
        </w:tc>
        <w:tc>
          <w:tcPr>
            <w:tcW w:type="dxa" w:w="2484"/>
            <w:vAlign w:val="center"/>
          </w:tcPr>
          <w:p>
            <w:r>
              <w:t>Digital tracking</w:t>
            </w:r>
          </w:p>
        </w:tc>
        <w:tc>
          <w:tcPr>
            <w:tcW w:type="dxa" w:w="2484"/>
            <w:vAlign w:val="center"/>
          </w:tcPr>
          <w:p>
            <w:r>
              <w:t>Increasing e-waste</w:t>
            </w:r>
          </w:p>
        </w:tc>
      </w:tr>
    </w:tbl>
    <w:p>
      <w:pPr>
        <w:pStyle w:val="Heading2"/>
      </w:pPr>
      <w:r>
        <w:t>Comparison with India</w:t>
      </w:r>
    </w:p>
    <w:p>
      <w:r>
        <w:t>CKCL shows how state-level institutions can provide the collection and aggregation layer needed to make national e-waste rules practical at local level.</w:t>
      </w:r>
    </w:p>
    <w:p>
      <w:pPr>
        <w:pStyle w:val="Heading2"/>
      </w:pPr>
      <w:r>
        <w:t>Recommendations</w:t>
      </w:r>
    </w:p>
    <w:p>
      <w:pPr>
        <w:pStyle w:val="ListBullet"/>
      </w:pPr>
      <w:r>
        <w:t>Expand collection coverage in smaller towns.</w:t>
      </w:r>
    </w:p>
    <w:p>
      <w:pPr>
        <w:pStyle w:val="ListBullet"/>
      </w:pPr>
      <w:r>
        <w:t>Introduce household pickup booking.</w:t>
      </w:r>
    </w:p>
    <w:p>
      <w:pPr>
        <w:pStyle w:val="ListBullet"/>
      </w:pPr>
      <w:r>
        <w:t>Publish district-wise collection data.</w:t>
      </w:r>
    </w:p>
    <w:p>
      <w:pPr>
        <w:pStyle w:val="ListBullet"/>
      </w:pPr>
      <w:r>
        <w:t>Link state collection records with EPR systems.</w:t>
      </w:r>
    </w:p>
    <w:p>
      <w:pPr>
        <w:pStyle w:val="Heading1"/>
      </w:pPr>
      <w:r>
        <w:t>Case Study 8: Pune's SWaCH Model</w:t>
      </w:r>
    </w:p>
    <w:p>
      <w:pPr>
        <w:pStyle w:val="Heading2"/>
      </w:pPr>
      <w:r>
        <w:t>Background</w:t>
      </w:r>
    </w:p>
    <w:p>
      <w:r>
        <w:t>SWaCH is a worker-owned cooperative of waste collectors that provides front-end waste-management services in Pune. The model demonstrates how waste pickers can be recognised as service providers and integrated into municipal systems.</w:t>
      </w:r>
    </w:p>
    <w:p>
      <w:pPr>
        <w:pStyle w:val="Heading2"/>
      </w:pPr>
      <w:r>
        <w:t>Strategy / Initiative</w:t>
      </w:r>
    </w:p>
    <w:p>
      <w:pPr>
        <w:pStyle w:val="ListBullet"/>
      </w:pPr>
      <w:r>
        <w:t>Door-to-door collection and source segregation.</w:t>
      </w:r>
    </w:p>
    <w:p>
      <w:pPr>
        <w:pStyle w:val="ListBullet"/>
      </w:pPr>
      <w:r>
        <w:t>Waste pickers organise as a cooperative.</w:t>
      </w:r>
    </w:p>
    <w:p>
      <w:pPr>
        <w:pStyle w:val="ListBullet"/>
      </w:pPr>
      <w:r>
        <w:t>Residents contribute user fees while recyclable materials provide additional income.</w:t>
      </w:r>
    </w:p>
    <w:p>
      <w:pPr>
        <w:pStyle w:val="ListBullet"/>
      </w:pPr>
      <w:r>
        <w:t>SWaCH operates V-Collect services for used items including electronics.</w:t>
      </w:r>
    </w:p>
    <w:p>
      <w:pPr>
        <w:pStyle w:val="ListBullet"/>
      </w:pPr>
      <w:r>
        <w:t>Collected electronics that cannot be reused are sent to authorised recyclers/dismantlers.</w:t>
      </w:r>
    </w:p>
    <w:p>
      <w:pPr>
        <w:pStyle w:val="Heading2"/>
      </w:pPr>
      <w:r>
        <w:t>Impact &amp; Results</w:t>
      </w:r>
    </w:p>
    <w:tbl>
      <w:tblPr>
        <w:tblStyle w:val="TableGrid"/>
        <w:tblW w:type="auto" w:w="0"/>
        <w:jc w:val="center"/>
        <w:tblLook w:firstColumn="1" w:firstRow="1" w:lastColumn="0" w:lastRow="0" w:noHBand="0" w:noVBand="1" w:val="04A0"/>
      </w:tblPr>
      <w:tblGrid>
        <w:gridCol w:w="4968"/>
        <w:gridCol w:w="4968"/>
      </w:tblGrid>
      <w:tr>
        <w:tc>
          <w:tcPr>
            <w:tcW w:type="dxa" w:w="4968"/>
            <w:shd w:fill="D9EAD3"/>
          </w:tcPr>
          <w:p>
            <w:r>
              <w:rPr>
                <w:b/>
              </w:rPr>
              <w:t>Indicator</w:t>
            </w:r>
          </w:p>
        </w:tc>
        <w:tc>
          <w:tcPr>
            <w:tcW w:type="dxa" w:w="4968"/>
            <w:shd w:fill="D9EAD3"/>
          </w:tcPr>
          <w:p>
            <w:r>
              <w:rPr>
                <w:b/>
              </w:rPr>
              <w:t>Reported value / finding</w:t>
            </w:r>
          </w:p>
        </w:tc>
      </w:tr>
      <w:tr>
        <w:tc>
          <w:tcPr>
            <w:tcW w:type="dxa" w:w="4968"/>
            <w:vAlign w:val="center"/>
          </w:tcPr>
          <w:p>
            <w:r>
              <w:t>SWaCH households covered (2025 website)</w:t>
            </w:r>
          </w:p>
        </w:tc>
        <w:tc>
          <w:tcPr>
            <w:tcW w:type="dxa" w:w="4968"/>
            <w:vAlign w:val="center"/>
          </w:tcPr>
          <w:p>
            <w:r>
              <w:t>1,000,000 daily</w:t>
            </w:r>
          </w:p>
        </w:tc>
      </w:tr>
      <w:tr>
        <w:tc>
          <w:tcPr>
            <w:tcW w:type="dxa" w:w="4968"/>
            <w:vAlign w:val="center"/>
          </w:tcPr>
          <w:p>
            <w:r>
              <w:t>Waste pickers integrated (2025 website)</w:t>
            </w:r>
          </w:p>
        </w:tc>
        <w:tc>
          <w:tcPr>
            <w:tcW w:type="dxa" w:w="4968"/>
            <w:vAlign w:val="center"/>
          </w:tcPr>
          <w:p>
            <w:r>
              <w:t>4,000+</w:t>
            </w:r>
          </w:p>
        </w:tc>
      </w:tr>
      <w:tr>
        <w:tc>
          <w:tcPr>
            <w:tcW w:type="dxa" w:w="4968"/>
            <w:vAlign w:val="center"/>
          </w:tcPr>
          <w:p>
            <w:r>
              <w:t>Recycled waste annually (2025 website)</w:t>
            </w:r>
          </w:p>
        </w:tc>
        <w:tc>
          <w:tcPr>
            <w:tcW w:type="dxa" w:w="4968"/>
            <w:vAlign w:val="center"/>
          </w:tcPr>
          <w:p>
            <w:r>
              <w:t>82,891 tonnes</w:t>
            </w:r>
          </w:p>
        </w:tc>
      </w:tr>
      <w:tr>
        <w:tc>
          <w:tcPr>
            <w:tcW w:type="dxa" w:w="4968"/>
            <w:vAlign w:val="center"/>
          </w:tcPr>
          <w:p>
            <w:r>
              <w:t>E-waste initiative</w:t>
            </w:r>
          </w:p>
        </w:tc>
        <w:tc>
          <w:tcPr>
            <w:tcW w:type="dxa" w:w="4968"/>
            <w:vAlign w:val="center"/>
          </w:tcPr>
          <w:p>
            <w:r>
              <w:t>V-Collect collection and recycling of old electronic items</w:t>
            </w:r>
          </w:p>
        </w:tc>
      </w:tr>
    </w:tbl>
    <w:p>
      <w:r>
        <w:t>The overall SWaCH figures are organisation-wide waste-management indicators; they are not e-waste-only figures.</w:t>
      </w:r>
    </w:p>
    <w:p>
      <w:pPr>
        <w:pStyle w:val="Heading2"/>
      </w:pPr>
      <w:r>
        <w:t>SWOT Analysis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D3"/>
          </w:tcPr>
          <w:p>
            <w:r>
              <w:rPr>
                <w:b/>
              </w:rPr>
              <w:t>Strengths</w:t>
            </w:r>
          </w:p>
        </w:tc>
        <w:tc>
          <w:tcPr>
            <w:tcW w:type="dxa" w:w="2484"/>
            <w:shd w:fill="D9EAD3"/>
          </w:tcPr>
          <w:p>
            <w:r>
              <w:rPr>
                <w:b/>
              </w:rPr>
              <w:t>Weaknesses</w:t>
            </w:r>
          </w:p>
        </w:tc>
        <w:tc>
          <w:tcPr>
            <w:tcW w:type="dxa" w:w="2484"/>
            <w:shd w:fill="D9EAD3"/>
          </w:tcPr>
          <w:p>
            <w:r>
              <w:rPr>
                <w:b/>
              </w:rPr>
              <w:t>Opportunities</w:t>
            </w:r>
          </w:p>
        </w:tc>
        <w:tc>
          <w:tcPr>
            <w:tcW w:type="dxa" w:w="2484"/>
            <w:shd w:fill="D9EAD3"/>
          </w:tcPr>
          <w:p>
            <w:r>
              <w:rPr>
                <w:b/>
              </w:rPr>
              <w:t>Threats</w:t>
            </w:r>
          </w:p>
        </w:tc>
      </w:tr>
      <w:tr>
        <w:tc>
          <w:tcPr>
            <w:tcW w:type="dxa" w:w="2484"/>
            <w:vAlign w:val="center"/>
          </w:tcPr>
          <w:p>
            <w:r>
              <w:t>Worker ownership</w:t>
            </w:r>
          </w:p>
        </w:tc>
        <w:tc>
          <w:tcPr>
            <w:tcW w:type="dxa" w:w="2484"/>
            <w:vAlign w:val="center"/>
          </w:tcPr>
          <w:p>
            <w:r>
              <w:t>E-waste is only one part of operations</w:t>
            </w:r>
          </w:p>
        </w:tc>
        <w:tc>
          <w:tcPr>
            <w:tcW w:type="dxa" w:w="2484"/>
            <w:vAlign w:val="center"/>
          </w:tcPr>
          <w:p>
            <w:r>
              <w:t>Scale e-waste V-Collect</w:t>
            </w:r>
          </w:p>
        </w:tc>
        <w:tc>
          <w:tcPr>
            <w:tcW w:type="dxa" w:w="2484"/>
            <w:vAlign w:val="center"/>
          </w:tcPr>
          <w:p>
            <w:r>
              <w:t>Unsafe mixed waste</w:t>
            </w:r>
          </w:p>
        </w:tc>
      </w:tr>
      <w:tr>
        <w:tc>
          <w:tcPr>
            <w:tcW w:type="dxa" w:w="2484"/>
            <w:vAlign w:val="center"/>
          </w:tcPr>
          <w:p>
            <w:r>
              <w:t>Doorstep access</w:t>
            </w:r>
          </w:p>
        </w:tc>
        <w:tc>
          <w:tcPr>
            <w:tcW w:type="dxa" w:w="2484"/>
            <w:vAlign w:val="center"/>
          </w:tcPr>
          <w:p>
            <w:r>
              <w:t>Requires resident participation</w:t>
            </w:r>
          </w:p>
        </w:tc>
        <w:tc>
          <w:tcPr>
            <w:tcW w:type="dxa" w:w="2484"/>
            <w:vAlign w:val="center"/>
          </w:tcPr>
          <w:p>
            <w:r>
              <w:t>EPR partnerships</w:t>
            </w:r>
          </w:p>
        </w:tc>
        <w:tc>
          <w:tcPr>
            <w:tcW w:type="dxa" w:w="2484"/>
            <w:vAlign w:val="center"/>
          </w:tcPr>
          <w:p>
            <w:r>
              <w:t>Market price fluctuations</w:t>
            </w:r>
          </w:p>
        </w:tc>
      </w:tr>
      <w:tr>
        <w:tc>
          <w:tcPr>
            <w:tcW w:type="dxa" w:w="2484"/>
            <w:vAlign w:val="center"/>
          </w:tcPr>
          <w:p>
            <w:r>
              <w:t>Social inclusion</w:t>
            </w:r>
          </w:p>
        </w:tc>
        <w:tc>
          <w:tcPr>
            <w:tcW w:type="dxa" w:w="2484"/>
            <w:vAlign w:val="center"/>
          </w:tcPr>
          <w:p>
            <w:r>
              <w:t>Coordination complexity</w:t>
            </w:r>
          </w:p>
        </w:tc>
        <w:tc>
          <w:tcPr>
            <w:tcW w:type="dxa" w:w="2484"/>
            <w:vAlign w:val="center"/>
          </w:tcPr>
          <w:p>
            <w:r>
              <w:t>Repair/reuse services</w:t>
            </w:r>
          </w:p>
        </w:tc>
        <w:tc>
          <w:tcPr>
            <w:tcW w:type="dxa" w:w="2484"/>
            <w:vAlign w:val="center"/>
          </w:tcPr>
          <w:p>
            <w:r>
              <w:t>Worker safety risks</w:t>
            </w:r>
          </w:p>
        </w:tc>
      </w:tr>
    </w:tbl>
    <w:p>
      <w:pPr>
        <w:pStyle w:val="Heading2"/>
      </w:pPr>
      <w:r>
        <w:t>Recommendations</w:t>
      </w:r>
    </w:p>
    <w:p>
      <w:pPr>
        <w:pStyle w:val="ListBullet"/>
      </w:pPr>
      <w:r>
        <w:t>Create permanent e-waste kiosks in every major zone.</w:t>
      </w:r>
    </w:p>
    <w:p>
      <w:pPr>
        <w:pStyle w:val="ListBullet"/>
      </w:pPr>
      <w:r>
        <w:t>Provide safe handling training and PPE.</w:t>
      </w:r>
    </w:p>
    <w:p>
      <w:pPr>
        <w:pStyle w:val="ListBullet"/>
      </w:pPr>
      <w:r>
        <w:t>Connect SWaCH with producer take-back/EPR funding.</w:t>
      </w:r>
    </w:p>
    <w:p>
      <w:pPr>
        <w:pStyle w:val="ListBullet"/>
      </w:pPr>
      <w:r>
        <w:t>Track e-waste separately from general recyclables.</w:t>
      </w:r>
    </w:p>
    <w:p>
      <w:pPr>
        <w:pStyle w:val="Heading1"/>
      </w:pPr>
      <w:r>
        <w:t>Case Study 9: Dharavi Recycling Ecosystem</w:t>
      </w:r>
    </w:p>
    <w:p>
      <w:pPr>
        <w:pStyle w:val="Heading2"/>
      </w:pPr>
      <w:r>
        <w:t>Background</w:t>
      </w:r>
    </w:p>
    <w:p>
      <w:r>
        <w:t>Dharavi is widely recognised as a dense informal economic ecosystem in Mumbai. Recycling and scrap-related activity forms part of this wider informal economy. For e-waste, the ecosystem can support collection, sorting, repair, reuse and material recovery, but unsafe dismantling can expose workers and communities to hazardous substances.</w:t>
      </w:r>
    </w:p>
    <w:p>
      <w:pPr>
        <w:pStyle w:val="Heading2"/>
      </w:pPr>
      <w:r>
        <w:t>Strategy / Initiative</w:t>
      </w:r>
    </w:p>
    <w:p>
      <w:pPr>
        <w:pStyle w:val="ListBullet"/>
      </w:pPr>
      <w:r>
        <w:t>Collection of discarded electronics through scrap and informal channels.</w:t>
      </w:r>
    </w:p>
    <w:p>
      <w:pPr>
        <w:pStyle w:val="ListBullet"/>
      </w:pPr>
      <w:r>
        <w:t>Manual sorting and dismantling to recover reusable components and valuable materials.</w:t>
      </w:r>
    </w:p>
    <w:p>
      <w:pPr>
        <w:pStyle w:val="ListBullet"/>
      </w:pPr>
      <w:r>
        <w:t>Repair and reuse of devices/components before final material recovery.</w:t>
      </w:r>
    </w:p>
    <w:p>
      <w:pPr>
        <w:pStyle w:val="ListBullet"/>
      </w:pPr>
      <w:r>
        <w:t>Economic value is created through resale of recovered materials.</w:t>
      </w:r>
    </w:p>
    <w:p>
      <w:pPr>
        <w:pStyle w:val="Heading2"/>
      </w:pPr>
      <w:r>
        <w:t>Impact &amp; Results</w:t>
      </w:r>
    </w:p>
    <w:tbl>
      <w:tblPr>
        <w:tblStyle w:val="TableGrid"/>
        <w:tblW w:type="auto" w:w="0"/>
        <w:jc w:val="center"/>
        <w:tblLook w:firstColumn="1" w:firstRow="1" w:lastColumn="0" w:lastRow="0" w:noHBand="0" w:noVBand="1" w:val="04A0"/>
      </w:tblPr>
      <w:tblGrid>
        <w:gridCol w:w="4968"/>
        <w:gridCol w:w="4968"/>
      </w:tblGrid>
      <w:tr>
        <w:tc>
          <w:tcPr>
            <w:tcW w:type="dxa" w:w="4968"/>
            <w:shd w:fill="D9EAD3"/>
          </w:tcPr>
          <w:p>
            <w:r>
              <w:rPr>
                <w:b/>
              </w:rPr>
              <w:t>Dimension</w:t>
            </w:r>
          </w:p>
        </w:tc>
        <w:tc>
          <w:tcPr>
            <w:tcW w:type="dxa" w:w="4968"/>
            <w:shd w:fill="D9EAD3"/>
          </w:tcPr>
          <w:p>
            <w:r>
              <w:rPr>
                <w:b/>
              </w:rPr>
              <w:t>Assessment</w:t>
            </w:r>
          </w:p>
        </w:tc>
      </w:tr>
      <w:tr>
        <w:tc>
          <w:tcPr>
            <w:tcW w:type="dxa" w:w="4968"/>
            <w:vAlign w:val="center"/>
          </w:tcPr>
          <w:p>
            <w:r>
              <w:t>Economic role</w:t>
            </w:r>
          </w:p>
        </w:tc>
        <w:tc>
          <w:tcPr>
            <w:tcW w:type="dxa" w:w="4968"/>
            <w:vAlign w:val="center"/>
          </w:tcPr>
          <w:p>
            <w:r>
              <w:t>Provides livelihoods and material recovery</w:t>
            </w:r>
          </w:p>
        </w:tc>
      </w:tr>
      <w:tr>
        <w:tc>
          <w:tcPr>
            <w:tcW w:type="dxa" w:w="4968"/>
            <w:vAlign w:val="center"/>
          </w:tcPr>
          <w:p>
            <w:r>
              <w:t>Circularity</w:t>
            </w:r>
          </w:p>
        </w:tc>
        <w:tc>
          <w:tcPr>
            <w:tcW w:type="dxa" w:w="4968"/>
            <w:vAlign w:val="center"/>
          </w:tcPr>
          <w:p>
            <w:r>
              <w:t>Repair/reuse and material recovery keep some materials in circulation</w:t>
            </w:r>
          </w:p>
        </w:tc>
      </w:tr>
      <w:tr>
        <w:tc>
          <w:tcPr>
            <w:tcW w:type="dxa" w:w="4968"/>
            <w:vAlign w:val="center"/>
          </w:tcPr>
          <w:p>
            <w:r>
              <w:t>Environmental risk</w:t>
            </w:r>
          </w:p>
        </w:tc>
        <w:tc>
          <w:tcPr>
            <w:tcW w:type="dxa" w:w="4968"/>
            <w:vAlign w:val="center"/>
          </w:tcPr>
          <w:p>
            <w:r>
              <w:t>Unsafe dismantling/burning can release hazardous substances</w:t>
            </w:r>
          </w:p>
        </w:tc>
      </w:tr>
      <w:tr>
        <w:tc>
          <w:tcPr>
            <w:tcW w:type="dxa" w:w="4968"/>
            <w:vAlign w:val="center"/>
          </w:tcPr>
          <w:p>
            <w:r>
              <w:t>Formalisation challenge</w:t>
            </w:r>
          </w:p>
        </w:tc>
        <w:tc>
          <w:tcPr>
            <w:tcW w:type="dxa" w:w="4968"/>
            <w:vAlign w:val="center"/>
          </w:tcPr>
          <w:p>
            <w:r>
              <w:t>Workers may operate outside formal registration and safety systems</w:t>
            </w:r>
          </w:p>
        </w:tc>
      </w:tr>
    </w:tbl>
    <w:p>
      <w:pPr>
        <w:pStyle w:val="Heading2"/>
      </w:pPr>
      <w:r>
        <w:t>SWOT Analysis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D3"/>
          </w:tcPr>
          <w:p>
            <w:r>
              <w:rPr>
                <w:b/>
              </w:rPr>
              <w:t>Strengths</w:t>
            </w:r>
          </w:p>
        </w:tc>
        <w:tc>
          <w:tcPr>
            <w:tcW w:type="dxa" w:w="2484"/>
            <w:shd w:fill="D9EAD3"/>
          </w:tcPr>
          <w:p>
            <w:r>
              <w:rPr>
                <w:b/>
              </w:rPr>
              <w:t>Weaknesses</w:t>
            </w:r>
          </w:p>
        </w:tc>
        <w:tc>
          <w:tcPr>
            <w:tcW w:type="dxa" w:w="2484"/>
            <w:shd w:fill="D9EAD3"/>
          </w:tcPr>
          <w:p>
            <w:r>
              <w:rPr>
                <w:b/>
              </w:rPr>
              <w:t>Opportunities</w:t>
            </w:r>
          </w:p>
        </w:tc>
        <w:tc>
          <w:tcPr>
            <w:tcW w:type="dxa" w:w="2484"/>
            <w:shd w:fill="D9EAD3"/>
          </w:tcPr>
          <w:p>
            <w:r>
              <w:rPr>
                <w:b/>
              </w:rPr>
              <w:t>Threats</w:t>
            </w:r>
          </w:p>
        </w:tc>
      </w:tr>
      <w:tr>
        <w:tc>
          <w:tcPr>
            <w:tcW w:type="dxa" w:w="2484"/>
            <w:vAlign w:val="center"/>
          </w:tcPr>
          <w:p>
            <w:r>
              <w:t>Strong local recovery knowledge</w:t>
            </w:r>
          </w:p>
        </w:tc>
        <w:tc>
          <w:tcPr>
            <w:tcW w:type="dxa" w:w="2484"/>
            <w:vAlign w:val="center"/>
          </w:tcPr>
          <w:p>
            <w:r>
              <w:t>Unsafe handling risks</w:t>
            </w:r>
          </w:p>
        </w:tc>
        <w:tc>
          <w:tcPr>
            <w:tcW w:type="dxa" w:w="2484"/>
            <w:vAlign w:val="center"/>
          </w:tcPr>
          <w:p>
            <w:r>
              <w:t>Formal worker integration</w:t>
            </w:r>
          </w:p>
        </w:tc>
        <w:tc>
          <w:tcPr>
            <w:tcW w:type="dxa" w:w="2484"/>
            <w:vAlign w:val="center"/>
          </w:tcPr>
          <w:p>
            <w:r>
              <w:t>Toxic exposure</w:t>
            </w:r>
          </w:p>
        </w:tc>
      </w:tr>
      <w:tr>
        <w:tc>
          <w:tcPr>
            <w:tcW w:type="dxa" w:w="2484"/>
            <w:vAlign w:val="center"/>
          </w:tcPr>
          <w:p>
            <w:r>
              <w:t>High material recovery incentives</w:t>
            </w:r>
          </w:p>
        </w:tc>
        <w:tc>
          <w:tcPr>
            <w:tcW w:type="dxa" w:w="2484"/>
            <w:vAlign w:val="center"/>
          </w:tcPr>
          <w:p>
            <w:r>
              <w:t>Limited protective equipment</w:t>
            </w:r>
          </w:p>
        </w:tc>
        <w:tc>
          <w:tcPr>
            <w:tcW w:type="dxa" w:w="2484"/>
            <w:vAlign w:val="center"/>
          </w:tcPr>
          <w:p>
            <w:r>
              <w:t>Training + authorised processing</w:t>
            </w:r>
          </w:p>
        </w:tc>
        <w:tc>
          <w:tcPr>
            <w:tcW w:type="dxa" w:w="2484"/>
            <w:vAlign w:val="center"/>
          </w:tcPr>
          <w:p>
            <w:r>
              <w:t>Regulatory pressure without livelihood support</w:t>
            </w:r>
          </w:p>
        </w:tc>
      </w:tr>
      <w:tr>
        <w:tc>
          <w:tcPr>
            <w:tcW w:type="dxa" w:w="2484"/>
            <w:vAlign w:val="center"/>
          </w:tcPr>
          <w:p>
            <w:r>
              <w:t>Repair/reuse culture</w:t>
            </w:r>
          </w:p>
        </w:tc>
        <w:tc>
          <w:tcPr>
            <w:tcW w:type="dxa" w:w="2484"/>
            <w:vAlign w:val="center"/>
          </w:tcPr>
          <w:p>
            <w:r>
              <w:t>Traceability gaps</w:t>
            </w:r>
          </w:p>
        </w:tc>
        <w:tc>
          <w:tcPr>
            <w:tcW w:type="dxa" w:w="2484"/>
            <w:vAlign w:val="center"/>
          </w:tcPr>
          <w:p>
            <w:r>
              <w:t>EPR partnerships</w:t>
            </w:r>
          </w:p>
        </w:tc>
        <w:tc>
          <w:tcPr>
            <w:tcW w:type="dxa" w:w="2484"/>
            <w:vAlign w:val="center"/>
          </w:tcPr>
          <w:p>
            <w:r>
              <w:t>Fire and pollution risks</w:t>
            </w:r>
          </w:p>
        </w:tc>
      </w:tr>
    </w:tbl>
    <w:p>
      <w:pPr>
        <w:pStyle w:val="Heading2"/>
      </w:pPr>
      <w:r>
        <w:t>Comparison with India</w:t>
      </w:r>
    </w:p>
    <w:p>
      <w:r>
        <w:t>Dharavi highlights why India's e-waste solution cannot depend only on formal facilities. The informal sector already performs collection and recovery functions. A practical strategy should improve safety, traceability and livelihoods while directing hazardous processing to authorised facilities.</w:t>
      </w:r>
    </w:p>
    <w:p>
      <w:pPr>
        <w:pStyle w:val="Heading2"/>
      </w:pPr>
      <w:r>
        <w:t>Recommendations</w:t>
      </w:r>
    </w:p>
    <w:p>
      <w:pPr>
        <w:pStyle w:val="ListBullet"/>
      </w:pPr>
      <w:r>
        <w:t>Register and map responsible informal collectors.</w:t>
      </w:r>
    </w:p>
    <w:p>
      <w:pPr>
        <w:pStyle w:val="ListBullet"/>
      </w:pPr>
      <w:r>
        <w:t>Provide safety training and protective equipment.</w:t>
      </w:r>
    </w:p>
    <w:p>
      <w:pPr>
        <w:pStyle w:val="ListBullet"/>
      </w:pPr>
      <w:r>
        <w:t>Create aggregation centres linked to authorised recyclers.</w:t>
      </w:r>
    </w:p>
    <w:p>
      <w:pPr>
        <w:pStyle w:val="ListBullet"/>
      </w:pPr>
      <w:r>
        <w:t>Use EPR funding to support safe collection and worker formalisation.</w:t>
      </w:r>
    </w:p>
    <w:p>
      <w:pPr>
        <w:pStyle w:val="Heading1"/>
      </w:pPr>
      <w:r>
        <w:t>Case Study 10: Dell's Circular Economy Strategy</w:t>
      </w:r>
    </w:p>
    <w:p>
      <w:pPr>
        <w:pStyle w:val="Heading2"/>
      </w:pPr>
      <w:r>
        <w:t>Background</w:t>
      </w:r>
    </w:p>
    <w:p>
      <w:r>
        <w:t>Dell Technologies presents circularity as a product and business strategy rather than only an end-of-life recycling activity. Its approach includes durability, repair, refurbishment, recycled materials, design for disassembly and responsible recovery/recycling.</w:t>
      </w:r>
    </w:p>
    <w:p>
      <w:pPr>
        <w:pStyle w:val="Heading2"/>
      </w:pPr>
      <w:r>
        <w:t>Strategy / Initiative</w:t>
      </w:r>
    </w:p>
    <w:p>
      <w:pPr>
        <w:pStyle w:val="ListBullet"/>
      </w:pPr>
      <w:r>
        <w:t>Design products to be durable and easier to repair and upgrade.</w:t>
      </w:r>
    </w:p>
    <w:p>
      <w:pPr>
        <w:pStyle w:val="ListBullet"/>
      </w:pPr>
      <w:r>
        <w:t>Use recycled, renewable and lower-emission materials where feasible.</w:t>
      </w:r>
    </w:p>
    <w:p>
      <w:pPr>
        <w:pStyle w:val="ListBullet"/>
      </w:pPr>
      <w:r>
        <w:t>Design for disassembly and recovery of components/materials.</w:t>
      </w:r>
    </w:p>
    <w:p>
      <w:pPr>
        <w:pStyle w:val="ListBullet"/>
      </w:pPr>
      <w:r>
        <w:t>Provide repair, recovery, reuse and recycling services.</w:t>
      </w:r>
    </w:p>
    <w:p>
      <w:pPr>
        <w:pStyle w:val="ListBullet"/>
      </w:pPr>
      <w:r>
        <w:t>Work with partners and industry initiatives to promote circular electronics.</w:t>
      </w:r>
    </w:p>
    <w:p>
      <w:pPr>
        <w:pStyle w:val="Heading2"/>
      </w:pPr>
      <w:r>
        <w:t>Impact &amp; Results</w:t>
      </w:r>
    </w:p>
    <w:tbl>
      <w:tblPr>
        <w:tblStyle w:val="TableGrid"/>
        <w:tblW w:type="auto" w:w="0"/>
        <w:jc w:val="center"/>
        <w:tblLook w:firstColumn="1" w:firstRow="1" w:lastColumn="0" w:lastRow="0" w:noHBand="0" w:noVBand="1" w:val="04A0"/>
      </w:tblPr>
      <w:tblGrid>
        <w:gridCol w:w="4968"/>
        <w:gridCol w:w="4968"/>
      </w:tblGrid>
      <w:tr>
        <w:tc>
          <w:tcPr>
            <w:tcW w:type="dxa" w:w="4968"/>
            <w:shd w:fill="D9EAD3"/>
          </w:tcPr>
          <w:p>
            <w:r>
              <w:rPr>
                <w:b/>
              </w:rPr>
              <w:t>Reported indicator</w:t>
            </w:r>
          </w:p>
        </w:tc>
        <w:tc>
          <w:tcPr>
            <w:tcW w:type="dxa" w:w="4968"/>
            <w:shd w:fill="D9EAD3"/>
          </w:tcPr>
          <w:p>
            <w:r>
              <w:rPr>
                <w:b/>
              </w:rPr>
              <w:t>Value / finding</w:t>
            </w:r>
          </w:p>
        </w:tc>
      </w:tr>
      <w:tr>
        <w:tc>
          <w:tcPr>
            <w:tcW w:type="dxa" w:w="4968"/>
            <w:vAlign w:val="center"/>
          </w:tcPr>
          <w:p>
            <w:r>
              <w:t>Used electronics recovered since 2007</w:t>
            </w:r>
          </w:p>
        </w:tc>
        <w:tc>
          <w:tcPr>
            <w:tcW w:type="dxa" w:w="4968"/>
            <w:vAlign w:val="center"/>
          </w:tcPr>
          <w:p>
            <w:r>
              <w:t>More than 2.5 billion lb (about 1.1 billion kg), according to Dell</w:t>
            </w:r>
          </w:p>
        </w:tc>
      </w:tr>
      <w:tr>
        <w:tc>
          <w:tcPr>
            <w:tcW w:type="dxa" w:w="4968"/>
            <w:vAlign w:val="center"/>
          </w:tcPr>
          <w:p>
            <w:r>
              <w:t>Circular design</w:t>
            </w:r>
          </w:p>
        </w:tc>
        <w:tc>
          <w:tcPr>
            <w:tcW w:type="dxa" w:w="4968"/>
            <w:vAlign w:val="center"/>
          </w:tcPr>
          <w:p>
            <w:r>
              <w:t>Durability, repair, refurbishment and design-for-harvest principles</w:t>
            </w:r>
          </w:p>
        </w:tc>
      </w:tr>
      <w:tr>
        <w:tc>
          <w:tcPr>
            <w:tcW w:type="dxa" w:w="4968"/>
            <w:vAlign w:val="center"/>
          </w:tcPr>
          <w:p>
            <w:r>
              <w:t>Customer recovery</w:t>
            </w:r>
          </w:p>
        </w:tc>
        <w:tc>
          <w:tcPr>
            <w:tcW w:type="dxa" w:w="4968"/>
            <w:vAlign w:val="center"/>
          </w:tcPr>
          <w:p>
            <w:r>
              <w:t>Dell offers recycling solutions for IT equipment</w:t>
            </w:r>
          </w:p>
        </w:tc>
      </w:tr>
      <w:tr>
        <w:tc>
          <w:tcPr>
            <w:tcW w:type="dxa" w:w="4968"/>
            <w:vAlign w:val="center"/>
          </w:tcPr>
          <w:p>
            <w:r>
              <w:t>Materials</w:t>
            </w:r>
          </w:p>
        </w:tc>
        <w:tc>
          <w:tcPr>
            <w:tcW w:type="dxa" w:w="4968"/>
            <w:vAlign w:val="center"/>
          </w:tcPr>
          <w:p>
            <w:r>
              <w:t>Dell reports use of recycled plastics, rare-earth magnets and aluminium from out-of-use technology</w:t>
            </w:r>
          </w:p>
        </w:tc>
      </w:tr>
    </w:tbl>
    <w:p>
      <w:pPr>
        <w:pStyle w:val="Heading2"/>
      </w:pPr>
      <w:r>
        <w:t>SWOT Analysis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D3"/>
          </w:tcPr>
          <w:p>
            <w:r>
              <w:rPr>
                <w:b/>
              </w:rPr>
              <w:t>Strengths</w:t>
            </w:r>
          </w:p>
        </w:tc>
        <w:tc>
          <w:tcPr>
            <w:tcW w:type="dxa" w:w="2484"/>
            <w:shd w:fill="D9EAD3"/>
          </w:tcPr>
          <w:p>
            <w:r>
              <w:rPr>
                <w:b/>
              </w:rPr>
              <w:t>Weaknesses</w:t>
            </w:r>
          </w:p>
        </w:tc>
        <w:tc>
          <w:tcPr>
            <w:tcW w:type="dxa" w:w="2484"/>
            <w:shd w:fill="D9EAD3"/>
          </w:tcPr>
          <w:p>
            <w:r>
              <w:rPr>
                <w:b/>
              </w:rPr>
              <w:t>Opportunities</w:t>
            </w:r>
          </w:p>
        </w:tc>
        <w:tc>
          <w:tcPr>
            <w:tcW w:type="dxa" w:w="2484"/>
            <w:shd w:fill="D9EAD3"/>
          </w:tcPr>
          <w:p>
            <w:r>
              <w:rPr>
                <w:b/>
              </w:rPr>
              <w:t>Threats</w:t>
            </w:r>
          </w:p>
        </w:tc>
      </w:tr>
      <w:tr>
        <w:tc>
          <w:tcPr>
            <w:tcW w:type="dxa" w:w="2484"/>
            <w:vAlign w:val="center"/>
          </w:tcPr>
          <w:p>
            <w:r>
              <w:t>Lifecycle approach</w:t>
            </w:r>
          </w:p>
        </w:tc>
        <w:tc>
          <w:tcPr>
            <w:tcW w:type="dxa" w:w="2484"/>
            <w:vAlign w:val="center"/>
          </w:tcPr>
          <w:p>
            <w:r>
              <w:t>Depends on supply-chain participation</w:t>
            </w:r>
          </w:p>
        </w:tc>
        <w:tc>
          <w:tcPr>
            <w:tcW w:type="dxa" w:w="2484"/>
            <w:vAlign w:val="center"/>
          </w:tcPr>
          <w:p>
            <w:r>
              <w:t>Product-as-a-service</w:t>
            </w:r>
          </w:p>
        </w:tc>
        <w:tc>
          <w:tcPr>
            <w:tcW w:type="dxa" w:w="2484"/>
            <w:vAlign w:val="center"/>
          </w:tcPr>
          <w:p>
            <w:r>
              <w:t>Fast technology obsolescence</w:t>
            </w:r>
          </w:p>
        </w:tc>
      </w:tr>
      <w:tr>
        <w:tc>
          <w:tcPr>
            <w:tcW w:type="dxa" w:w="2484"/>
            <w:vAlign w:val="center"/>
          </w:tcPr>
          <w:p>
            <w:r>
              <w:t>Repair/refurbishment</w:t>
            </w:r>
          </w:p>
        </w:tc>
        <w:tc>
          <w:tcPr>
            <w:tcW w:type="dxa" w:w="2484"/>
            <w:vAlign w:val="center"/>
          </w:tcPr>
          <w:p>
            <w:r>
              <w:t>Corporate implementation costs</w:t>
            </w:r>
          </w:p>
        </w:tc>
        <w:tc>
          <w:tcPr>
            <w:tcW w:type="dxa" w:w="2484"/>
            <w:vAlign w:val="center"/>
          </w:tcPr>
          <w:p>
            <w:r>
              <w:t>More modular devices</w:t>
            </w:r>
          </w:p>
        </w:tc>
        <w:tc>
          <w:tcPr>
            <w:tcW w:type="dxa" w:w="2484"/>
            <w:vAlign w:val="center"/>
          </w:tcPr>
          <w:p>
            <w:r>
              <w:t>Complex global e-waste flows</w:t>
            </w:r>
          </w:p>
        </w:tc>
      </w:tr>
      <w:tr>
        <w:tc>
          <w:tcPr>
            <w:tcW w:type="dxa" w:w="2484"/>
            <w:vAlign w:val="center"/>
          </w:tcPr>
          <w:p>
            <w:r>
              <w:t>Take-back/recycling</w:t>
            </w:r>
          </w:p>
        </w:tc>
        <w:tc>
          <w:tcPr>
            <w:tcW w:type="dxa" w:w="2484"/>
            <w:vAlign w:val="center"/>
          </w:tcPr>
          <w:p>
            <w:r>
              <w:t>Not all materials can be infinitely recycled</w:t>
            </w:r>
          </w:p>
        </w:tc>
        <w:tc>
          <w:tcPr>
            <w:tcW w:type="dxa" w:w="2484"/>
            <w:vAlign w:val="center"/>
          </w:tcPr>
          <w:p>
            <w:r>
              <w:t>Closed-loop materials</w:t>
            </w:r>
          </w:p>
        </w:tc>
        <w:tc>
          <w:tcPr>
            <w:tcW w:type="dxa" w:w="2484"/>
            <w:vAlign w:val="center"/>
          </w:tcPr>
          <w:p>
            <w:r>
              <w:t>Informal/illegal disposal</w:t>
            </w:r>
          </w:p>
        </w:tc>
      </w:tr>
    </w:tbl>
    <w:p>
      <w:pPr>
        <w:pStyle w:val="Heading2"/>
      </w:pPr>
      <w:r>
        <w:t>Comparison with India</w:t>
      </w:r>
    </w:p>
    <w:p>
      <w:r>
        <w:t>Dell's model focuses upstream on product design and lifecycle management, while India's regulatory system focuses strongly on end-of-life responsibility and recycling. India can combine these approaches by making repairability, refurbishment and design-for-recycling more prominent alongside EPR.</w:t>
      </w:r>
    </w:p>
    <w:p>
      <w:pPr>
        <w:pStyle w:val="Heading2"/>
      </w:pPr>
      <w:r>
        <w:t>Recommendations</w:t>
      </w:r>
    </w:p>
    <w:p>
      <w:pPr>
        <w:pStyle w:val="ListBullet"/>
      </w:pPr>
      <w:r>
        <w:t>Promote repairable and upgradeable product design.</w:t>
      </w:r>
    </w:p>
    <w:p>
      <w:pPr>
        <w:pStyle w:val="ListBullet"/>
      </w:pPr>
      <w:r>
        <w:t>Expand producer take-back and refurbishment.</w:t>
      </w:r>
    </w:p>
    <w:p>
      <w:pPr>
        <w:pStyle w:val="ListBullet"/>
      </w:pPr>
      <w:r>
        <w:t>Use recycled material targets where technically appropriate.</w:t>
      </w:r>
    </w:p>
    <w:p>
      <w:pPr>
        <w:pStyle w:val="ListBullet"/>
      </w:pPr>
      <w:r>
        <w:t>Make product lifecycle information transparent.</w:t>
      </w:r>
    </w:p>
    <w:p>
      <w:r>
        <w:br w:type="page"/>
      </w:r>
    </w:p>
    <w:p>
      <w:pPr>
        <w:pStyle w:val="Heading1"/>
      </w:pPr>
      <w:r>
        <w:t>Cross-Case Comparison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D3"/>
          </w:tcPr>
          <w:p>
            <w:r>
              <w:rPr>
                <w:b/>
              </w:rPr>
              <w:t>Case</w:t>
            </w:r>
          </w:p>
        </w:tc>
        <w:tc>
          <w:tcPr>
            <w:tcW w:type="dxa" w:w="3312"/>
            <w:shd w:fill="D9EAD3"/>
          </w:tcPr>
          <w:p>
            <w:r>
              <w:rPr>
                <w:b/>
              </w:rPr>
              <w:t>Core model</w:t>
            </w:r>
          </w:p>
        </w:tc>
        <w:tc>
          <w:tcPr>
            <w:tcW w:type="dxa" w:w="3312"/>
            <w:shd w:fill="D9EAD3"/>
          </w:tcPr>
          <w:p>
            <w:r>
              <w:rPr>
                <w:b/>
              </w:rPr>
              <w:t>Main lesson for India</w:t>
            </w:r>
          </w:p>
        </w:tc>
      </w:tr>
      <w:tr>
        <w:tc>
          <w:tcPr>
            <w:tcW w:type="dxa" w:w="3312"/>
            <w:vAlign w:val="center"/>
          </w:tcPr>
          <w:p>
            <w:r>
              <w:t>Japan</w:t>
            </w:r>
          </w:p>
        </w:tc>
        <w:tc>
          <w:tcPr>
            <w:tcW w:type="dxa" w:w="3312"/>
            <w:vAlign w:val="center"/>
          </w:tcPr>
          <w:p>
            <w:r>
              <w:t>Legal role-sharing + manufacturer recycling</w:t>
            </w:r>
          </w:p>
        </w:tc>
        <w:tc>
          <w:tcPr>
            <w:tcW w:type="dxa" w:w="3312"/>
            <w:vAlign w:val="center"/>
          </w:tcPr>
          <w:p>
            <w:r>
              <w:t>Clear responsibilities and retailer take-back</w:t>
            </w:r>
          </w:p>
        </w:tc>
      </w:tr>
      <w:tr>
        <w:tc>
          <w:tcPr>
            <w:tcW w:type="dxa" w:w="3312"/>
            <w:vAlign w:val="center"/>
          </w:tcPr>
          <w:p>
            <w:r>
              <w:t>Switzerland</w:t>
            </w:r>
          </w:p>
        </w:tc>
        <w:tc>
          <w:tcPr>
            <w:tcW w:type="dxa" w:w="3312"/>
            <w:vAlign w:val="center"/>
          </w:tcPr>
          <w:p>
            <w:r>
              <w:t>Collective producer/importer take-back</w:t>
            </w:r>
          </w:p>
        </w:tc>
        <w:tc>
          <w:tcPr>
            <w:tcW w:type="dxa" w:w="3312"/>
            <w:vAlign w:val="center"/>
          </w:tcPr>
          <w:p>
            <w:r>
              <w:t>Convenience + stable financing</w:t>
            </w:r>
          </w:p>
        </w:tc>
      </w:tr>
      <w:tr>
        <w:tc>
          <w:tcPr>
            <w:tcW w:type="dxa" w:w="3312"/>
            <w:vAlign w:val="center"/>
          </w:tcPr>
          <w:p>
            <w:r>
              <w:t>India 2022 Rules</w:t>
            </w:r>
          </w:p>
        </w:tc>
        <w:tc>
          <w:tcPr>
            <w:tcW w:type="dxa" w:w="3312"/>
            <w:vAlign w:val="center"/>
          </w:tcPr>
          <w:p>
            <w:r>
              <w:t>Digital EPR + registered recyclers</w:t>
            </w:r>
          </w:p>
        </w:tc>
        <w:tc>
          <w:tcPr>
            <w:tcW w:type="dxa" w:w="3312"/>
            <w:vAlign w:val="center"/>
          </w:tcPr>
          <w:p>
            <w:r>
              <w:t>Central accountability and traceability</w:t>
            </w:r>
          </w:p>
        </w:tc>
      </w:tr>
      <w:tr>
        <w:tc>
          <w:tcPr>
            <w:tcW w:type="dxa" w:w="3312"/>
            <w:vAlign w:val="center"/>
          </w:tcPr>
          <w:p>
            <w:r>
              <w:t>India EPR</w:t>
            </w:r>
          </w:p>
        </w:tc>
        <w:tc>
          <w:tcPr>
            <w:tcW w:type="dxa" w:w="3312"/>
            <w:vAlign w:val="center"/>
          </w:tcPr>
          <w:p>
            <w:r>
              <w:t>Producer responsibility</w:t>
            </w:r>
          </w:p>
        </w:tc>
        <w:tc>
          <w:tcPr>
            <w:tcW w:type="dxa" w:w="3312"/>
            <w:vAlign w:val="center"/>
          </w:tcPr>
          <w:p>
            <w:r>
              <w:t>Verify physical outcomes, not only paperwork</w:t>
            </w:r>
          </w:p>
        </w:tc>
      </w:tr>
      <w:tr>
        <w:tc>
          <w:tcPr>
            <w:tcW w:type="dxa" w:w="3312"/>
            <w:vAlign w:val="center"/>
          </w:tcPr>
          <w:p>
            <w:r>
              <w:t>Bengaluru</w:t>
            </w:r>
          </w:p>
        </w:tc>
        <w:tc>
          <w:tcPr>
            <w:tcW w:type="dxa" w:w="3312"/>
            <w:vAlign w:val="center"/>
          </w:tcPr>
          <w:p>
            <w:r>
              <w:t>Large urban technology ecosystem</w:t>
            </w:r>
          </w:p>
        </w:tc>
        <w:tc>
          <w:tcPr>
            <w:tcW w:type="dxa" w:w="3312"/>
            <w:vAlign w:val="center"/>
          </w:tcPr>
          <w:p>
            <w:r>
              <w:t>Need city-level collection and data</w:t>
            </w:r>
          </w:p>
        </w:tc>
      </w:tr>
      <w:tr>
        <w:tc>
          <w:tcPr>
            <w:tcW w:type="dxa" w:w="3312"/>
            <w:vAlign w:val="center"/>
          </w:tcPr>
          <w:p>
            <w:r>
              <w:t>Mumbai</w:t>
            </w:r>
          </w:p>
        </w:tc>
        <w:tc>
          <w:tcPr>
            <w:tcW w:type="dxa" w:w="3312"/>
            <w:vAlign w:val="center"/>
          </w:tcPr>
          <w:p>
            <w:r>
              <w:t>Large urban + formal/informal ecosystem</w:t>
            </w:r>
          </w:p>
        </w:tc>
        <w:tc>
          <w:tcPr>
            <w:tcW w:type="dxa" w:w="3312"/>
            <w:vAlign w:val="center"/>
          </w:tcPr>
          <w:p>
            <w:r>
              <w:t>Connect collection to authorised processing</w:t>
            </w:r>
          </w:p>
        </w:tc>
      </w:tr>
      <w:tr>
        <w:tc>
          <w:tcPr>
            <w:tcW w:type="dxa" w:w="3312"/>
            <w:vAlign w:val="center"/>
          </w:tcPr>
          <w:p>
            <w:r>
              <w:t>Kerala CKCL</w:t>
            </w:r>
          </w:p>
        </w:tc>
        <w:tc>
          <w:tcPr>
            <w:tcW w:type="dxa" w:w="3312"/>
            <w:vAlign w:val="center"/>
          </w:tcPr>
          <w:p>
            <w:r>
              <w:t>State/local-government collection</w:t>
            </w:r>
          </w:p>
        </w:tc>
        <w:tc>
          <w:tcPr>
            <w:tcW w:type="dxa" w:w="3312"/>
            <w:vAlign w:val="center"/>
          </w:tcPr>
          <w:p>
            <w:r>
              <w:t>Strong aggregation and institutional linkage</w:t>
            </w:r>
          </w:p>
        </w:tc>
      </w:tr>
      <w:tr>
        <w:tc>
          <w:tcPr>
            <w:tcW w:type="dxa" w:w="3312"/>
            <w:vAlign w:val="center"/>
          </w:tcPr>
          <w:p>
            <w:r>
              <w:t>Pune SWaCH</w:t>
            </w:r>
          </w:p>
        </w:tc>
        <w:tc>
          <w:tcPr>
            <w:tcW w:type="dxa" w:w="3312"/>
            <w:vAlign w:val="center"/>
          </w:tcPr>
          <w:p>
            <w:r>
              <w:t>Worker cooperative + doorstep collection</w:t>
            </w:r>
          </w:p>
        </w:tc>
        <w:tc>
          <w:tcPr>
            <w:tcW w:type="dxa" w:w="3312"/>
            <w:vAlign w:val="center"/>
          </w:tcPr>
          <w:p>
            <w:r>
              <w:t>Integrate waste workers and e-waste collection</w:t>
            </w:r>
          </w:p>
        </w:tc>
      </w:tr>
      <w:tr>
        <w:tc>
          <w:tcPr>
            <w:tcW w:type="dxa" w:w="3312"/>
            <w:vAlign w:val="center"/>
          </w:tcPr>
          <w:p>
            <w:r>
              <w:t>Dharavi</w:t>
            </w:r>
          </w:p>
        </w:tc>
        <w:tc>
          <w:tcPr>
            <w:tcW w:type="dxa" w:w="3312"/>
            <w:vAlign w:val="center"/>
          </w:tcPr>
          <w:p>
            <w:r>
              <w:t>Informal recycling ecosystem</w:t>
            </w:r>
          </w:p>
        </w:tc>
        <w:tc>
          <w:tcPr>
            <w:tcW w:type="dxa" w:w="3312"/>
            <w:vAlign w:val="center"/>
          </w:tcPr>
          <w:p>
            <w:r>
              <w:t>Formalise safely without destroying livelihoods</w:t>
            </w:r>
          </w:p>
        </w:tc>
      </w:tr>
      <w:tr>
        <w:tc>
          <w:tcPr>
            <w:tcW w:type="dxa" w:w="3312"/>
            <w:vAlign w:val="center"/>
          </w:tcPr>
          <w:p>
            <w:r>
              <w:t>Dell</w:t>
            </w:r>
          </w:p>
        </w:tc>
        <w:tc>
          <w:tcPr>
            <w:tcW w:type="dxa" w:w="3312"/>
            <w:vAlign w:val="center"/>
          </w:tcPr>
          <w:p>
            <w:r>
              <w:t>Corporate circular product lifecycle</w:t>
            </w:r>
          </w:p>
        </w:tc>
        <w:tc>
          <w:tcPr>
            <w:tcW w:type="dxa" w:w="3312"/>
            <w:vAlign w:val="center"/>
          </w:tcPr>
          <w:p>
            <w:r>
              <w:t>Design, repair, reuse and recycle together</w:t>
            </w:r>
          </w:p>
        </w:tc>
      </w:tr>
    </w:tbl>
    <w:p>
      <w:pPr>
        <w:pStyle w:val="Heading1"/>
      </w:pPr>
      <w:r>
        <w:t>India Comparison: Overall Findings</w:t>
      </w:r>
    </w:p>
    <w:p>
      <w:r>
        <w:t>India's strongest advantage is the existence of a national regulatory framework with a digital EPR mechanism. However, international cases show that rules alone are insufficient. Japan and Switzerland emphasise convenient take-back and clear financial responsibility; Pune demonstrates the value of integrating waste workers; Kerala demonstrates state-level aggregation; and Dell demonstrates that circularity should begin at product design. Indian cities can therefore move from a predominantly end-of-life approach toward a full lifecycle model.</w:t>
      </w:r>
    </w:p>
    <w:p>
      <w:pPr>
        <w:pStyle w:val="Heading1"/>
      </w:pPr>
      <w:r>
        <w:t>Recommendations</w:t>
      </w:r>
    </w:p>
    <w:p>
      <w:pPr>
        <w:pStyle w:val="ListBullet"/>
      </w:pPr>
      <w:r>
        <w:t>Create convenient, visible e-waste collection points in residential, educational and commercial areas.</w:t>
      </w:r>
    </w:p>
    <w:p>
      <w:pPr>
        <w:pStyle w:val="ListBullet"/>
      </w:pPr>
      <w:r>
        <w:t>Strengthen physical auditing of EPR recycling claims and certificates.</w:t>
      </w:r>
    </w:p>
    <w:p>
      <w:pPr>
        <w:pStyle w:val="ListBullet"/>
      </w:pPr>
      <w:r>
        <w:t>Integrate responsible informal collectors into formal collection networks.</w:t>
      </w:r>
    </w:p>
    <w:p>
      <w:pPr>
        <w:pStyle w:val="ListBullet"/>
      </w:pPr>
      <w:r>
        <w:t>Promote repair, refurbishment and reuse before material recycling.</w:t>
      </w:r>
    </w:p>
    <w:p>
      <w:pPr>
        <w:pStyle w:val="ListBullet"/>
      </w:pPr>
      <w:r>
        <w:t>Introduce stronger design-for-repair, upgradeability and recyclability principles.</w:t>
      </w:r>
    </w:p>
    <w:p>
      <w:pPr>
        <w:pStyle w:val="ListBullet"/>
      </w:pPr>
      <w:r>
        <w:t>Use digital traceability for collection, transport, recycling and recovered materials.</w:t>
      </w:r>
    </w:p>
    <w:p>
      <w:pPr>
        <w:pStyle w:val="ListBullet"/>
      </w:pPr>
      <w:r>
        <w:t>Publish city- and producer-level e-waste performance dashboards.</w:t>
      </w:r>
    </w:p>
    <w:p>
      <w:pPr>
        <w:pStyle w:val="ListBullet"/>
      </w:pPr>
      <w:r>
        <w:t>Improve worker safety through training, PPE and controlled processing.</w:t>
      </w:r>
    </w:p>
    <w:p>
      <w:pPr>
        <w:pStyle w:val="ListBullet"/>
      </w:pPr>
      <w:r>
        <w:t>Increase consumer awareness, especially about data security and authorised disposal.</w:t>
      </w:r>
    </w:p>
    <w:p>
      <w:pPr>
        <w:pStyle w:val="ListBullet"/>
      </w:pPr>
      <w:r>
        <w:t>Measure success using verified material flows and environmental outcomes rather than only registrations.</w:t>
      </w:r>
    </w:p>
    <w:p>
      <w:pPr>
        <w:pStyle w:val="Heading1"/>
      </w:pPr>
      <w:r>
        <w:t>Conclusion</w:t>
      </w:r>
    </w:p>
    <w:p>
      <w:r>
        <w:t>The ten case studies collectively show that successful e-waste management requires more than recycling plants. It requires convenient collection, clear responsibility, financing, reliable data, safe processing, consumer participation, worker inclusion and circular product design. Japan and Switzerland demonstrate mature collection and responsibility models; India's E-Waste Management Rules 2022 provide a regulatory and digital EPR foundation; Kerala and Pune show how local institutions and waste workers can make collection practical; Dharavi demonstrates the importance of the informal economy; and Dell illustrates how circularity can be built into product design and lifecycle services.</w:t>
      </w:r>
    </w:p>
    <w:p>
      <w:r>
        <w:t>For India, the most useful direction is therefore a hybrid model: retain the national EPR framework, strengthen verification, make collection convenient, safely integrate informal workers, expand repair and refurbishment, and move toward a circular economy in which products and materials remain useful for as long as possible.</w:t>
      </w:r>
    </w:p>
    <w:p>
      <w:pPr>
        <w:pStyle w:val="Heading1"/>
      </w:pPr>
      <w:r>
        <w:t>References</w:t>
      </w:r>
    </w:p>
    <w:p>
      <w:pPr>
        <w:pStyle w:val="ListNumber"/>
      </w:pPr>
      <w:r>
        <w:t>Central Pollution Control Board (CPCB). FAQ on E-Waste Management Rules, 2022. Government of India.</w:t>
      </w:r>
    </w:p>
    <w:p>
      <w:pPr>
        <w:pStyle w:val="ListNumber"/>
      </w:pPr>
      <w:r>
        <w:t>Ministry of Environment, Forest and Climate Change (MoEFCC). E-Waste (Management) Rules, 2022.</w:t>
      </w:r>
    </w:p>
    <w:p>
      <w:pPr>
        <w:pStyle w:val="ListNumber"/>
      </w:pPr>
      <w:r>
        <w:t>International Telecommunication Union (ITU) &amp; UNITAR. Global E-waste Monitor 2024.</w:t>
      </w:r>
    </w:p>
    <w:p>
      <w:pPr>
        <w:pStyle w:val="ListNumber"/>
      </w:pPr>
      <w:r>
        <w:t>Japan Ministry of Economy, Trade and Industry (METI). Act on Recycling of Specified Home Appliances.</w:t>
      </w:r>
    </w:p>
    <w:p>
      <w:pPr>
        <w:pStyle w:val="ListNumber"/>
      </w:pPr>
      <w:r>
        <w:t>SWICO Recycling. Technical reports and recycling system information.</w:t>
      </w:r>
    </w:p>
    <w:p>
      <w:pPr>
        <w:pStyle w:val="ListNumber"/>
      </w:pPr>
      <w:r>
        <w:t>Government of Kerala, Local Self Government Department. Clean Kerala Company (CKCL) information.</w:t>
      </w:r>
    </w:p>
    <w:p>
      <w:pPr>
        <w:pStyle w:val="ListNumber"/>
      </w:pPr>
      <w:r>
        <w:t>Maharashtra Pollution Control Board (MPCB). E-Waste management resources, authorised facilities and Mumbai-Pune assessment reports.</w:t>
      </w:r>
    </w:p>
    <w:p>
      <w:pPr>
        <w:pStyle w:val="ListNumber"/>
      </w:pPr>
      <w:r>
        <w:t>SWaCH Pune Seva Sahakari Sanstha. SWaCH Impact and V-Collect information.</w:t>
      </w:r>
    </w:p>
    <w:p>
      <w:pPr>
        <w:pStyle w:val="ListNumber"/>
      </w:pPr>
      <w:r>
        <w:t>NIUA. Training Module on Solid Waste Management – Pune SWaCH case study.</w:t>
      </w:r>
    </w:p>
    <w:p>
      <w:pPr>
        <w:pStyle w:val="ListNumber"/>
      </w:pPr>
      <w:r>
        <w:t>Global Alliance of Waste Pickers / WIEGO. Case study on SWaCH and EPR.</w:t>
      </w:r>
    </w:p>
    <w:p>
      <w:pPr>
        <w:pStyle w:val="ListNumber"/>
      </w:pPr>
      <w:r>
        <w:t>Dell Technologies. Accelerating the Circular Economy; Dell Technologies and the Circular Economy.</w:t>
      </w:r>
    </w:p>
    <w:p>
      <w:r>
        <w:br w:type="page"/>
      </w:r>
    </w:p>
    <w:p>
      <w:pPr>
        <w:pStyle w:val="Heading1"/>
      </w:pPr>
      <w:r>
        <w:t>One-Page Exam Revision Sheet</w:t>
      </w:r>
    </w:p>
    <w:p>
      <w:r>
        <w:t>Use this page for rapid MSE 2 revision.</w:t>
      </w:r>
    </w:p>
    <w:tbl>
      <w:tblPr>
        <w:tblStyle w:val="TableGrid"/>
        <w:tblW w:type="auto" w:w="0"/>
        <w:jc w:val="center"/>
        <w:tblLook w:firstColumn="1" w:firstRow="1" w:lastColumn="0" w:lastRow="0" w:noHBand="0" w:noVBand="1" w:val="04A0"/>
      </w:tblPr>
      <w:tblGrid>
        <w:gridCol w:w="4968"/>
        <w:gridCol w:w="4968"/>
      </w:tblGrid>
      <w:tr>
        <w:tc>
          <w:tcPr>
            <w:tcW w:type="dxa" w:w="4968"/>
            <w:shd w:fill="D9EAD3"/>
          </w:tcPr>
          <w:p>
            <w:r>
              <w:rPr>
                <w:b/>
              </w:rPr>
              <w:t>Case</w:t>
            </w:r>
          </w:p>
        </w:tc>
        <w:tc>
          <w:tcPr>
            <w:tcW w:type="dxa" w:w="4968"/>
            <w:shd w:fill="D9EAD3"/>
          </w:tcPr>
          <w:p>
            <w:r>
              <w:rPr>
                <w:b/>
              </w:rPr>
              <w:t>Remember these points</w:t>
            </w:r>
          </w:p>
        </w:tc>
      </w:tr>
      <w:tr>
        <w:tc>
          <w:tcPr>
            <w:tcW w:type="dxa" w:w="4968"/>
            <w:vAlign w:val="center"/>
          </w:tcPr>
          <w:p>
            <w:r>
              <w:t>Japan</w:t>
            </w:r>
          </w:p>
        </w:tc>
        <w:tc>
          <w:tcPr>
            <w:tcW w:type="dxa" w:w="4968"/>
            <w:vAlign w:val="center"/>
          </w:tcPr>
          <w:p>
            <w:r>
              <w:t>2001 Home Appliance Recycling Law; retailer collects; manufacturer recycles; consumer pays; four major appliance groups.</w:t>
            </w:r>
          </w:p>
        </w:tc>
      </w:tr>
      <w:tr>
        <w:tc>
          <w:tcPr>
            <w:tcW w:type="dxa" w:w="4968"/>
            <w:vAlign w:val="center"/>
          </w:tcPr>
          <w:p>
            <w:r>
              <w:t>Switzerland</w:t>
            </w:r>
          </w:p>
        </w:tc>
        <w:tc>
          <w:tcPr>
            <w:tcW w:type="dxa" w:w="4968"/>
            <w:vAlign w:val="center"/>
          </w:tcPr>
          <w:p>
            <w:r>
              <w:t>Collective take-back; SWICO/SENS; reported ~95% recycling rate for SWICO stream; advance recycling contribution.</w:t>
            </w:r>
          </w:p>
        </w:tc>
      </w:tr>
      <w:tr>
        <w:tc>
          <w:tcPr>
            <w:tcW w:type="dxa" w:w="4968"/>
            <w:vAlign w:val="center"/>
          </w:tcPr>
          <w:p>
            <w:r>
              <w:t>India Rules 2022</w:t>
            </w:r>
          </w:p>
        </w:tc>
        <w:tc>
          <w:tcPr>
            <w:tcW w:type="dxa" w:w="4968"/>
            <w:vAlign w:val="center"/>
          </w:tcPr>
          <w:p>
            <w:r>
              <w:t>EPR; EPR portal; registered recyclers; EPR certificates; refurbishment certificates; audits; environmental compensation.</w:t>
            </w:r>
          </w:p>
        </w:tc>
      </w:tr>
      <w:tr>
        <w:tc>
          <w:tcPr>
            <w:tcW w:type="dxa" w:w="4968"/>
            <w:vAlign w:val="center"/>
          </w:tcPr>
          <w:p>
            <w:r>
              <w:t>EPR – success?</w:t>
            </w:r>
          </w:p>
        </w:tc>
        <w:tc>
          <w:tcPr>
            <w:tcW w:type="dxa" w:w="4968"/>
            <w:vAlign w:val="center"/>
          </w:tcPr>
          <w:p>
            <w:r>
              <w:t>Measure physical collection/recycling, traceability and outcomes—not only paperwork/certificates.</w:t>
            </w:r>
          </w:p>
        </w:tc>
      </w:tr>
      <w:tr>
        <w:tc>
          <w:tcPr>
            <w:tcW w:type="dxa" w:w="4968"/>
            <w:vAlign w:val="center"/>
          </w:tcPr>
          <w:p>
            <w:r>
              <w:t>Bengaluru</w:t>
            </w:r>
          </w:p>
        </w:tc>
        <w:tc>
          <w:tcPr>
            <w:tcW w:type="dxa" w:w="4968"/>
            <w:vAlign w:val="center"/>
          </w:tcPr>
          <w:p>
            <w:r>
              <w:t>Technology-heavy city; large and complex e-waste ecosystem; formal + informal channels; need city-level data.</w:t>
            </w:r>
          </w:p>
        </w:tc>
      </w:tr>
      <w:tr>
        <w:tc>
          <w:tcPr>
            <w:tcW w:type="dxa" w:w="4968"/>
            <w:vAlign w:val="center"/>
          </w:tcPr>
          <w:p>
            <w:r>
              <w:t>Mumbai</w:t>
            </w:r>
          </w:p>
        </w:tc>
        <w:tc>
          <w:tcPr>
            <w:tcW w:type="dxa" w:w="4968"/>
            <w:vAlign w:val="center"/>
          </w:tcPr>
          <w:p>
            <w:r>
              <w:t>Large consumption hub; MPCB regulation; authorised facilities; Mumbai-Pune assessment reports; formal/informal interface.</w:t>
            </w:r>
          </w:p>
        </w:tc>
      </w:tr>
      <w:tr>
        <w:tc>
          <w:tcPr>
            <w:tcW w:type="dxa" w:w="4968"/>
            <w:vAlign w:val="center"/>
          </w:tcPr>
          <w:p>
            <w:r>
              <w:t>Kerala CKCL</w:t>
            </w:r>
          </w:p>
        </w:tc>
        <w:tc>
          <w:tcPr>
            <w:tcW w:type="dxa" w:w="4968"/>
            <w:vAlign w:val="center"/>
          </w:tcPr>
          <w:p>
            <w:r>
              <w:t>State/local-government linkage; e-waste collection; 2,265 MT reported collected; authorised recycling.</w:t>
            </w:r>
          </w:p>
        </w:tc>
      </w:tr>
      <w:tr>
        <w:tc>
          <w:tcPr>
            <w:tcW w:type="dxa" w:w="4968"/>
            <w:vAlign w:val="center"/>
          </w:tcPr>
          <w:p>
            <w:r>
              <w:t>Pune SWaCH</w:t>
            </w:r>
          </w:p>
        </w:tc>
        <w:tc>
          <w:tcPr>
            <w:tcW w:type="dxa" w:w="4968"/>
            <w:vAlign w:val="center"/>
          </w:tcPr>
          <w:p>
            <w:r>
              <w:t>Worker-owned cooperative; doorstep collection; V-Collect; e-waste sent to authorised recyclers; inclusion.</w:t>
            </w:r>
          </w:p>
        </w:tc>
      </w:tr>
      <w:tr>
        <w:tc>
          <w:tcPr>
            <w:tcW w:type="dxa" w:w="4968"/>
            <w:vAlign w:val="center"/>
          </w:tcPr>
          <w:p>
            <w:r>
              <w:t>Dharavi</w:t>
            </w:r>
          </w:p>
        </w:tc>
        <w:tc>
          <w:tcPr>
            <w:tcW w:type="dxa" w:w="4968"/>
            <w:vAlign w:val="center"/>
          </w:tcPr>
          <w:p>
            <w:r>
              <w:t>Informal collection, repair and recovery; livelihoods + circularity; major safety/traceability risks.</w:t>
            </w:r>
          </w:p>
        </w:tc>
      </w:tr>
      <w:tr>
        <w:tc>
          <w:tcPr>
            <w:tcW w:type="dxa" w:w="4968"/>
            <w:vAlign w:val="center"/>
          </w:tcPr>
          <w:p>
            <w:r>
              <w:t>Dell</w:t>
            </w:r>
          </w:p>
        </w:tc>
        <w:tc>
          <w:tcPr>
            <w:tcW w:type="dxa" w:w="4968"/>
            <w:vAlign w:val="center"/>
          </w:tcPr>
          <w:p>
            <w:r>
              <w:t>Durability; repair; refurbishment; recycled materials; design for harvest; take-back/recycling; lifecycle circularity.</w:t>
            </w:r>
          </w:p>
        </w:tc>
      </w:tr>
    </w:tbl>
    <w:p>
      <w:pPr>
        <w:pStyle w:val="Heading2"/>
      </w:pPr>
      <w:r>
        <w:t>Must-Remember Numbers</w:t>
      </w:r>
    </w:p>
    <w:p>
      <w:pPr>
        <w:pStyle w:val="ListBullet"/>
      </w:pPr>
      <w:r>
        <w:t>62 million tonnes of e-waste globally in 2022.</w:t>
      </w:r>
    </w:p>
    <w:p>
      <w:pPr>
        <w:pStyle w:val="ListBullet"/>
      </w:pPr>
      <w:r>
        <w:t>22.3% formally documented as collected and recycled in 2022.</w:t>
      </w:r>
    </w:p>
    <w:p>
      <w:pPr>
        <w:pStyle w:val="ListBullet"/>
      </w:pPr>
      <w:r>
        <w:t>82 million tonnes projected global e-waste in 2030 under the cited Global E-waste Monitor outlook.</w:t>
      </w:r>
    </w:p>
    <w:p>
      <w:pPr>
        <w:pStyle w:val="ListBullet"/>
      </w:pPr>
      <w:r>
        <w:t>Japan statutory recycling-rate standards: AC 80%, CRT TV 55%, plasma/LCD TV 74%, refrigerator/freezer 70%, washing/drying machine 82%.</w:t>
      </w:r>
    </w:p>
    <w:p>
      <w:pPr>
        <w:pStyle w:val="ListBullet"/>
      </w:pPr>
      <w:r>
        <w:t>Swico reported about 47,000 tonnes and 95% recycling rate for its 2019 electronics stream.</w:t>
      </w:r>
    </w:p>
    <w:p>
      <w:pPr>
        <w:pStyle w:val="ListBullet"/>
      </w:pPr>
      <w:r>
        <w:t>CKCL reports 2,265 MT of e-waste collected and 161 MT of hazardous e-waste collected.</w:t>
      </w:r>
    </w:p>
    <w:p>
      <w:pPr>
        <w:pStyle w:val="ListBullet"/>
      </w:pPr>
      <w:r>
        <w:t>SWaCH's 2025 website reports 1,000,000 households covered daily, 4,000+ waste pickers integrated and 82,891 tonnes of recycled waste annually (overall waste, not e-waste only).</w:t>
      </w:r>
    </w:p>
    <w:p>
      <w:pPr>
        <w:pStyle w:val="ListBullet"/>
      </w:pPr>
      <w:r>
        <w:t>Dell reports more than 2.5 billion lb / about 1.1 billion kg of used electronics recovered since 2007.</w:t>
      </w:r>
    </w:p>
    <w:p>
      <w:pPr>
        <w:pStyle w:val="Heading2"/>
      </w:pPr>
      <w:r>
        <w:t>Likely MSE Questions</w:t>
      </w:r>
    </w:p>
    <w:p>
      <w:pPr>
        <w:pStyle w:val="ListBullet"/>
      </w:pPr>
      <w:r>
        <w:t>Explain Japan's Home Appliance Recycling Law and its relevance to India.</w:t>
      </w:r>
    </w:p>
    <w:p>
      <w:pPr>
        <w:pStyle w:val="ListBullet"/>
      </w:pPr>
      <w:r>
        <w:t>Why is Switzerland's e-waste system considered successful?</w:t>
      </w:r>
    </w:p>
    <w:p>
      <w:pPr>
        <w:pStyle w:val="ListBullet"/>
      </w:pPr>
      <w:r>
        <w:t>Explain the major features of India's E-Waste Management Rules 2022.</w:t>
      </w:r>
    </w:p>
    <w:p>
      <w:pPr>
        <w:pStyle w:val="ListBullet"/>
      </w:pPr>
      <w:r>
        <w:t>What is EPR? Discuss whether India's EPR can become paper compliance.</w:t>
      </w:r>
    </w:p>
    <w:p>
      <w:pPr>
        <w:pStyle w:val="ListBullet"/>
      </w:pPr>
      <w:r>
        <w:t>Explain the role of informal sectors in Bengaluru/Mumbai/Dharavi.</w:t>
      </w:r>
    </w:p>
    <w:p>
      <w:pPr>
        <w:pStyle w:val="ListBullet"/>
      </w:pPr>
      <w:r>
        <w:t>Explain the Clean Kerala Company model.</w:t>
      </w:r>
    </w:p>
    <w:p>
      <w:pPr>
        <w:pStyle w:val="ListBullet"/>
      </w:pPr>
      <w:r>
        <w:t>How does SWaCH integrate waste pickers into waste management?</w:t>
      </w:r>
    </w:p>
    <w:p>
      <w:pPr>
        <w:pStyle w:val="ListBullet"/>
      </w:pPr>
      <w:r>
        <w:t>Compare India's e-waste approach with Japan or Switzerland.</w:t>
      </w:r>
    </w:p>
    <w:p>
      <w:pPr>
        <w:pStyle w:val="ListBullet"/>
      </w:pPr>
      <w:r>
        <w:t>Explain Dell's circular economy strategy.</w:t>
      </w:r>
    </w:p>
    <w:p>
      <w:pPr>
        <w:pStyle w:val="ListBullet"/>
      </w:pPr>
      <w:r>
        <w:t>Suggest five recommendations for improving e-waste management in India.</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705BFBD7D7D0F459F2EB6DF2A577303" ma:contentTypeVersion="12" ma:contentTypeDescription="Create a new document." ma:contentTypeScope="" ma:versionID="8528867ffa347892931992dba061e8fc">
  <xsd:schema xmlns:xsd="http://www.w3.org/2001/XMLSchema" xmlns:xs="http://www.w3.org/2001/XMLSchema" xmlns:p="http://schemas.microsoft.com/office/2006/metadata/properties" xmlns:ns2="01a789ed-3b06-4a12-abcb-8250f314dd0b" xmlns:ns3="44678d20-5b6e-4792-b133-ca784477d689" targetNamespace="http://schemas.microsoft.com/office/2006/metadata/properties" ma:root="true" ma:fieldsID="3a6a2aa65aa1b5a2272dcd5b5e15d211" ns2:_="" ns3:_="">
    <xsd:import namespace="01a789ed-3b06-4a12-abcb-8250f314dd0b"/>
    <xsd:import namespace="44678d20-5b6e-4792-b133-ca784477d68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a789ed-3b06-4a12-abcb-8250f314dd0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5c09e8c-4242-4efc-8aa0-958213fa9c5a"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4678d20-5b6e-4792-b133-ca784477d68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9a17da5-126c-488b-b448-998f78a263bb}" ma:internalName="TaxCatchAll" ma:showField="CatchAllData" ma:web="44678d20-5b6e-4792-b133-ca784477d6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01a789ed-3b06-4a12-abcb-8250f314dd0b" xsi:nil="true"/>
    <lcf76f155ced4ddcb4097134ff3c332f xmlns="01a789ed-3b06-4a12-abcb-8250f314dd0b">
      <Terms xmlns="http://schemas.microsoft.com/office/infopath/2007/PartnerControls"/>
    </lcf76f155ced4ddcb4097134ff3c332f>
    <TaxCatchAll xmlns="44678d20-5b6e-4792-b133-ca784477d689"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E95074B-BEF5-42B4-A982-BA0045C21472}"/>
</file>

<file path=customXml/itemProps3.xml><?xml version="1.0" encoding="utf-8"?>
<ds:datastoreItem xmlns:ds="http://schemas.openxmlformats.org/officeDocument/2006/customXml" ds:itemID="{BCEB5480-A367-4FF9-A640-525BF46B205E}"/>
</file>

<file path=customXml/itemProps4.xml><?xml version="1.0" encoding="utf-8"?>
<ds:datastoreItem xmlns:ds="http://schemas.openxmlformats.org/officeDocument/2006/customXml" ds:itemID="{70A120FA-827F-4821-9E92-76669671693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0x0101003705BFBD7D7D0F459F2EB6DF2A577303</vt:lpwstr>
  </property>
</Properties>
</file>