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102C57"/>
          <w:sz w:val="40"/>
        </w:rPr>
        <w:t>E-Waste Management Analysis &amp; Decision Framework</w:t>
      </w:r>
    </w:p>
    <w:p>
      <w:pPr>
        <w:spacing w:after="240"/>
      </w:pPr>
      <w:r>
        <w:rPr>
          <w:rFonts w:ascii="Calibri" w:hAnsi="Calibri"/>
          <w:i/>
          <w:color w:val="505A69"/>
          <w:sz w:val="22"/>
        </w:rPr>
        <w:t>Decoding Critical Barriers, AHP Prioritization &amp; ISM Structural Modeling in India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b/>
                <w:color w:val="1E293B"/>
              </w:rPr>
              <w:t xml:space="preserve">Student Name: </w:t>
            </w:r>
            <w:r>
              <w:t xml:space="preserve">Atharva Tayade   |   </w:t>
            </w:r>
            <w:r>
              <w:rPr>
                <w:rFonts w:ascii="Calibri" w:hAnsi="Calibri"/>
                <w:b/>
                <w:color w:val="1E293B"/>
              </w:rPr>
              <w:t xml:space="preserve">Roll / Candidate No.: </w:t>
            </w:r>
            <w:r>
              <w:t xml:space="preserve">24102C0018   |   </w:t>
            </w:r>
            <w:r>
              <w:rPr>
                <w:rFonts w:ascii="Calibri" w:hAnsi="Calibri"/>
                <w:b/>
                <w:color w:val="1E293B"/>
              </w:rPr>
              <w:t xml:space="preserve">Class / Section: </w:t>
            </w:r>
            <w:r>
              <w:t>CMPN C</w:t>
            </w:r>
          </w:p>
        </w:tc>
      </w:tr>
    </w:tbl>
    <w:p>
      <w:pPr>
        <w:spacing w:before="160"/>
      </w:pPr>
    </w:p>
    <w:p>
      <w:pPr>
        <w:keepNext/>
        <w:spacing w:before="280" w:after="80"/>
      </w:pPr>
      <w:r>
        <w:rPr>
          <w:rFonts w:ascii="Calibri" w:hAnsi="Calibri"/>
          <w:b/>
          <w:color w:val="102C57"/>
          <w:sz w:val="26"/>
        </w:rPr>
        <w:t>1. Understanding the Problem</w:t>
      </w:r>
    </w:p>
    <w:p>
      <w:pPr>
        <w:keepNext/>
        <w:spacing w:before="160" w:after="60"/>
      </w:pPr>
      <w:r>
        <w:rPr>
          <w:rFonts w:ascii="Calibri" w:hAnsi="Calibri"/>
          <w:b/>
          <w:color w:val="1E3A8A"/>
          <w:sz w:val="22"/>
        </w:rPr>
        <w:t>A. Primary Drivers Behind the Rapid Growth of E-Waste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293B"/>
        </w:rPr>
        <w:t xml:space="preserve">Digital Revolution &amp; High Turnover: </w:t>
      </w:r>
      <w:r>
        <w:rPr>
          <w:rFonts w:ascii="Calibri" w:hAnsi="Calibri"/>
          <w:color w:val="334155"/>
        </w:rPr>
        <w:t>Rapid acceleration in digital adoption, consumer electronics turnover, and global technological consumption driven by the digital revolution.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293B"/>
        </w:rPr>
        <w:t xml:space="preserve">Cryptocurrency and Hardware Obsolescence: </w:t>
      </w:r>
      <w:r>
        <w:rPr>
          <w:rFonts w:ascii="Calibri" w:hAnsi="Calibri"/>
          <w:color w:val="334155"/>
        </w:rPr>
        <w:t>Emerging digital infrastructures like Bitcoin mining and proof-of-work protocols drive rapid acquisition of specialized chips. Under Koomey's Law (chip efficiency doubling every 1.5 years), outdated, non-refurbishable chips are discarded directly into landfills at massive rates.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293B"/>
        </w:rPr>
        <w:t xml:space="preserve">National Scale (Indian Context): </w:t>
      </w:r>
      <w:r>
        <w:rPr>
          <w:rFonts w:ascii="Calibri" w:hAnsi="Calibri"/>
          <w:color w:val="334155"/>
        </w:rPr>
        <w:t>India is the third-largest producer of e-waste globally, with a compound annual growth rate (CAGR) of 30%, where 65 cities contribute over 60% of total national generation.</w:t>
      </w:r>
    </w:p>
    <w:p>
      <w:pPr>
        <w:keepNext/>
        <w:spacing w:before="160" w:after="60"/>
      </w:pPr>
      <w:r>
        <w:rPr>
          <w:rFonts w:ascii="Calibri" w:hAnsi="Calibri"/>
          <w:b/>
          <w:color w:val="1E3A8A"/>
          <w:sz w:val="22"/>
        </w:rPr>
        <w:t>B. Significance for Environment and Human Health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293B"/>
        </w:rPr>
        <w:t xml:space="preserve">Landfill Toxicity: </w:t>
      </w:r>
      <w:r>
        <w:rPr>
          <w:rFonts w:ascii="Calibri" w:hAnsi="Calibri"/>
          <w:color w:val="334155"/>
        </w:rPr>
        <w:t>Electronic waste accounts for approximately 70% of toxic and hazardous heavy metals present in landfills worldwide.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293B"/>
        </w:rPr>
        <w:t xml:space="preserve">Informal and Unregulated Recycling: </w:t>
      </w:r>
      <w:r>
        <w:rPr>
          <w:rFonts w:ascii="Calibri" w:hAnsi="Calibri"/>
          <w:color w:val="334155"/>
        </w:rPr>
        <w:t>In developing nations like India, the majority of e-waste is processed through an unorganized, informal sector utilizing primitive, open-air acid leaching and burning without safety equipment.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293B"/>
        </w:rPr>
        <w:t xml:space="preserve">Environmental and Biological Harm: </w:t>
      </w:r>
      <w:r>
        <w:rPr>
          <w:rFonts w:ascii="Calibri" w:hAnsi="Calibri"/>
          <w:color w:val="334155"/>
        </w:rPr>
        <w:t>Hazardous releases (lead, mercury, cadmium, flame retardants) permanently contaminate groundwater tables, soil, and ambient air, inflicting acute neurological, respiratory, and systemic health hazards.</w:t>
      </w:r>
    </w:p>
    <w:p>
      <w:pPr>
        <w:keepNext/>
        <w:spacing w:before="280" w:after="80"/>
      </w:pPr>
      <w:r>
        <w:rPr>
          <w:rFonts w:ascii="Calibri" w:hAnsi="Calibri"/>
          <w:b/>
          <w:color w:val="102C57"/>
          <w:sz w:val="26"/>
        </w:rPr>
        <w:t>2. The Solution Approach: AHP vs. ISM</w:t>
      </w:r>
    </w:p>
    <w:p>
      <w:pPr>
        <w:keepNext/>
        <w:spacing w:before="160" w:after="60"/>
      </w:pPr>
      <w:r>
        <w:rPr>
          <w:rFonts w:ascii="Calibri" w:hAnsi="Calibri"/>
          <w:b/>
          <w:color w:val="1E3A8A"/>
          <w:sz w:val="22"/>
        </w:rPr>
        <w:t>A. Main Purpose of the AHP Method</w:t>
      </w:r>
    </w:p>
    <w:p>
      <w:pPr>
        <w:spacing w:before="0" w:after="80" w:line="276" w:lineRule="auto"/>
      </w:pPr>
      <w:r>
        <w:rPr>
          <w:rFonts w:ascii="Calibri" w:hAnsi="Calibri"/>
          <w:color w:val="334155"/>
        </w:rPr>
        <w:t>The Analytic Hierarchy Process (AHP) was utilized to calculate relative criteria weights and quantitatively rank/prioritize the 13 identified e-waste challenges based on expert evaluation. It also served as a mathematical robustness check, calculating the Consistency Index (CI) and Consistency Ratio (CR = 0.053 &lt; 0.10) to validate expert judgment coherence.</w:t>
      </w:r>
    </w:p>
    <w:p>
      <w:pPr>
        <w:keepNext/>
        <w:spacing w:before="160" w:after="60"/>
      </w:pPr>
      <w:r>
        <w:rPr>
          <w:rFonts w:ascii="Calibri" w:hAnsi="Calibri"/>
          <w:b/>
          <w:color w:val="1E3A8A"/>
          <w:sz w:val="22"/>
        </w:rPr>
        <w:t>B. Main Purpose of the ISM Method</w:t>
      </w:r>
    </w:p>
    <w:p>
      <w:pPr>
        <w:spacing w:before="0" w:after="80" w:line="276" w:lineRule="auto"/>
      </w:pPr>
      <w:r>
        <w:rPr>
          <w:rFonts w:ascii="Calibri" w:hAnsi="Calibri"/>
          <w:color w:val="334155"/>
        </w:rPr>
        <w:t>Interpretive Structural Modelling (ISM) was applied to map contextual, direct, and transitive relationships among the challenges. It structured the web of barriers into a 7-level hierarchical diagraph (from Level 7 root driving barriers to Level 1 end-state dependent barriers), while MICMAC analysis categorized them into driving, linkage, and dependent factors.</w:t>
      </w:r>
    </w:p>
    <w:p>
      <w:pPr>
        <w:keepNext/>
        <w:spacing w:before="160" w:after="60"/>
      </w:pPr>
      <w:r>
        <w:rPr>
          <w:rFonts w:ascii="Calibri" w:hAnsi="Calibri"/>
          <w:b/>
          <w:color w:val="1E3A8A"/>
          <w:sz w:val="22"/>
        </w:rPr>
        <w:t>C. Key Differences Between AHP and ISM</w:t>
      </w:r>
    </w:p>
    <w:p>
      <w:pPr>
        <w:spacing w:before="0" w:after="80" w:line="276" w:lineRule="auto"/>
      </w:pPr>
      <w:r>
        <w:rPr>
          <w:rFonts w:ascii="Calibri" w:hAnsi="Calibri"/>
          <w:color w:val="334155"/>
        </w:rPr>
        <w:t>AHP is a quantitative multi-criteria prioritization tool focused on determining 'which' barriers carry the highest numerical weight and priority. ISM is a qualitative structural modeling technique focused on establishing 'how' barriers interrelate, providing the directional causal path from root causes to dependent outcomes.</w:t>
      </w:r>
    </w:p>
    <w:p>
      <w:pPr>
        <w:keepNext/>
        <w:spacing w:before="280" w:after="80"/>
      </w:pPr>
      <w:r>
        <w:rPr>
          <w:rFonts w:ascii="Calibri" w:hAnsi="Calibri"/>
          <w:b/>
          <w:color w:val="102C57"/>
          <w:sz w:val="26"/>
        </w:rPr>
        <w:t>3. Prioritizing Challenges</w:t>
      </w:r>
    </w:p>
    <w:p>
      <w:pPr>
        <w:keepNext/>
        <w:spacing w:before="160" w:after="60"/>
      </w:pPr>
      <w:r>
        <w:rPr>
          <w:rFonts w:ascii="Calibri" w:hAnsi="Calibri"/>
          <w:b/>
          <w:color w:val="1E3A8A"/>
          <w:sz w:val="22"/>
        </w:rPr>
        <w:t>A. Highest Priority Challenge Identified</w:t>
      </w:r>
    </w:p>
    <w:p>
      <w:pPr>
        <w:spacing w:before="0" w:after="80" w:line="276" w:lineRule="auto"/>
      </w:pPr>
      <w:r>
        <w:rPr>
          <w:rFonts w:ascii="Calibri" w:hAnsi="Calibri"/>
          <w:color w:val="334155"/>
        </w:rPr>
        <w:t>Lack of Knowledge and Skills (LKS / Eε2) received the highest priority in the study, ranking #1 with the highest criteria weight of 0.12 (12%) in the AHP analysis.</w:t>
      </w:r>
    </w:p>
    <w:p>
      <w:pPr>
        <w:keepNext/>
        <w:spacing w:before="160" w:after="60"/>
      </w:pPr>
      <w:r>
        <w:rPr>
          <w:rFonts w:ascii="Calibri" w:hAnsi="Calibri"/>
          <w:b/>
          <w:color w:val="1E3A8A"/>
          <w:sz w:val="22"/>
        </w:rPr>
        <w:t>B. Why This Challenge is Crucial to Address First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293B"/>
        </w:rPr>
        <w:t xml:space="preserve">Root Level-7 Driver: </w:t>
      </w:r>
      <w:r>
        <w:rPr>
          <w:rFonts w:ascii="Calibri" w:hAnsi="Calibri"/>
          <w:color w:val="334155"/>
        </w:rPr>
        <w:t>In the ISM structural hierarchy, Lack of Knowledge and Skills resides at the very base (Level 7: Short-Term Focus) as an essential root driver with high driving power.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293B"/>
        </w:rPr>
        <w:t xml:space="preserve">Bottleneck to Infrastructure &amp; R&amp;D: </w:t>
      </w:r>
      <w:r>
        <w:rPr>
          <w:rFonts w:ascii="Calibri" w:hAnsi="Calibri"/>
          <w:color w:val="334155"/>
        </w:rPr>
        <w:t>Without skilled personnel, formal recycling infrastructure cannot be operated or maintained, and immature R&amp;D practices cannot be scaled.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293B"/>
        </w:rPr>
        <w:t xml:space="preserve">Workforce Safety: </w:t>
      </w:r>
      <w:r>
        <w:rPr>
          <w:rFonts w:ascii="Calibri" w:hAnsi="Calibri"/>
          <w:color w:val="334155"/>
        </w:rPr>
        <w:t>Lack of technical know-how directly contributes to workforce safety failures and accidents, discouraging the formalization of waste recycling.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293B"/>
        </w:rPr>
        <w:t xml:space="preserve">Enabler of Illegal Practices: </w:t>
      </w:r>
      <w:r>
        <w:rPr>
          <w:rFonts w:ascii="Calibri" w:hAnsi="Calibri"/>
          <w:color w:val="334155"/>
        </w:rPr>
        <w:t>A lack of regulatory and operational knowledge across enforcement agencies and municipalities allows informal, illegal waste handling and dumping to dominate.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293B"/>
        </w:rPr>
        <w:t xml:space="preserve">Strategic Lynchpin: </w:t>
      </w:r>
      <w:r>
        <w:rPr>
          <w:rFonts w:ascii="Calibri" w:hAnsi="Calibri"/>
          <w:color w:val="334155"/>
        </w:rPr>
        <w:t>By prioritizing technical training, institutional capacity building, and skilled human resources, India establishes the required capability to resolve downstream challenges—from compliance and logistics to sustainable product design.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705BFBD7D7D0F459F2EB6DF2A577303" ma:contentTypeVersion="12" ma:contentTypeDescription="Create a new document." ma:contentTypeScope="" ma:versionID="8528867ffa347892931992dba061e8fc">
  <xsd:schema xmlns:xsd="http://www.w3.org/2001/XMLSchema" xmlns:xs="http://www.w3.org/2001/XMLSchema" xmlns:p="http://schemas.microsoft.com/office/2006/metadata/properties" xmlns:ns2="01a789ed-3b06-4a12-abcb-8250f314dd0b" xmlns:ns3="44678d20-5b6e-4792-b133-ca784477d689" targetNamespace="http://schemas.microsoft.com/office/2006/metadata/properties" ma:root="true" ma:fieldsID="3a6a2aa65aa1b5a2272dcd5b5e15d211" ns2:_="" ns3:_="">
    <xsd:import namespace="01a789ed-3b06-4a12-abcb-8250f314dd0b"/>
    <xsd:import namespace="44678d20-5b6e-4792-b133-ca784477d689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a789ed-3b06-4a12-abcb-8250f314dd0b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65c09e8c-4242-4efc-8aa0-958213fa9c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678d20-5b6e-4792-b133-ca784477d689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b9a17da5-126c-488b-b448-998f78a263bb}" ma:internalName="TaxCatchAll" ma:showField="CatchAllData" ma:web="44678d20-5b6e-4792-b133-ca784477d68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01a789ed-3b06-4a12-abcb-8250f314dd0b" xsi:nil="true"/>
    <lcf76f155ced4ddcb4097134ff3c332f xmlns="01a789ed-3b06-4a12-abcb-8250f314dd0b">
      <Terms xmlns="http://schemas.microsoft.com/office/infopath/2007/PartnerControls"/>
    </lcf76f155ced4ddcb4097134ff3c332f>
    <TaxCatchAll xmlns="44678d20-5b6e-4792-b133-ca784477d689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2701DB1-2CAA-4A9E-AA1F-254D3DA5E7DA}"/>
</file>

<file path=customXml/itemProps3.xml><?xml version="1.0" encoding="utf-8"?>
<ds:datastoreItem xmlns:ds="http://schemas.openxmlformats.org/officeDocument/2006/customXml" ds:itemID="{C5FB4B98-BF34-443B-9564-1D0544E91EEF}"/>
</file>

<file path=customXml/itemProps4.xml><?xml version="1.0" encoding="utf-8"?>
<ds:datastoreItem xmlns:ds="http://schemas.openxmlformats.org/officeDocument/2006/customXml" ds:itemID="{55091679-17F8-4974-8203-72F1CDA9E78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0x0101003705BFBD7D7D0F459F2EB6DF2A577303</vt:lpwstr>
  </property>
</Properties>
</file>