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widowControl/>
        <w:jc w:val="left"/>
      </w:pPr>
      <w:r>
        <w:rPr>
          <w:rFonts w:ascii="Times New Roman" w:hAnsi="Times New Roman"/>
          <w:b/>
          <w:sz w:val="17"/>
        </w:rPr>
        <w:t>COMPARATIVE STUDY OF E-WASTE MANAGEMENT COMPLIANCE</w:t>
      </w:r>
    </w:p>
    <w:p>
      <w:pPr>
        <w:pStyle w:val="ArticleAuthor"/>
        <w:widowControl/>
      </w:pPr>
      <w:r>
        <w:rPr>
          <w:rFonts w:ascii="Times New Roman" w:hAnsi="Times New Roman"/>
          <w:sz w:val="17"/>
        </w:rPr>
        <w:t>A Review of Five Electronics Manufacturers in India under the E-Waste (Management) Rules, 2022</w:t>
      </w:r>
    </w:p>
    <w:p>
      <w:pPr>
        <w:pStyle w:val="ArticleAuthor"/>
        <w:widowControl/>
      </w:pPr>
      <w:r>
        <w:rPr>
          <w:rFonts w:ascii="Times New Roman" w:hAnsi="Times New Roman"/>
          <w:sz w:val="17"/>
        </w:rPr>
        <w:t>Prepared as an academic comparative study based on the supplied CPCB material and company disclosures</w:t>
      </w:r>
    </w:p>
    <w:p>
      <w:pPr>
        <w:pStyle w:val="JournalSection"/>
        <w:widowControl/>
      </w:pPr>
      <w:r>
        <w:rPr>
          <w:rFonts w:ascii="Times New Roman" w:hAnsi="Times New Roman"/>
          <w:sz w:val="17"/>
        </w:rPr>
        <w:t>ABSTRACT</w:t>
      </w:r>
    </w:p>
    <w:p>
      <w:pPr>
        <w:pStyle w:val="JournalBody"/>
        <w:widowControl/>
      </w:pPr>
      <w:r>
        <w:rPr>
          <w:rFonts w:ascii="Times New Roman" w:hAnsi="Times New Roman"/>
          <w:sz w:val="17"/>
        </w:rPr>
        <w:t>Electronic waste contains valuable recoverable materials as well as hazardous substances. The E-Waste (Management) Rules, 2022 establish Extended Producer Responsibility (EPR), recycling targets, registered-recycler requirements, RoHS provisions, returns and audit-related requirements. The present study compares five electronics manufacturers—Dixon Technologies, Kaynes Technology, Sahasra Electronics, Syrma SGS Technology and Centum Electronics. The comparison identifies practices publicly evidenced as followed, requirements not clearly evidenced in the reviewed material, and the implications for environmental protection, compliance, operations and reputation.</w:t>
      </w:r>
    </w:p>
    <w:p>
      <w:pPr>
        <w:pStyle w:val="JournalSmall"/>
        <w:widowControl/>
      </w:pPr>
      <w:r>
        <w:rPr>
          <w:rFonts w:ascii="Times New Roman" w:hAnsi="Times New Roman"/>
          <w:sz w:val="17"/>
        </w:rPr>
        <w:t>Keywords: E-waste, Extended Producer Responsibility, EPR, Recycling, RoHS, Compliance, Environment</w:t>
      </w:r>
    </w:p>
    <w:p>
      <w:pPr>
        <w:pStyle w:val="JournalSection"/>
        <w:widowControl/>
      </w:pPr>
      <w:r>
        <w:rPr>
          <w:rFonts w:ascii="Times New Roman" w:hAnsi="Times New Roman"/>
          <w:sz w:val="17"/>
        </w:rPr>
        <w:t>1. INTRODUCTION</w:t>
      </w:r>
    </w:p>
    <w:p>
      <w:pPr>
        <w:pStyle w:val="JournalBody"/>
        <w:widowControl/>
      </w:pPr>
      <w:r>
        <w:rPr>
          <w:rFonts w:ascii="Times New Roman" w:hAnsi="Times New Roman"/>
          <w:sz w:val="17"/>
        </w:rPr>
        <w:t>The supplied research paper identifies e-waste as a growing environmental and health issue and describes the risks associated with unregulated and informal handling. Hazardous substances present in e-waste may affect ecosystems and human health, which makes environmentally sound collection, treatment and recycling important. fileciteturn1file0L14-L27 fileciteturn1file0L129-L160</w:t>
      </w:r>
    </w:p>
    <w:p>
      <w:pPr>
        <w:pStyle w:val="JournalBody"/>
        <w:widowControl/>
      </w:pPr>
      <w:r>
        <w:rPr>
          <w:rFonts w:ascii="Times New Roman" w:hAnsi="Times New Roman"/>
          <w:sz w:val="17"/>
        </w:rPr>
        <w:t>The purpose of this comparison is not to declare a company legally compliant or non-compliant solely from a public disclosure. Instead, the study records what is evidenced publicly and identifies where information is not clearly available.</w:t>
      </w:r>
    </w:p>
    <w:p>
      <w:pPr>
        <w:pStyle w:val="JournalSection"/>
        <w:widowControl/>
      </w:pPr>
      <w:r>
        <w:rPr>
          <w:rFonts w:ascii="Times New Roman" w:hAnsi="Times New Roman"/>
          <w:sz w:val="17"/>
        </w:rPr>
        <w:t>2. LEGAL AND REGULATORY FRAMEWORK</w:t>
      </w:r>
    </w:p>
    <w:p>
      <w:pPr>
        <w:pStyle w:val="JournalBody"/>
        <w:widowControl/>
      </w:pPr>
      <w:r>
        <w:rPr>
          <w:rFonts w:ascii="Times New Roman" w:hAnsi="Times New Roman"/>
          <w:sz w:val="17"/>
        </w:rPr>
        <w:t>The CPCB FAQ states that the E-Waste (Management) Rules, 2022 are effective from 1 April 2023 and apply to covered manufacturers, producers, recyclers, refurbishers and dismantlers. Producer registration is mandatory for covered producers and EPR obligations use phase-wise recycling targets. fileciteturn0file0L41-L66 fileciteturn0file0L217-L240</w:t>
      </w:r>
    </w:p>
    <w:p>
      <w:pPr>
        <w:pStyle w:val="JournalSubhead"/>
        <w:widowControl/>
      </w:pPr>
      <w:r>
        <w:rPr>
          <w:rFonts w:ascii="Times New Roman" w:hAnsi="Times New Roman"/>
          <w:sz w:val="17"/>
        </w:rPr>
        <w:t>Major requirements considered</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EPR registration: </w:t>
      </w:r>
      <w:r>
        <w:rPr>
          <w:rFonts w:ascii="Times New Roman" w:hAnsi="Times New Roman"/>
          <w:sz w:val="17"/>
        </w:rPr>
        <w:t>Covered producers must register on the E-Waste EPR Portal.</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EPR recycling targets: </w:t>
      </w:r>
      <w:r>
        <w:rPr>
          <w:rFonts w:ascii="Times New Roman" w:hAnsi="Times New Roman"/>
          <w:sz w:val="17"/>
        </w:rPr>
        <w:t>60% for FY 2023-24/2024-25; 70% for FY 2025-26/2026-27; 80% from FY 2027-28 onward.</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Registered recyclers: </w:t>
      </w:r>
      <w:r>
        <w:rPr>
          <w:rFonts w:ascii="Times New Roman" w:hAnsi="Times New Roman"/>
          <w:sz w:val="17"/>
        </w:rPr>
        <w:t>EPR obligations are to be fulfilled through registered e-waste recyclers.</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Environmentally sound management: </w:t>
      </w:r>
      <w:r>
        <w:rPr>
          <w:rFonts w:ascii="Times New Roman" w:hAnsi="Times New Roman"/>
          <w:sz w:val="17"/>
        </w:rPr>
        <w:t>E-waste must be managed to protect health and the environment.</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RoHS compliance: </w:t>
      </w:r>
      <w:r>
        <w:rPr>
          <w:rFonts w:ascii="Times New Roman" w:hAnsi="Times New Roman"/>
          <w:sz w:val="17"/>
        </w:rPr>
        <w:t>Specified hazardous substances must remain within prescribed concentration limits.</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Returns: </w:t>
      </w:r>
      <w:r>
        <w:rPr>
          <w:rFonts w:ascii="Times New Roman" w:hAnsi="Times New Roman"/>
          <w:sz w:val="17"/>
        </w:rPr>
        <w:t>Quarterly and annual returns are required under the framework.</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EPR certificates: </w:t>
      </w:r>
      <w:r>
        <w:rPr>
          <w:rFonts w:ascii="Times New Roman" w:hAnsi="Times New Roman"/>
          <w:sz w:val="17"/>
        </w:rPr>
        <w:t>Eligible EPR certificates can be used to fulfil obligations.</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Waste channelisation: </w:t>
      </w:r>
      <w:r>
        <w:rPr>
          <w:rFonts w:ascii="Times New Roman" w:hAnsi="Times New Roman"/>
          <w:sz w:val="17"/>
        </w:rPr>
        <w:t>Covered e-waste should be channelled through registered/authorised entities as applicable.</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Records and audit: </w:t>
      </w:r>
      <w:r>
        <w:rPr>
          <w:rFonts w:ascii="Times New Roman" w:hAnsi="Times New Roman"/>
          <w:sz w:val="17"/>
        </w:rPr>
        <w:t>Required records must be maintained for verification and audit.</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Recycling residue: </w:t>
      </w:r>
      <w:r>
        <w:rPr>
          <w:rFonts w:ascii="Times New Roman" w:hAnsi="Times New Roman"/>
          <w:sz w:val="17"/>
        </w:rPr>
        <w:t>Unrecycled fractions and residues must go to appropriate authorised facilities.</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RoHS documentation: </w:t>
      </w:r>
      <w:r>
        <w:rPr>
          <w:rFonts w:ascii="Times New Roman" w:hAnsi="Times New Roman"/>
          <w:sz w:val="17"/>
        </w:rPr>
        <w:t>Applicable producers submit RoHS self-declaration and maintain technical documents.</w:t>
      </w:r>
    </w:p>
    <w:p>
      <w:pPr>
        <w:pStyle w:val="JournalBullet"/>
        <w:widowControl/>
        <w:ind w:left="144" w:hanging="115"/>
      </w:pPr>
      <w:r>
        <w:rPr>
          <w:rFonts w:ascii="Times New Roman" w:hAnsi="Times New Roman"/>
          <w:b/>
          <w:sz w:val="17"/>
        </w:rPr>
        <w:t xml:space="preserve">• </w:t>
      </w:r>
      <w:r>
        <w:rPr>
          <w:rFonts w:ascii="Times New Roman" w:hAnsi="Times New Roman"/>
          <w:b/>
          <w:sz w:val="17"/>
        </w:rPr>
        <w:t xml:space="preserve">Environmental compensation: </w:t>
      </w:r>
      <w:r>
        <w:rPr>
          <w:rFonts w:ascii="Times New Roman" w:hAnsi="Times New Roman"/>
          <w:sz w:val="17"/>
        </w:rPr>
        <w:t>The Rules provide for environmental compensation in case of violations.</w:t>
      </w:r>
    </w:p>
    <w:p>
      <w:pPr>
        <w:pStyle w:val="JournalSection"/>
        <w:widowControl/>
      </w:pPr>
      <w:r>
        <w:rPr>
          <w:rFonts w:ascii="Times New Roman" w:hAnsi="Times New Roman"/>
          <w:sz w:val="17"/>
        </w:rPr>
        <w:t>3. METHODOLOGY</w:t>
      </w:r>
    </w:p>
    <w:p>
      <w:pPr>
        <w:pStyle w:val="JournalBody"/>
        <w:widowControl/>
      </w:pPr>
      <w:r>
        <w:rPr>
          <w:rFonts w:ascii="Times New Roman" w:hAnsi="Times New Roman"/>
          <w:sz w:val="17"/>
        </w:rPr>
        <w:t>Five companies were selected from the electronics manufacturers shown in the reference image. For each company, public disclosures were compared with the regulatory requirements listed above. The phrase “not followed / not publicly evidenced” is deliberately used to distinguish a disclosure gap from proof of a legal violation.</w:t>
      </w:r>
    </w:p>
    <w:p>
      <w:pPr>
        <w:pStyle w:val="JournalSection"/>
        <w:widowControl/>
      </w:pPr>
      <w:r>
        <w:rPr>
          <w:rFonts w:ascii="Times New Roman" w:hAnsi="Times New Roman"/>
          <w:sz w:val="17"/>
        </w:rPr>
        <w:t>3.1 DIXON TECHNOLOGIES (INDIA) LIMITED</w:t>
      </w:r>
    </w:p>
    <w:p>
      <w:pPr>
        <w:pStyle w:val="JournalSubhead"/>
        <w:widowControl/>
      </w:pPr>
      <w:r>
        <w:rPr>
          <w:rFonts w:ascii="Times New Roman" w:hAnsi="Times New Roman"/>
          <w:sz w:val="17"/>
        </w:rPr>
        <w:t>Rules followed / practices evidenced</w:t>
      </w:r>
    </w:p>
    <w:p>
      <w:pPr>
        <w:pStyle w:val="JournalBullet"/>
        <w:widowControl/>
        <w:ind w:left="144" w:hanging="115"/>
      </w:pPr>
      <w:r>
        <w:rPr>
          <w:rFonts w:ascii="Times New Roman" w:hAnsi="Times New Roman"/>
          <w:sz w:val="17"/>
        </w:rPr>
        <w:t xml:space="preserve">• </w:t>
      </w:r>
      <w:r>
        <w:rPr>
          <w:rFonts w:ascii="Times New Roman" w:hAnsi="Times New Roman"/>
          <w:sz w:val="17"/>
        </w:rPr>
        <w:t>Authorised recyclers/agencies are used for e-waste, plastic and hazardous-waste handling.</w:t>
      </w:r>
    </w:p>
    <w:p>
      <w:pPr>
        <w:pStyle w:val="JournalBullet"/>
        <w:widowControl/>
        <w:ind w:left="144" w:hanging="115"/>
      </w:pPr>
      <w:r>
        <w:rPr>
          <w:rFonts w:ascii="Times New Roman" w:hAnsi="Times New Roman"/>
          <w:sz w:val="17"/>
        </w:rPr>
        <w:t xml:space="preserve">• </w:t>
      </w:r>
      <w:r>
        <w:rPr>
          <w:rFonts w:ascii="Times New Roman" w:hAnsi="Times New Roman"/>
          <w:sz w:val="17"/>
        </w:rPr>
        <w:t>A Reduce–Reuse–Recycle approach and Zero Waste to Landfill practices are reported.</w:t>
      </w:r>
    </w:p>
    <w:p>
      <w:pPr>
        <w:pStyle w:val="JournalBullet"/>
        <w:widowControl/>
        <w:ind w:left="144" w:hanging="115"/>
      </w:pPr>
      <w:r>
        <w:rPr>
          <w:rFonts w:ascii="Times New Roman" w:hAnsi="Times New Roman"/>
          <w:sz w:val="17"/>
        </w:rPr>
        <w:t xml:space="preserve">• </w:t>
      </w:r>
      <w:r>
        <w:rPr>
          <w:rFonts w:ascii="Times New Roman" w:hAnsi="Times New Roman"/>
          <w:sz w:val="17"/>
        </w:rPr>
        <w:t>Waste disposal through agencies approved by Central/State Pollution Control Boards is reported.</w:t>
      </w:r>
    </w:p>
    <w:p>
      <w:pPr>
        <w:pStyle w:val="JournalBullet"/>
        <w:widowControl/>
        <w:ind w:left="144" w:hanging="115"/>
      </w:pPr>
      <w:r>
        <w:rPr>
          <w:rFonts w:ascii="Times New Roman" w:hAnsi="Times New Roman"/>
          <w:sz w:val="17"/>
        </w:rPr>
        <w:t xml:space="preserve">• </w:t>
      </w:r>
      <w:r>
        <w:rPr>
          <w:rFonts w:ascii="Times New Roman" w:hAnsi="Times New Roman"/>
          <w:sz w:val="17"/>
        </w:rPr>
        <w:t>Controls on lead, mercury, cadmium and hexavalent chromium are reported.</w:t>
      </w:r>
    </w:p>
    <w:p>
      <w:pPr>
        <w:pStyle w:val="JournalSubhead"/>
        <w:widowControl/>
      </w:pPr>
      <w:r>
        <w:rPr>
          <w:rFonts w:ascii="Times New Roman" w:hAnsi="Times New Roman"/>
          <w:sz w:val="17"/>
        </w:rPr>
        <w:t>Rules not followed / not publicly evidenced</w:t>
      </w:r>
    </w:p>
    <w:p>
      <w:pPr>
        <w:pStyle w:val="JournalBullet"/>
        <w:widowControl/>
        <w:ind w:left="144" w:hanging="115"/>
      </w:pPr>
      <w:r>
        <w:rPr>
          <w:rFonts w:ascii="Times New Roman" w:hAnsi="Times New Roman"/>
          <w:sz w:val="17"/>
        </w:rPr>
        <w:t xml:space="preserve">• </w:t>
      </w:r>
      <w:r>
        <w:rPr>
          <w:rFonts w:ascii="Times New Roman" w:hAnsi="Times New Roman"/>
          <w:sz w:val="17"/>
        </w:rPr>
        <w:t>Current e-waste-specific EPR registration details are not clearly disclosed in the reviewed material.</w:t>
      </w:r>
    </w:p>
    <w:p>
      <w:pPr>
        <w:pStyle w:val="JournalBullet"/>
        <w:widowControl/>
        <w:ind w:left="144" w:hanging="115"/>
      </w:pPr>
      <w:r>
        <w:rPr>
          <w:rFonts w:ascii="Times New Roman" w:hAnsi="Times New Roman"/>
          <w:sz w:val="17"/>
        </w:rPr>
        <w:t xml:space="preserve">• </w:t>
      </w:r>
      <w:r>
        <w:rPr>
          <w:rFonts w:ascii="Times New Roman" w:hAnsi="Times New Roman"/>
          <w:sz w:val="17"/>
        </w:rPr>
        <w:t>Exact e-waste EPR recycling percentage against the current statutory target is not publicly stated.</w:t>
      </w:r>
    </w:p>
    <w:p>
      <w:pPr>
        <w:pStyle w:val="JournalBullet"/>
        <w:widowControl/>
        <w:ind w:left="144" w:hanging="115"/>
      </w:pPr>
      <w:r>
        <w:rPr>
          <w:rFonts w:ascii="Times New Roman" w:hAnsi="Times New Roman"/>
          <w:sz w:val="17"/>
        </w:rPr>
        <w:t xml:space="preserve">• </w:t>
      </w:r>
      <w:r>
        <w:rPr>
          <w:rFonts w:ascii="Times New Roman" w:hAnsi="Times New Roman"/>
          <w:sz w:val="17"/>
        </w:rPr>
        <w:t>Quarterly/annual EPR return figures and EPR certificate transactions are not clearly presented.</w:t>
      </w:r>
    </w:p>
    <w:p>
      <w:pPr>
        <w:pStyle w:val="JournalBullet"/>
        <w:widowControl/>
        <w:ind w:left="144" w:hanging="115"/>
      </w:pPr>
      <w:r>
        <w:rPr>
          <w:rFonts w:ascii="Times New Roman" w:hAnsi="Times New Roman"/>
          <w:sz w:val="17"/>
        </w:rPr>
        <w:t xml:space="preserve">• </w:t>
      </w:r>
      <w:r>
        <w:rPr>
          <w:rFonts w:ascii="Times New Roman" w:hAnsi="Times New Roman"/>
          <w:sz w:val="17"/>
        </w:rPr>
        <w:t>A detailed public product take-back programme is not reported.</w:t>
      </w:r>
    </w:p>
    <w:p>
      <w:pPr>
        <w:pStyle w:val="JournalBullet"/>
        <w:widowControl/>
        <w:ind w:left="144" w:hanging="115"/>
      </w:pPr>
      <w:r>
        <w:rPr>
          <w:rFonts w:ascii="Times New Roman" w:hAnsi="Times New Roman"/>
          <w:sz w:val="17"/>
        </w:rPr>
        <w:t xml:space="preserve">• </w:t>
      </w:r>
      <w:r>
        <w:rPr>
          <w:rFonts w:ascii="Times New Roman" w:hAnsi="Times New Roman"/>
          <w:sz w:val="17"/>
        </w:rPr>
        <w:t>Current Rule 16 RoHS self-declaration/technical-document details are not clearly disclosed.</w:t>
      </w:r>
    </w:p>
    <w:p>
      <w:pPr>
        <w:pStyle w:val="JournalSubhead"/>
        <w:widowControl/>
      </w:pPr>
      <w:r>
        <w:rPr>
          <w:rFonts w:ascii="Times New Roman" w:hAnsi="Times New Roman"/>
          <w:sz w:val="17"/>
        </w:rPr>
        <w:t>Implications</w:t>
      </w:r>
    </w:p>
    <w:p>
      <w:pPr>
        <w:pStyle w:val="JournalBullet"/>
        <w:widowControl/>
        <w:ind w:left="144" w:hanging="115"/>
      </w:pPr>
      <w:r>
        <w:rPr>
          <w:rFonts w:ascii="Times New Roman" w:hAnsi="Times New Roman"/>
          <w:sz w:val="17"/>
        </w:rPr>
        <w:t xml:space="preserve">• </w:t>
      </w:r>
      <w:r>
        <w:rPr>
          <w:rFonts w:ascii="Times New Roman" w:hAnsi="Times New Roman"/>
          <w:sz w:val="17"/>
        </w:rPr>
        <w:t>Environmental: authorised recycling can reduce uncontrolled disposal and support material recovery.</w:t>
      </w:r>
    </w:p>
    <w:p>
      <w:pPr>
        <w:pStyle w:val="JournalBullet"/>
        <w:widowControl/>
        <w:ind w:left="144" w:hanging="115"/>
      </w:pPr>
      <w:r>
        <w:rPr>
          <w:rFonts w:ascii="Times New Roman" w:hAnsi="Times New Roman"/>
          <w:sz w:val="17"/>
        </w:rPr>
        <w:t xml:space="preserve">• </w:t>
      </w:r>
      <w:r>
        <w:rPr>
          <w:rFonts w:ascii="Times New Roman" w:hAnsi="Times New Roman"/>
          <w:sz w:val="17"/>
        </w:rPr>
        <w:t>Compliance: clearer EPR target and return reporting would make compliance easier to verify.</w:t>
      </w:r>
    </w:p>
    <w:p>
      <w:pPr>
        <w:pStyle w:val="JournalBullet"/>
        <w:widowControl/>
        <w:ind w:left="144" w:hanging="115"/>
      </w:pPr>
      <w:r>
        <w:rPr>
          <w:rFonts w:ascii="Times New Roman" w:hAnsi="Times New Roman"/>
          <w:sz w:val="17"/>
        </w:rPr>
        <w:t xml:space="preserve">• </w:t>
      </w:r>
      <w:r>
        <w:rPr>
          <w:rFonts w:ascii="Times New Roman" w:hAnsi="Times New Roman"/>
          <w:sz w:val="17"/>
        </w:rPr>
        <w:t>Operational: authorised recycler relationships improve traceability and audit readiness.</w:t>
      </w:r>
    </w:p>
    <w:p>
      <w:pPr>
        <w:pStyle w:val="JournalBullet"/>
        <w:widowControl/>
        <w:ind w:left="144" w:hanging="115"/>
      </w:pPr>
      <w:r>
        <w:rPr>
          <w:rFonts w:ascii="Times New Roman" w:hAnsi="Times New Roman"/>
          <w:sz w:val="17"/>
        </w:rPr>
        <w:t xml:space="preserve">• </w:t>
      </w:r>
      <w:r>
        <w:rPr>
          <w:rFonts w:ascii="Times New Roman" w:hAnsi="Times New Roman"/>
          <w:sz w:val="17"/>
        </w:rPr>
        <w:t>Reputation: stronger public EPR disclosure can improve stakeholder confidence.</w:t>
      </w:r>
    </w:p>
    <w:p>
      <w:pPr>
        <w:pStyle w:val="JournalSection"/>
        <w:widowControl/>
      </w:pPr>
      <w:r>
        <w:rPr>
          <w:rFonts w:ascii="Times New Roman" w:hAnsi="Times New Roman"/>
          <w:sz w:val="17"/>
        </w:rPr>
        <w:t>3.2 KAYNES TECHNOLOGY INDIA LIMITED</w:t>
      </w:r>
    </w:p>
    <w:p>
      <w:pPr>
        <w:pStyle w:val="JournalSubhead"/>
        <w:widowControl/>
      </w:pPr>
      <w:r>
        <w:rPr>
          <w:rFonts w:ascii="Times New Roman" w:hAnsi="Times New Roman"/>
          <w:sz w:val="17"/>
        </w:rPr>
        <w:t>Rules followed / practices evidenced</w:t>
      </w:r>
    </w:p>
    <w:p>
      <w:pPr>
        <w:pStyle w:val="JournalBullet"/>
        <w:widowControl/>
        <w:ind w:left="144" w:hanging="115"/>
      </w:pPr>
      <w:r>
        <w:rPr>
          <w:rFonts w:ascii="Times New Roman" w:hAnsi="Times New Roman"/>
          <w:sz w:val="17"/>
        </w:rPr>
        <w:t xml:space="preserve">• </w:t>
      </w:r>
      <w:r>
        <w:rPr>
          <w:rFonts w:ascii="Times New Roman" w:hAnsi="Times New Roman"/>
          <w:sz w:val="17"/>
        </w:rPr>
        <w:t>E-waste is reported as collected, stored and disposed of under applicable requirements.</w:t>
      </w:r>
    </w:p>
    <w:p>
      <w:pPr>
        <w:pStyle w:val="JournalBullet"/>
        <w:widowControl/>
        <w:ind w:left="144" w:hanging="115"/>
      </w:pPr>
      <w:r>
        <w:rPr>
          <w:rFonts w:ascii="Times New Roman" w:hAnsi="Times New Roman"/>
          <w:sz w:val="17"/>
        </w:rPr>
        <w:t xml:space="preserve">• </w:t>
      </w:r>
      <w:r>
        <w:rPr>
          <w:rFonts w:ascii="Times New Roman" w:hAnsi="Times New Roman"/>
          <w:sz w:val="17"/>
        </w:rPr>
        <w:t>CPCB-authorised recyclers and registered agencies are used.</w:t>
      </w:r>
    </w:p>
    <w:p>
      <w:pPr>
        <w:pStyle w:val="JournalBullet"/>
        <w:widowControl/>
        <w:ind w:left="144" w:hanging="115"/>
      </w:pPr>
      <w:r>
        <w:rPr>
          <w:rFonts w:ascii="Times New Roman" w:hAnsi="Times New Roman"/>
          <w:sz w:val="17"/>
        </w:rPr>
        <w:t xml:space="preserve">• </w:t>
      </w:r>
      <w:r>
        <w:rPr>
          <w:rFonts w:ascii="Times New Roman" w:hAnsi="Times New Roman"/>
          <w:sz w:val="17"/>
        </w:rPr>
        <w:t>EPR-related collection/disposal practices are reported as aligned with plans submitted to Pollution Control Boards.</w:t>
      </w:r>
    </w:p>
    <w:p>
      <w:pPr>
        <w:pStyle w:val="JournalBullet"/>
        <w:widowControl/>
        <w:ind w:left="144" w:hanging="115"/>
      </w:pPr>
      <w:r>
        <w:rPr>
          <w:rFonts w:ascii="Times New Roman" w:hAnsi="Times New Roman"/>
          <w:sz w:val="17"/>
        </w:rPr>
        <w:t xml:space="preserve">• </w:t>
      </w:r>
      <w:r>
        <w:rPr>
          <w:rFonts w:ascii="Times New Roman" w:hAnsi="Times New Roman"/>
          <w:sz w:val="17"/>
        </w:rPr>
        <w:t>Source segregation and Reduce–Reuse–Recycle practices are reported.</w:t>
      </w:r>
    </w:p>
    <w:p>
      <w:pPr>
        <w:pStyle w:val="JournalBullet"/>
        <w:widowControl/>
        <w:ind w:left="144" w:hanging="115"/>
      </w:pPr>
      <w:r>
        <w:rPr>
          <w:rFonts w:ascii="Times New Roman" w:hAnsi="Times New Roman"/>
          <w:sz w:val="17"/>
        </w:rPr>
        <w:t xml:space="preserve">• </w:t>
      </w:r>
      <w:r>
        <w:rPr>
          <w:rFonts w:ascii="Times New Roman" w:hAnsi="Times New Roman"/>
          <w:sz w:val="17"/>
        </w:rPr>
        <w:t>Hazardous waste is channelled through authorised facilities/vendors.</w:t>
      </w:r>
    </w:p>
    <w:p>
      <w:pPr>
        <w:pStyle w:val="JournalBullet"/>
        <w:widowControl/>
        <w:ind w:left="144" w:hanging="115"/>
      </w:pPr>
      <w:r>
        <w:rPr>
          <w:rFonts w:ascii="Times New Roman" w:hAnsi="Times New Roman"/>
          <w:sz w:val="17"/>
        </w:rPr>
        <w:t xml:space="preserve">• </w:t>
      </w:r>
      <w:r>
        <w:rPr>
          <w:rFonts w:ascii="Times New Roman" w:hAnsi="Times New Roman"/>
          <w:sz w:val="17"/>
        </w:rPr>
        <w:t>FY 2024-25 reporting records 12.32 MT of e-waste.</w:t>
      </w:r>
    </w:p>
    <w:p>
      <w:pPr>
        <w:pStyle w:val="JournalSubhead"/>
        <w:widowControl/>
      </w:pPr>
      <w:r>
        <w:rPr>
          <w:rFonts w:ascii="Times New Roman" w:hAnsi="Times New Roman"/>
          <w:sz w:val="17"/>
        </w:rPr>
        <w:t>Rules not followed / not publicly evidenced</w:t>
      </w:r>
    </w:p>
    <w:p>
      <w:pPr>
        <w:pStyle w:val="JournalBullet"/>
        <w:widowControl/>
        <w:ind w:left="144" w:hanging="115"/>
      </w:pPr>
      <w:r>
        <w:rPr>
          <w:rFonts w:ascii="Times New Roman" w:hAnsi="Times New Roman"/>
          <w:sz w:val="17"/>
        </w:rPr>
        <w:t xml:space="preserve">• </w:t>
      </w:r>
      <w:r>
        <w:rPr>
          <w:rFonts w:ascii="Times New Roman" w:hAnsi="Times New Roman"/>
          <w:sz w:val="17"/>
        </w:rPr>
        <w:t>Exact EPR certificate quantities are not disclosed in the reviewed material.</w:t>
      </w:r>
    </w:p>
    <w:p>
      <w:pPr>
        <w:pStyle w:val="JournalBullet"/>
        <w:widowControl/>
        <w:ind w:left="144" w:hanging="115"/>
      </w:pPr>
      <w:r>
        <w:rPr>
          <w:rFonts w:ascii="Times New Roman" w:hAnsi="Times New Roman"/>
          <w:sz w:val="17"/>
        </w:rPr>
        <w:t xml:space="preserve">• </w:t>
      </w:r>
      <w:r>
        <w:rPr>
          <w:rFonts w:ascii="Times New Roman" w:hAnsi="Times New Roman"/>
          <w:sz w:val="17"/>
        </w:rPr>
        <w:t>Exact EPR recycling-target achievement is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A detailed consumer take-back network is not clearly described.</w:t>
      </w:r>
    </w:p>
    <w:p>
      <w:pPr>
        <w:pStyle w:val="JournalBullet"/>
        <w:widowControl/>
        <w:ind w:left="144" w:hanging="115"/>
      </w:pPr>
      <w:r>
        <w:rPr>
          <w:rFonts w:ascii="Times New Roman" w:hAnsi="Times New Roman"/>
          <w:sz w:val="17"/>
        </w:rPr>
        <w:t xml:space="preserve">• </w:t>
      </w:r>
      <w:r>
        <w:rPr>
          <w:rFonts w:ascii="Times New Roman" w:hAnsi="Times New Roman"/>
          <w:sz w:val="17"/>
        </w:rPr>
        <w:t>Current Rule 16 RoHS self-declaration and technical-document availability are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Product-wise EPR target/recycling reconciliation is not clearly provided.</w:t>
      </w:r>
    </w:p>
    <w:p>
      <w:pPr>
        <w:pStyle w:val="JournalSubhead"/>
        <w:widowControl/>
      </w:pPr>
      <w:r>
        <w:rPr>
          <w:rFonts w:ascii="Times New Roman" w:hAnsi="Times New Roman"/>
          <w:sz w:val="17"/>
        </w:rPr>
        <w:t>Implications</w:t>
      </w:r>
    </w:p>
    <w:p>
      <w:pPr>
        <w:pStyle w:val="JournalBullet"/>
        <w:widowControl/>
        <w:ind w:left="144" w:hanging="115"/>
      </w:pPr>
      <w:r>
        <w:rPr>
          <w:rFonts w:ascii="Times New Roman" w:hAnsi="Times New Roman"/>
          <w:sz w:val="17"/>
        </w:rPr>
        <w:t xml:space="preserve">• </w:t>
      </w:r>
      <w:r>
        <w:rPr>
          <w:rFonts w:ascii="Times New Roman" w:hAnsi="Times New Roman"/>
          <w:sz w:val="17"/>
        </w:rPr>
        <w:t>Environmental: controlled collection and authorised recycling reduce unsafe-disposal risk.</w:t>
      </w:r>
    </w:p>
    <w:p>
      <w:pPr>
        <w:pStyle w:val="JournalBullet"/>
        <w:widowControl/>
        <w:ind w:left="144" w:hanging="115"/>
      </w:pPr>
      <w:r>
        <w:rPr>
          <w:rFonts w:ascii="Times New Roman" w:hAnsi="Times New Roman"/>
          <w:sz w:val="17"/>
        </w:rPr>
        <w:t xml:space="preserve">• </w:t>
      </w:r>
      <w:r>
        <w:rPr>
          <w:rFonts w:ascii="Times New Roman" w:hAnsi="Times New Roman"/>
          <w:sz w:val="17"/>
        </w:rPr>
        <w:t>Compliance: measurable EPR data would improve external verification.</w:t>
      </w:r>
    </w:p>
    <w:p>
      <w:pPr>
        <w:pStyle w:val="JournalBullet"/>
        <w:widowControl/>
        <w:ind w:left="144" w:hanging="115"/>
      </w:pPr>
      <w:r>
        <w:rPr>
          <w:rFonts w:ascii="Times New Roman" w:hAnsi="Times New Roman"/>
          <w:sz w:val="17"/>
        </w:rPr>
        <w:t xml:space="preserve">• </w:t>
      </w:r>
      <w:r>
        <w:rPr>
          <w:rFonts w:ascii="Times New Roman" w:hAnsi="Times New Roman"/>
          <w:sz w:val="17"/>
        </w:rPr>
        <w:t>Operational: authorised recyclers support traceability and audit preparation.</w:t>
      </w:r>
    </w:p>
    <w:p>
      <w:pPr>
        <w:pStyle w:val="JournalBullet"/>
        <w:widowControl/>
        <w:ind w:left="144" w:hanging="115"/>
      </w:pPr>
      <w:r>
        <w:rPr>
          <w:rFonts w:ascii="Times New Roman" w:hAnsi="Times New Roman"/>
          <w:sz w:val="17"/>
        </w:rPr>
        <w:t xml:space="preserve">• </w:t>
      </w:r>
      <w:r>
        <w:rPr>
          <w:rFonts w:ascii="Times New Roman" w:hAnsi="Times New Roman"/>
          <w:sz w:val="17"/>
        </w:rPr>
        <w:t>Business: clearer EPR metrics could strengthen ESG credibility.</w:t>
      </w:r>
    </w:p>
    <w:p>
      <w:pPr>
        <w:pStyle w:val="JournalSection"/>
        <w:widowControl/>
      </w:pPr>
      <w:r>
        <w:rPr>
          <w:rFonts w:ascii="Times New Roman" w:hAnsi="Times New Roman"/>
          <w:sz w:val="17"/>
        </w:rPr>
        <w:t>3.3 SAHASRA ELECTRONICS PRIVATE LIMITED</w:t>
      </w:r>
    </w:p>
    <w:p>
      <w:pPr>
        <w:pStyle w:val="JournalSubhead"/>
        <w:widowControl/>
      </w:pPr>
      <w:r>
        <w:rPr>
          <w:rFonts w:ascii="Times New Roman" w:hAnsi="Times New Roman"/>
          <w:sz w:val="17"/>
        </w:rPr>
        <w:t>Rules followed / practices evidenced</w:t>
      </w:r>
    </w:p>
    <w:p>
      <w:pPr>
        <w:pStyle w:val="JournalBullet"/>
        <w:widowControl/>
        <w:ind w:left="144" w:hanging="115"/>
      </w:pPr>
      <w:r>
        <w:rPr>
          <w:rFonts w:ascii="Times New Roman" w:hAnsi="Times New Roman"/>
          <w:sz w:val="17"/>
        </w:rPr>
        <w:t xml:space="preserve">• </w:t>
      </w:r>
      <w:r>
        <w:rPr>
          <w:rFonts w:ascii="Times New Roman" w:hAnsi="Times New Roman"/>
          <w:sz w:val="17"/>
        </w:rPr>
        <w:t>An EPR Authorisation Certificate is publicly displayed.</w:t>
      </w:r>
    </w:p>
    <w:p>
      <w:pPr>
        <w:pStyle w:val="JournalBullet"/>
        <w:widowControl/>
        <w:ind w:left="144" w:hanging="115"/>
      </w:pPr>
      <w:r>
        <w:rPr>
          <w:rFonts w:ascii="Times New Roman" w:hAnsi="Times New Roman"/>
          <w:sz w:val="17"/>
        </w:rPr>
        <w:t xml:space="preserve">• </w:t>
      </w:r>
      <w:r>
        <w:rPr>
          <w:rFonts w:ascii="Times New Roman" w:hAnsi="Times New Roman"/>
          <w:sz w:val="17"/>
        </w:rPr>
        <w:t>An E-Waste Management authorisation is publicly displayed.</w:t>
      </w:r>
    </w:p>
    <w:p>
      <w:pPr>
        <w:pStyle w:val="JournalBullet"/>
        <w:widowControl/>
        <w:ind w:left="144" w:hanging="115"/>
      </w:pPr>
      <w:r>
        <w:rPr>
          <w:rFonts w:ascii="Times New Roman" w:hAnsi="Times New Roman"/>
          <w:sz w:val="17"/>
        </w:rPr>
        <w:t xml:space="preserve">• </w:t>
      </w:r>
      <w:r>
        <w:rPr>
          <w:rFonts w:ascii="Times New Roman" w:hAnsi="Times New Roman"/>
          <w:sz w:val="17"/>
        </w:rPr>
        <w:t>An authorised recycler/dismantler is used for collection and recycling.</w:t>
      </w:r>
    </w:p>
    <w:p>
      <w:pPr>
        <w:pStyle w:val="JournalBullet"/>
        <w:widowControl/>
        <w:ind w:left="144" w:hanging="115"/>
      </w:pPr>
      <w:r>
        <w:rPr>
          <w:rFonts w:ascii="Times New Roman" w:hAnsi="Times New Roman"/>
          <w:sz w:val="17"/>
        </w:rPr>
        <w:t xml:space="preserve">• </w:t>
      </w:r>
      <w:r>
        <w:rPr>
          <w:rFonts w:ascii="Times New Roman" w:hAnsi="Times New Roman"/>
          <w:sz w:val="17"/>
        </w:rPr>
        <w:t>A mechanism for collection of e-waste across India is provided.</w:t>
      </w:r>
    </w:p>
    <w:p>
      <w:pPr>
        <w:pStyle w:val="JournalBullet"/>
        <w:widowControl/>
        <w:ind w:left="144" w:hanging="115"/>
      </w:pPr>
      <w:r>
        <w:rPr>
          <w:rFonts w:ascii="Times New Roman" w:hAnsi="Times New Roman"/>
          <w:sz w:val="17"/>
        </w:rPr>
        <w:t xml:space="preserve">• </w:t>
      </w:r>
      <w:r>
        <w:rPr>
          <w:rFonts w:ascii="Times New Roman" w:hAnsi="Times New Roman"/>
          <w:sz w:val="17"/>
        </w:rPr>
        <w:t>Customers are directed to authorised collection/recycling channels.</w:t>
      </w:r>
    </w:p>
    <w:p>
      <w:pPr>
        <w:pStyle w:val="JournalSubhead"/>
        <w:widowControl/>
      </w:pPr>
      <w:r>
        <w:rPr>
          <w:rFonts w:ascii="Times New Roman" w:hAnsi="Times New Roman"/>
          <w:sz w:val="17"/>
        </w:rPr>
        <w:t>Rules not followed / not publicly evidenced</w:t>
      </w:r>
    </w:p>
    <w:p>
      <w:pPr>
        <w:pStyle w:val="JournalBullet"/>
        <w:widowControl/>
        <w:ind w:left="144" w:hanging="115"/>
      </w:pPr>
      <w:r>
        <w:rPr>
          <w:rFonts w:ascii="Times New Roman" w:hAnsi="Times New Roman"/>
          <w:sz w:val="17"/>
        </w:rPr>
        <w:t xml:space="preserve">• </w:t>
      </w:r>
      <w:r>
        <w:rPr>
          <w:rFonts w:ascii="Times New Roman" w:hAnsi="Times New Roman"/>
          <w:sz w:val="17"/>
        </w:rPr>
        <w:t>The public e-waste page reviewed prominently cites the older 2016/2018 framework rather than clearly explaining the 2022 Rules.</w:t>
      </w:r>
    </w:p>
    <w:p>
      <w:pPr>
        <w:pStyle w:val="JournalBullet"/>
        <w:widowControl/>
        <w:ind w:left="144" w:hanging="115"/>
      </w:pPr>
      <w:r>
        <w:rPr>
          <w:rFonts w:ascii="Times New Roman" w:hAnsi="Times New Roman"/>
          <w:sz w:val="17"/>
        </w:rPr>
        <w:t xml:space="preserve">• </w:t>
      </w:r>
      <w:r>
        <w:rPr>
          <w:rFonts w:ascii="Times New Roman" w:hAnsi="Times New Roman"/>
          <w:sz w:val="17"/>
        </w:rPr>
        <w:t>Current statutory 70% EPR target achievement is not publicly quantified.</w:t>
      </w:r>
    </w:p>
    <w:p>
      <w:pPr>
        <w:pStyle w:val="JournalBullet"/>
        <w:widowControl/>
        <w:ind w:left="144" w:hanging="115"/>
      </w:pPr>
      <w:r>
        <w:rPr>
          <w:rFonts w:ascii="Times New Roman" w:hAnsi="Times New Roman"/>
          <w:sz w:val="17"/>
        </w:rPr>
        <w:t xml:space="preserve">• </w:t>
      </w:r>
      <w:r>
        <w:rPr>
          <w:rFonts w:ascii="Times New Roman" w:hAnsi="Times New Roman"/>
          <w:sz w:val="17"/>
        </w:rPr>
        <w:t>Quarterly/annual EPR return figures and EPR certificate transactions are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Current Rule 16 RoHS declarations and technical-document availability are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Current product-wise reconciliation against the 2022 EPR targets is not publicly shown.</w:t>
      </w:r>
    </w:p>
    <w:p>
      <w:pPr>
        <w:pStyle w:val="JournalSubhead"/>
        <w:widowControl/>
      </w:pPr>
      <w:r>
        <w:rPr>
          <w:rFonts w:ascii="Times New Roman" w:hAnsi="Times New Roman"/>
          <w:sz w:val="17"/>
        </w:rPr>
        <w:t>Implications</w:t>
      </w:r>
    </w:p>
    <w:p>
      <w:pPr>
        <w:pStyle w:val="JournalBullet"/>
        <w:widowControl/>
        <w:ind w:left="144" w:hanging="115"/>
      </w:pPr>
      <w:r>
        <w:rPr>
          <w:rFonts w:ascii="Times New Roman" w:hAnsi="Times New Roman"/>
          <w:sz w:val="17"/>
        </w:rPr>
        <w:t xml:space="preserve">• </w:t>
      </w:r>
      <w:r>
        <w:rPr>
          <w:rFonts w:ascii="Times New Roman" w:hAnsi="Times New Roman"/>
          <w:sz w:val="17"/>
        </w:rPr>
        <w:t>Environmental: authorised collection creates a formal route for end-of-life electronics.</w:t>
      </w:r>
    </w:p>
    <w:p>
      <w:pPr>
        <w:pStyle w:val="JournalBullet"/>
        <w:widowControl/>
        <w:ind w:left="144" w:hanging="115"/>
      </w:pPr>
      <w:r>
        <w:rPr>
          <w:rFonts w:ascii="Times New Roman" w:hAnsi="Times New Roman"/>
          <w:sz w:val="17"/>
        </w:rPr>
        <w:t xml:space="preserve">• </w:t>
      </w:r>
      <w:r>
        <w:rPr>
          <w:rFonts w:ascii="Times New Roman" w:hAnsi="Times New Roman"/>
          <w:sz w:val="17"/>
        </w:rPr>
        <w:t>Compliance: updating public disclosures to the 2022 Rules would reduce ambiguity.</w:t>
      </w:r>
    </w:p>
    <w:p>
      <w:pPr>
        <w:pStyle w:val="JournalBullet"/>
        <w:widowControl/>
        <w:ind w:left="144" w:hanging="115"/>
      </w:pPr>
      <w:r>
        <w:rPr>
          <w:rFonts w:ascii="Times New Roman" w:hAnsi="Times New Roman"/>
          <w:sz w:val="17"/>
        </w:rPr>
        <w:t xml:space="preserve">• </w:t>
      </w:r>
      <w:r>
        <w:rPr>
          <w:rFonts w:ascii="Times New Roman" w:hAnsi="Times New Roman"/>
          <w:sz w:val="17"/>
        </w:rPr>
        <w:t>Operational: nationwide collection can improve reverse logistics and traceability.</w:t>
      </w:r>
    </w:p>
    <w:p>
      <w:pPr>
        <w:pStyle w:val="JournalBullet"/>
        <w:widowControl/>
        <w:ind w:left="144" w:hanging="115"/>
      </w:pPr>
      <w:r>
        <w:rPr>
          <w:rFonts w:ascii="Times New Roman" w:hAnsi="Times New Roman"/>
          <w:sz w:val="17"/>
        </w:rPr>
        <w:t xml:space="preserve">• </w:t>
      </w:r>
      <w:r>
        <w:rPr>
          <w:rFonts w:ascii="Times New Roman" w:hAnsi="Times New Roman"/>
          <w:sz w:val="17"/>
        </w:rPr>
        <w:t>Reputation: measurable EPR reporting would improve transparency.</w:t>
      </w:r>
    </w:p>
    <w:p>
      <w:pPr>
        <w:pStyle w:val="JournalSection"/>
        <w:widowControl/>
      </w:pPr>
      <w:r>
        <w:rPr>
          <w:rFonts w:ascii="Times New Roman" w:hAnsi="Times New Roman"/>
          <w:sz w:val="17"/>
        </w:rPr>
        <w:t>3.4 SYRMA SGS TECHNOLOGY LIMITED</w:t>
      </w:r>
    </w:p>
    <w:p>
      <w:pPr>
        <w:pStyle w:val="JournalSubhead"/>
        <w:widowControl/>
      </w:pPr>
      <w:r>
        <w:rPr>
          <w:rFonts w:ascii="Times New Roman" w:hAnsi="Times New Roman"/>
          <w:sz w:val="17"/>
        </w:rPr>
        <w:t>Rules followed / practices evidenced</w:t>
      </w:r>
    </w:p>
    <w:p>
      <w:pPr>
        <w:pStyle w:val="JournalBullet"/>
        <w:widowControl/>
        <w:ind w:left="144" w:hanging="115"/>
      </w:pPr>
      <w:r>
        <w:rPr>
          <w:rFonts w:ascii="Times New Roman" w:hAnsi="Times New Roman"/>
          <w:sz w:val="17"/>
        </w:rPr>
        <w:t xml:space="preserve">• </w:t>
      </w:r>
      <w:r>
        <w:rPr>
          <w:rFonts w:ascii="Times New Roman" w:hAnsi="Times New Roman"/>
          <w:sz w:val="17"/>
        </w:rPr>
        <w:t>An authorised recycler/dismantler is used for collection, transportation, storage, segregation, dismantling and recycling.</w:t>
      </w:r>
    </w:p>
    <w:p>
      <w:pPr>
        <w:pStyle w:val="JournalBullet"/>
        <w:widowControl/>
        <w:ind w:left="144" w:hanging="115"/>
      </w:pPr>
      <w:r>
        <w:rPr>
          <w:rFonts w:ascii="Times New Roman" w:hAnsi="Times New Roman"/>
          <w:sz w:val="17"/>
        </w:rPr>
        <w:t xml:space="preserve">• </w:t>
      </w:r>
      <w:r>
        <w:rPr>
          <w:rFonts w:ascii="Times New Roman" w:hAnsi="Times New Roman"/>
          <w:sz w:val="17"/>
        </w:rPr>
        <w:t>Authorised e-waste collection points and disposal channels are provided.</w:t>
      </w:r>
    </w:p>
    <w:p>
      <w:pPr>
        <w:pStyle w:val="JournalBullet"/>
        <w:widowControl/>
        <w:ind w:left="144" w:hanging="115"/>
      </w:pPr>
      <w:r>
        <w:rPr>
          <w:rFonts w:ascii="Times New Roman" w:hAnsi="Times New Roman"/>
          <w:sz w:val="17"/>
        </w:rPr>
        <w:t xml:space="preserve">• </w:t>
      </w:r>
      <w:r>
        <w:rPr>
          <w:rFonts w:ascii="Times New Roman" w:hAnsi="Times New Roman"/>
          <w:sz w:val="17"/>
        </w:rPr>
        <w:t>Customers are advised not to use informal/unorganised scrap channels.</w:t>
      </w:r>
    </w:p>
    <w:p>
      <w:pPr>
        <w:pStyle w:val="JournalBullet"/>
        <w:widowControl/>
        <w:ind w:left="144" w:hanging="115"/>
      </w:pPr>
      <w:r>
        <w:rPr>
          <w:rFonts w:ascii="Times New Roman" w:hAnsi="Times New Roman"/>
          <w:sz w:val="17"/>
        </w:rPr>
        <w:t xml:space="preserve">• </w:t>
      </w:r>
      <w:r>
        <w:rPr>
          <w:rFonts w:ascii="Times New Roman" w:hAnsi="Times New Roman"/>
          <w:sz w:val="17"/>
        </w:rPr>
        <w:t>Lead-free, RoHS- and REACH-compliant materials are reported.</w:t>
      </w:r>
    </w:p>
    <w:p>
      <w:pPr>
        <w:pStyle w:val="JournalBullet"/>
        <w:widowControl/>
        <w:ind w:left="144" w:hanging="115"/>
      </w:pPr>
      <w:r>
        <w:rPr>
          <w:rFonts w:ascii="Times New Roman" w:hAnsi="Times New Roman"/>
          <w:sz w:val="17"/>
        </w:rPr>
        <w:t xml:space="preserve">• </w:t>
      </w:r>
      <w:r>
        <w:rPr>
          <w:rFonts w:ascii="Times New Roman" w:hAnsi="Times New Roman"/>
          <w:sz w:val="17"/>
        </w:rPr>
        <w:t>Waste-management practices are reported as aligned with ISO 14001 principles.</w:t>
      </w:r>
    </w:p>
    <w:p>
      <w:pPr>
        <w:pStyle w:val="JournalSubhead"/>
        <w:widowControl/>
      </w:pPr>
      <w:r>
        <w:rPr>
          <w:rFonts w:ascii="Times New Roman" w:hAnsi="Times New Roman"/>
          <w:sz w:val="17"/>
        </w:rPr>
        <w:t>Rules not followed / not publicly evidenced</w:t>
      </w:r>
    </w:p>
    <w:p>
      <w:pPr>
        <w:pStyle w:val="JournalBullet"/>
        <w:widowControl/>
        <w:ind w:left="144" w:hanging="115"/>
      </w:pPr>
      <w:r>
        <w:rPr>
          <w:rFonts w:ascii="Times New Roman" w:hAnsi="Times New Roman"/>
          <w:sz w:val="17"/>
        </w:rPr>
        <w:t xml:space="preserve">• </w:t>
      </w:r>
      <w:r>
        <w:rPr>
          <w:rFonts w:ascii="Times New Roman" w:hAnsi="Times New Roman"/>
          <w:sz w:val="17"/>
        </w:rPr>
        <w:t>Exact e-waste EPR recycling-target achievement is not clearly stated.</w:t>
      </w:r>
    </w:p>
    <w:p>
      <w:pPr>
        <w:pStyle w:val="JournalBullet"/>
        <w:widowControl/>
        <w:ind w:left="144" w:hanging="115"/>
      </w:pPr>
      <w:r>
        <w:rPr>
          <w:rFonts w:ascii="Times New Roman" w:hAnsi="Times New Roman"/>
          <w:sz w:val="17"/>
        </w:rPr>
        <w:t xml:space="preserve">• </w:t>
      </w:r>
      <w:r>
        <w:rPr>
          <w:rFonts w:ascii="Times New Roman" w:hAnsi="Times New Roman"/>
          <w:sz w:val="17"/>
        </w:rPr>
        <w:t>EPR certificate purchase/transaction details are not publicly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Quarterly/annual EPR portal return figures are not clearly presented.</w:t>
      </w:r>
    </w:p>
    <w:p>
      <w:pPr>
        <w:pStyle w:val="JournalBullet"/>
        <w:widowControl/>
        <w:ind w:left="144" w:hanging="115"/>
      </w:pPr>
      <w:r>
        <w:rPr>
          <w:rFonts w:ascii="Times New Roman" w:hAnsi="Times New Roman"/>
          <w:sz w:val="17"/>
        </w:rPr>
        <w:t xml:space="preserve">• </w:t>
      </w:r>
      <w:r>
        <w:rPr>
          <w:rFonts w:ascii="Times New Roman" w:hAnsi="Times New Roman"/>
          <w:sz w:val="17"/>
        </w:rPr>
        <w:t>As a B2B contract manufacturer, a consumer take-back programme for finished products is not reported.</w:t>
      </w:r>
    </w:p>
    <w:p>
      <w:pPr>
        <w:pStyle w:val="JournalBullet"/>
        <w:widowControl/>
        <w:ind w:left="144" w:hanging="115"/>
      </w:pPr>
      <w:r>
        <w:rPr>
          <w:rFonts w:ascii="Times New Roman" w:hAnsi="Times New Roman"/>
          <w:sz w:val="17"/>
        </w:rPr>
        <w:t xml:space="preserve">• </w:t>
      </w:r>
      <w:r>
        <w:rPr>
          <w:rFonts w:ascii="Times New Roman" w:hAnsi="Times New Roman"/>
          <w:sz w:val="17"/>
        </w:rPr>
        <w:t>Current Rule 16 producer-registration/RoHS documentation details are not clearly presented.</w:t>
      </w:r>
    </w:p>
    <w:p>
      <w:pPr>
        <w:pStyle w:val="JournalSubhead"/>
        <w:widowControl/>
      </w:pPr>
      <w:r>
        <w:rPr>
          <w:rFonts w:ascii="Times New Roman" w:hAnsi="Times New Roman"/>
          <w:sz w:val="17"/>
        </w:rPr>
        <w:t>Implications</w:t>
      </w:r>
    </w:p>
    <w:p>
      <w:pPr>
        <w:pStyle w:val="JournalBullet"/>
        <w:widowControl/>
        <w:ind w:left="144" w:hanging="115"/>
      </w:pPr>
      <w:r>
        <w:rPr>
          <w:rFonts w:ascii="Times New Roman" w:hAnsi="Times New Roman"/>
          <w:sz w:val="17"/>
        </w:rPr>
        <w:t xml:space="preserve">• </w:t>
      </w:r>
      <w:r>
        <w:rPr>
          <w:rFonts w:ascii="Times New Roman" w:hAnsi="Times New Roman"/>
          <w:sz w:val="17"/>
        </w:rPr>
        <w:t>Environmental: authorised collection and recycling reduce unsafe dismantling risk.</w:t>
      </w:r>
    </w:p>
    <w:p>
      <w:pPr>
        <w:pStyle w:val="JournalBullet"/>
        <w:widowControl/>
        <w:ind w:left="144" w:hanging="115"/>
      </w:pPr>
      <w:r>
        <w:rPr>
          <w:rFonts w:ascii="Times New Roman" w:hAnsi="Times New Roman"/>
          <w:sz w:val="17"/>
        </w:rPr>
        <w:t xml:space="preserve">• </w:t>
      </w:r>
      <w:r>
        <w:rPr>
          <w:rFonts w:ascii="Times New Roman" w:hAnsi="Times New Roman"/>
          <w:sz w:val="17"/>
        </w:rPr>
        <w:t>Compliance: material controls support hazardous-substance management, but EPR performance needs measurable evidence.</w:t>
      </w:r>
    </w:p>
    <w:p>
      <w:pPr>
        <w:pStyle w:val="JournalBullet"/>
        <w:widowControl/>
        <w:ind w:left="144" w:hanging="115"/>
      </w:pPr>
      <w:r>
        <w:rPr>
          <w:rFonts w:ascii="Times New Roman" w:hAnsi="Times New Roman"/>
          <w:sz w:val="17"/>
        </w:rPr>
        <w:t xml:space="preserve">• </w:t>
      </w:r>
      <w:r>
        <w:rPr>
          <w:rFonts w:ascii="Times New Roman" w:hAnsi="Times New Roman"/>
          <w:sz w:val="17"/>
        </w:rPr>
        <w:t>Operational: a dedicated recycler simplifies traceability.</w:t>
      </w:r>
    </w:p>
    <w:p>
      <w:pPr>
        <w:pStyle w:val="JournalBullet"/>
        <w:widowControl/>
        <w:ind w:left="144" w:hanging="115"/>
      </w:pPr>
      <w:r>
        <w:rPr>
          <w:rFonts w:ascii="Times New Roman" w:hAnsi="Times New Roman"/>
          <w:sz w:val="17"/>
        </w:rPr>
        <w:t xml:space="preserve">• </w:t>
      </w:r>
      <w:r>
        <w:rPr>
          <w:rFonts w:ascii="Times New Roman" w:hAnsi="Times New Roman"/>
          <w:sz w:val="17"/>
        </w:rPr>
        <w:t>Business: clearly separating manufacturing waste from customer end-of-life products helps stakeholders.</w:t>
      </w:r>
    </w:p>
    <w:p>
      <w:pPr>
        <w:pStyle w:val="JournalSection"/>
        <w:widowControl/>
      </w:pPr>
      <w:r>
        <w:rPr>
          <w:rFonts w:ascii="Times New Roman" w:hAnsi="Times New Roman"/>
          <w:sz w:val="17"/>
        </w:rPr>
        <w:t>3.5 CENTUM ELECTRONICS LIMITED</w:t>
      </w:r>
    </w:p>
    <w:p>
      <w:pPr>
        <w:pStyle w:val="JournalSubhead"/>
        <w:widowControl/>
      </w:pPr>
      <w:r>
        <w:rPr>
          <w:rFonts w:ascii="Times New Roman" w:hAnsi="Times New Roman"/>
          <w:sz w:val="17"/>
        </w:rPr>
        <w:t>Rules followed / practices evidenced</w:t>
      </w:r>
    </w:p>
    <w:p>
      <w:pPr>
        <w:pStyle w:val="JournalBullet"/>
        <w:widowControl/>
        <w:ind w:left="144" w:hanging="115"/>
      </w:pPr>
      <w:r>
        <w:rPr>
          <w:rFonts w:ascii="Times New Roman" w:hAnsi="Times New Roman"/>
          <w:sz w:val="17"/>
        </w:rPr>
        <w:t xml:space="preserve">• </w:t>
      </w:r>
      <w:r>
        <w:rPr>
          <w:rFonts w:ascii="Times New Roman" w:hAnsi="Times New Roman"/>
          <w:sz w:val="17"/>
        </w:rPr>
        <w:t>E-waste is reported as disposed through an approved e-waste recycler.</w:t>
      </w:r>
    </w:p>
    <w:p>
      <w:pPr>
        <w:pStyle w:val="JournalBullet"/>
        <w:widowControl/>
        <w:ind w:left="144" w:hanging="115"/>
      </w:pPr>
      <w:r>
        <w:rPr>
          <w:rFonts w:ascii="Times New Roman" w:hAnsi="Times New Roman"/>
          <w:sz w:val="17"/>
        </w:rPr>
        <w:t xml:space="preserve">• </w:t>
      </w:r>
      <w:r>
        <w:rPr>
          <w:rFonts w:ascii="Times New Roman" w:hAnsi="Times New Roman"/>
          <w:sz w:val="17"/>
        </w:rPr>
        <w:t>Collection, segregation, storage and disposal processes are reported.</w:t>
      </w:r>
    </w:p>
    <w:p>
      <w:pPr>
        <w:pStyle w:val="JournalBullet"/>
        <w:widowControl/>
        <w:ind w:left="144" w:hanging="115"/>
      </w:pPr>
      <w:r>
        <w:rPr>
          <w:rFonts w:ascii="Times New Roman" w:hAnsi="Times New Roman"/>
          <w:sz w:val="17"/>
        </w:rPr>
        <w:t xml:space="preserve">• </w:t>
      </w:r>
      <w:r>
        <w:rPr>
          <w:rFonts w:ascii="Times New Roman" w:hAnsi="Times New Roman"/>
          <w:sz w:val="17"/>
        </w:rPr>
        <w:t>Authorised vendors/recyclers are used for waste streams.</w:t>
      </w:r>
    </w:p>
    <w:p>
      <w:pPr>
        <w:pStyle w:val="JournalBullet"/>
        <w:widowControl/>
        <w:ind w:left="144" w:hanging="115"/>
      </w:pPr>
      <w:r>
        <w:rPr>
          <w:rFonts w:ascii="Times New Roman" w:hAnsi="Times New Roman"/>
          <w:sz w:val="17"/>
        </w:rPr>
        <w:t xml:space="preserve">• </w:t>
      </w:r>
      <w:r>
        <w:rPr>
          <w:rFonts w:ascii="Times New Roman" w:hAnsi="Times New Roman"/>
          <w:sz w:val="17"/>
        </w:rPr>
        <w:t>A Life Cycle Assessment process is reported.</w:t>
      </w:r>
    </w:p>
    <w:p>
      <w:pPr>
        <w:pStyle w:val="JournalBullet"/>
        <w:widowControl/>
        <w:ind w:left="144" w:hanging="115"/>
      </w:pPr>
      <w:r>
        <w:rPr>
          <w:rFonts w:ascii="Times New Roman" w:hAnsi="Times New Roman"/>
          <w:sz w:val="17"/>
        </w:rPr>
        <w:t xml:space="preserve">• </w:t>
      </w:r>
      <w:r>
        <w:rPr>
          <w:rFonts w:ascii="Times New Roman" w:hAnsi="Times New Roman"/>
          <w:sz w:val="17"/>
        </w:rPr>
        <w:t>FY 2024-25 reporting records 6.30 MT of e-waste generated.</w:t>
      </w:r>
    </w:p>
    <w:p>
      <w:pPr>
        <w:pStyle w:val="JournalBullet"/>
        <w:widowControl/>
        <w:ind w:left="144" w:hanging="115"/>
      </w:pPr>
      <w:r>
        <w:rPr>
          <w:rFonts w:ascii="Times New Roman" w:hAnsi="Times New Roman"/>
          <w:sz w:val="17"/>
        </w:rPr>
        <w:t xml:space="preserve">• </w:t>
      </w:r>
      <w:r>
        <w:rPr>
          <w:rFonts w:ascii="Times New Roman" w:hAnsi="Times New Roman"/>
          <w:sz w:val="17"/>
        </w:rPr>
        <w:t>Recovery/recycling and reuse data are included in waste-management disclosures.</w:t>
      </w:r>
    </w:p>
    <w:p>
      <w:pPr>
        <w:pStyle w:val="JournalSubhead"/>
        <w:widowControl/>
      </w:pPr>
      <w:r>
        <w:rPr>
          <w:rFonts w:ascii="Times New Roman" w:hAnsi="Times New Roman"/>
          <w:sz w:val="17"/>
        </w:rPr>
        <w:t>Rules not followed / not publicly evidenced</w:t>
      </w:r>
    </w:p>
    <w:p>
      <w:pPr>
        <w:pStyle w:val="JournalBullet"/>
        <w:widowControl/>
        <w:ind w:left="144" w:hanging="115"/>
      </w:pPr>
      <w:r>
        <w:rPr>
          <w:rFonts w:ascii="Times New Roman" w:hAnsi="Times New Roman"/>
          <w:sz w:val="17"/>
        </w:rPr>
        <w:t xml:space="preserve">• </w:t>
      </w:r>
      <w:r>
        <w:rPr>
          <w:rFonts w:ascii="Times New Roman" w:hAnsi="Times New Roman"/>
          <w:sz w:val="17"/>
        </w:rPr>
        <w:t>The FY 2024-25 report states that EPR is 'Not Applicable' to the entity's activities.</w:t>
      </w:r>
    </w:p>
    <w:p>
      <w:pPr>
        <w:pStyle w:val="JournalBullet"/>
        <w:widowControl/>
        <w:ind w:left="144" w:hanging="115"/>
      </w:pPr>
      <w:r>
        <w:rPr>
          <w:rFonts w:ascii="Times New Roman" w:hAnsi="Times New Roman"/>
          <w:sz w:val="17"/>
        </w:rPr>
        <w:t xml:space="preserve">• </w:t>
      </w:r>
      <w:r>
        <w:rPr>
          <w:rFonts w:ascii="Times New Roman" w:hAnsi="Times New Roman"/>
          <w:sz w:val="17"/>
        </w:rPr>
        <w:t>No current e-waste EPR recycling percentage is reported against statutory producer targets.</w:t>
      </w:r>
    </w:p>
    <w:p>
      <w:pPr>
        <w:pStyle w:val="JournalBullet"/>
        <w:widowControl/>
        <w:ind w:left="144" w:hanging="115"/>
      </w:pPr>
      <w:r>
        <w:rPr>
          <w:rFonts w:ascii="Times New Roman" w:hAnsi="Times New Roman"/>
          <w:sz w:val="17"/>
        </w:rPr>
        <w:t xml:space="preserve">• </w:t>
      </w:r>
      <w:r>
        <w:rPr>
          <w:rFonts w:ascii="Times New Roman" w:hAnsi="Times New Roman"/>
          <w:sz w:val="17"/>
        </w:rPr>
        <w:t>EPR certificate purchase/transaction details are not disclosed.</w:t>
      </w:r>
    </w:p>
    <w:p>
      <w:pPr>
        <w:pStyle w:val="JournalBullet"/>
        <w:widowControl/>
        <w:ind w:left="144" w:hanging="115"/>
      </w:pPr>
      <w:r>
        <w:rPr>
          <w:rFonts w:ascii="Times New Roman" w:hAnsi="Times New Roman"/>
          <w:sz w:val="17"/>
        </w:rPr>
        <w:t xml:space="preserve">• </w:t>
      </w:r>
      <w:r>
        <w:rPr>
          <w:rFonts w:ascii="Times New Roman" w:hAnsi="Times New Roman"/>
          <w:sz w:val="17"/>
        </w:rPr>
        <w:t>Quarterly/annual e-waste EPR portal return details are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Current Rule 16 RoHS self-declaration and technical-document availability are not clearly disclosed.</w:t>
      </w:r>
    </w:p>
    <w:p>
      <w:pPr>
        <w:pStyle w:val="JournalBullet"/>
        <w:widowControl/>
        <w:ind w:left="144" w:hanging="115"/>
      </w:pPr>
      <w:r>
        <w:rPr>
          <w:rFonts w:ascii="Times New Roman" w:hAnsi="Times New Roman"/>
          <w:sz w:val="17"/>
        </w:rPr>
        <w:t xml:space="preserve">• </w:t>
      </w:r>
      <w:r>
        <w:rPr>
          <w:rFonts w:ascii="Times New Roman" w:hAnsi="Times New Roman"/>
          <w:sz w:val="17"/>
        </w:rPr>
        <w:t>A consumer-facing e-waste take-back programme is not clearly described.</w:t>
      </w:r>
    </w:p>
    <w:p>
      <w:pPr>
        <w:pStyle w:val="JournalSubhead"/>
        <w:widowControl/>
      </w:pPr>
      <w:r>
        <w:rPr>
          <w:rFonts w:ascii="Times New Roman" w:hAnsi="Times New Roman"/>
          <w:sz w:val="17"/>
        </w:rPr>
        <w:t>Implications</w:t>
      </w:r>
    </w:p>
    <w:p>
      <w:pPr>
        <w:pStyle w:val="JournalBullet"/>
        <w:widowControl/>
        <w:ind w:left="144" w:hanging="115"/>
      </w:pPr>
      <w:r>
        <w:rPr>
          <w:rFonts w:ascii="Times New Roman" w:hAnsi="Times New Roman"/>
          <w:sz w:val="17"/>
        </w:rPr>
        <w:t xml:space="preserve">• </w:t>
      </w:r>
      <w:r>
        <w:rPr>
          <w:rFonts w:ascii="Times New Roman" w:hAnsi="Times New Roman"/>
          <w:sz w:val="17"/>
        </w:rPr>
        <w:t>Environmental: approved recycling and controlled handling reduce improper-disposal risk.</w:t>
      </w:r>
    </w:p>
    <w:p>
      <w:pPr>
        <w:pStyle w:val="JournalBullet"/>
        <w:widowControl/>
        <w:ind w:left="144" w:hanging="115"/>
      </w:pPr>
      <w:r>
        <w:rPr>
          <w:rFonts w:ascii="Times New Roman" w:hAnsi="Times New Roman"/>
          <w:sz w:val="17"/>
        </w:rPr>
        <w:t xml:space="preserve">• </w:t>
      </w:r>
      <w:r>
        <w:rPr>
          <w:rFonts w:ascii="Times New Roman" w:hAnsi="Times New Roman"/>
          <w:sz w:val="17"/>
        </w:rPr>
        <w:t>Compliance: the stated EPR non-applicability should remain supported by the company's activity scope.</w:t>
      </w:r>
    </w:p>
    <w:p>
      <w:pPr>
        <w:pStyle w:val="JournalBullet"/>
        <w:widowControl/>
        <w:ind w:left="144" w:hanging="115"/>
      </w:pPr>
      <w:r>
        <w:rPr>
          <w:rFonts w:ascii="Times New Roman" w:hAnsi="Times New Roman"/>
          <w:sz w:val="17"/>
        </w:rPr>
        <w:t xml:space="preserve">• </w:t>
      </w:r>
      <w:r>
        <w:rPr>
          <w:rFonts w:ascii="Times New Roman" w:hAnsi="Times New Roman"/>
          <w:sz w:val="17"/>
        </w:rPr>
        <w:t>Operational: waste quantities and approved vendors improve traceability.</w:t>
      </w:r>
    </w:p>
    <w:p>
      <w:pPr>
        <w:pStyle w:val="JournalBullet"/>
        <w:widowControl/>
        <w:ind w:left="144" w:hanging="115"/>
      </w:pPr>
      <w:r>
        <w:rPr>
          <w:rFonts w:ascii="Times New Roman" w:hAnsi="Times New Roman"/>
          <w:sz w:val="17"/>
        </w:rPr>
        <w:t xml:space="preserve">• </w:t>
      </w:r>
      <w:r>
        <w:rPr>
          <w:rFonts w:ascii="Times New Roman" w:hAnsi="Times New Roman"/>
          <w:sz w:val="17"/>
        </w:rPr>
        <w:t>Reputation: clearly explaining EPR applicability reduces stakeholder ambiguity.</w:t>
      </w:r>
    </w:p>
    <w:p>
      <w:pPr>
        <w:pStyle w:val="JournalSection"/>
        <w:widowControl/>
      </w:pPr>
      <w:r>
        <w:rPr>
          <w:rFonts w:ascii="Times New Roman" w:hAnsi="Times New Roman"/>
          <w:sz w:val="17"/>
        </w:rPr>
        <w:t>4. OVERALL IMPLICATIONS</w:t>
      </w:r>
    </w:p>
    <w:p>
      <w:pPr>
        <w:pStyle w:val="JournalBody"/>
        <w:widowControl/>
      </w:pPr>
      <w:r>
        <w:rPr>
          <w:rFonts w:ascii="Times New Roman" w:hAnsi="Times New Roman"/>
          <w:b/>
          <w:sz w:val="17"/>
        </w:rPr>
        <w:t xml:space="preserve">Environmental: </w:t>
      </w:r>
      <w:r>
        <w:rPr>
          <w:rFonts w:ascii="Times New Roman" w:hAnsi="Times New Roman"/>
          <w:sz w:val="17"/>
        </w:rPr>
        <w:t>Authorised collection and recycling can reduce uncontrolled disposal and support recovery of useful materials. The supplied research paper emphasises safe treatment and improved recovery. fileciteturn1file0L694-L739</w:t>
      </w:r>
    </w:p>
    <w:p>
      <w:pPr>
        <w:pStyle w:val="JournalBody"/>
        <w:widowControl/>
      </w:pPr>
      <w:r>
        <w:rPr>
          <w:rFonts w:ascii="Times New Roman" w:hAnsi="Times New Roman"/>
          <w:b/>
          <w:sz w:val="17"/>
        </w:rPr>
        <w:t xml:space="preserve">Health: </w:t>
      </w:r>
      <w:r>
        <w:rPr>
          <w:rFonts w:ascii="Times New Roman" w:hAnsi="Times New Roman"/>
          <w:sz w:val="17"/>
        </w:rPr>
        <w:t>Poor e-waste handling can expose workers and communities to hazardous substances; formal recycling and safe handling reduce these risks. fileciteturn1file0L174-L281</w:t>
      </w:r>
    </w:p>
    <w:p>
      <w:pPr>
        <w:pStyle w:val="JournalBody"/>
        <w:widowControl/>
      </w:pPr>
      <w:r>
        <w:rPr>
          <w:rFonts w:ascii="Times New Roman" w:hAnsi="Times New Roman"/>
          <w:b/>
          <w:sz w:val="17"/>
        </w:rPr>
        <w:t xml:space="preserve">Compliance: </w:t>
      </w:r>
      <w:r>
        <w:rPr>
          <w:rFonts w:ascii="Times New Roman" w:hAnsi="Times New Roman"/>
          <w:sz w:val="17"/>
        </w:rPr>
        <w:t>EPR registration, targets, returns and documentation make producer responsibility measurable. Environmental compensation is provided for violations under the framework.</w:t>
      </w:r>
    </w:p>
    <w:p>
      <w:pPr>
        <w:pStyle w:val="JournalBody"/>
        <w:widowControl/>
      </w:pPr>
      <w:r>
        <w:rPr>
          <w:rFonts w:ascii="Times New Roman" w:hAnsi="Times New Roman"/>
          <w:b/>
          <w:sz w:val="17"/>
        </w:rPr>
        <w:t xml:space="preserve">Operational: </w:t>
      </w:r>
      <w:r>
        <w:rPr>
          <w:rFonts w:ascii="Times New Roman" w:hAnsi="Times New Roman"/>
          <w:sz w:val="17"/>
        </w:rPr>
        <w:t>Authorised recyclers, collection systems, records and audits improve traceability and control of waste flows.</w:t>
      </w:r>
    </w:p>
    <w:p>
      <w:pPr>
        <w:pStyle w:val="JournalBody"/>
        <w:widowControl/>
      </w:pPr>
      <w:r>
        <w:rPr>
          <w:rFonts w:ascii="Times New Roman" w:hAnsi="Times New Roman"/>
          <w:b/>
          <w:sz w:val="17"/>
        </w:rPr>
        <w:t xml:space="preserve">Financial: </w:t>
      </w:r>
      <w:r>
        <w:rPr>
          <w:rFonts w:ascii="Times New Roman" w:hAnsi="Times New Roman"/>
          <w:sz w:val="17"/>
        </w:rPr>
        <w:t>EPR compliance can involve recycling and certificate-related costs, while material recovery can support resource efficiency.</w:t>
      </w:r>
    </w:p>
    <w:p>
      <w:pPr>
        <w:pStyle w:val="JournalBody"/>
        <w:widowControl/>
      </w:pPr>
      <w:r>
        <w:rPr>
          <w:rFonts w:ascii="Times New Roman" w:hAnsi="Times New Roman"/>
          <w:b/>
          <w:sz w:val="17"/>
        </w:rPr>
        <w:t xml:space="preserve">Reputation: </w:t>
      </w:r>
      <w:r>
        <w:rPr>
          <w:rFonts w:ascii="Times New Roman" w:hAnsi="Times New Roman"/>
          <w:sz w:val="17"/>
        </w:rPr>
        <w:t>Transparent EPR and recycling reporting can strengthen ESG credibility and stakeholder confidence.</w:t>
      </w:r>
    </w:p>
    <w:p>
      <w:pPr>
        <w:pStyle w:val="JournalBody"/>
        <w:widowControl/>
      </w:pPr>
      <w:r>
        <w:rPr>
          <w:rFonts w:ascii="Times New Roman" w:hAnsi="Times New Roman"/>
          <w:b/>
          <w:sz w:val="17"/>
        </w:rPr>
        <w:t xml:space="preserve">Circular economy: </w:t>
      </w:r>
      <w:r>
        <w:rPr>
          <w:rFonts w:ascii="Times New Roman" w:hAnsi="Times New Roman"/>
          <w:sz w:val="17"/>
        </w:rPr>
        <w:t>Reuse, recovery and recycling allow valuable secondary raw materials to re-enter manufacturing and can reduce dependence on virgin resources. fileciteturn1file0L715-L739</w:t>
      </w:r>
    </w:p>
    <w:p>
      <w:pPr>
        <w:pStyle w:val="JournalSection"/>
        <w:widowControl/>
      </w:pPr>
      <w:r>
        <w:rPr>
          <w:rFonts w:ascii="Times New Roman" w:hAnsi="Times New Roman"/>
          <w:sz w:val="17"/>
        </w:rPr>
        <w:t>5. FINDINGS AND DISCUSSION</w:t>
      </w:r>
    </w:p>
    <w:p>
      <w:pPr>
        <w:pStyle w:val="JournalBody"/>
        <w:widowControl/>
      </w:pPr>
      <w:r>
        <w:rPr>
          <w:rFonts w:ascii="Times New Roman" w:hAnsi="Times New Roman"/>
          <w:sz w:val="17"/>
        </w:rPr>
        <w:t>The comparison shows that the five companies generally report formal waste-management measures such as authorised recyclers, collection systems, segregation, environmental management and hazardous-waste controls. A recurring public-disclosure gap is detailed evidence of current EPR performance, including exact target achievement, EPR certificates, periodic portal returns and current RoHS documentation. The CPCB FAQ specifies a 70% target for FY 2025-26 and 2026-27. fileciteturn0file0L229-L240</w:t>
      </w:r>
    </w:p>
    <w:p>
      <w:pPr>
        <w:pStyle w:val="JournalBody"/>
        <w:widowControl/>
      </w:pPr>
      <w:r>
        <w:rPr>
          <w:rFonts w:ascii="Times New Roman" w:hAnsi="Times New Roman"/>
          <w:sz w:val="17"/>
        </w:rPr>
        <w:t>The supplied research paper likewise concludes that proper collection and authorised recycling require effective enforcement and recommends improved infrastructure, monitoring, awareness and technology. fileciteturn1file0L648-L678</w:t>
      </w:r>
    </w:p>
    <w:p>
      <w:pPr>
        <w:pStyle w:val="JournalSection"/>
        <w:widowControl/>
      </w:pPr>
      <w:r>
        <w:rPr>
          <w:rFonts w:ascii="Times New Roman" w:hAnsi="Times New Roman"/>
          <w:sz w:val="17"/>
        </w:rPr>
        <w:t>6. CONCLUSION</w:t>
      </w:r>
    </w:p>
    <w:p>
      <w:pPr>
        <w:pStyle w:val="JournalBody"/>
        <w:widowControl/>
      </w:pPr>
      <w:r>
        <w:rPr>
          <w:rFonts w:ascii="Times New Roman" w:hAnsi="Times New Roman"/>
          <w:sz w:val="17"/>
        </w:rPr>
        <w:t>E-waste management involves producer responsibility, safe collection, authorised recycling, hazardous-substance control, records and measurable outcomes. The five-company review indicates that formal waste-management practices are reported, but public evidence of detailed current EPR performance varies. Clearer disclosure of EPR registration, targets, certificates, returns and RoHS documentation would make compliance easier to evaluate. The supplied research source also supports stronger enforcement, improved infrastructure, public awareness and circular-economy practices as ways to improve sustainable e-waste management. fileciteturn1file0L715-L739</w:t>
      </w:r>
    </w:p>
    <w:p>
      <w:pPr>
        <w:pStyle w:val="JournalSection"/>
        <w:widowControl/>
      </w:pPr>
      <w:r>
        <w:rPr>
          <w:rFonts w:ascii="Times New Roman" w:hAnsi="Times New Roman"/>
          <w:sz w:val="17"/>
        </w:rPr>
        <w:t>REFERENCES</w:t>
      </w:r>
    </w:p>
    <w:p>
      <w:pPr>
        <w:pStyle w:val="JournalSmall"/>
        <w:widowControl/>
      </w:pPr>
      <w:r>
        <w:rPr>
          <w:rFonts w:ascii="Times New Roman" w:hAnsi="Times New Roman"/>
          <w:sz w:val="17"/>
        </w:rPr>
        <w:t>Central Pollution Control Board. FAQ, E-Waste (Management) Rules, 2022 and amendments thereafter, January 23, 2024. fileciteturn0file0L41-L60</w:t>
      </w:r>
    </w:p>
    <w:p>
      <w:pPr>
        <w:pStyle w:val="JournalSmall"/>
        <w:widowControl/>
      </w:pPr>
      <w:r>
        <w:rPr>
          <w:rFonts w:ascii="Times New Roman" w:hAnsi="Times New Roman"/>
          <w:sz w:val="17"/>
        </w:rPr>
        <w:t>Chadha, A. &amp; Chadha, N. (2022). Law Relating to E-Waste, its Impacts and Disposal Management. Neuro Quantology, 20(9), 1264–1273. fileciteturn1file0L2-L8</w:t>
      </w:r>
    </w:p>
    <w:p>
      <w:pPr>
        <w:pStyle w:val="JournalSmall"/>
        <w:widowControl/>
      </w:pPr>
      <w:r>
        <w:rPr>
          <w:rFonts w:ascii="Times New Roman" w:hAnsi="Times New Roman"/>
          <w:sz w:val="17"/>
        </w:rPr>
        <w:t>Company annual reports, sustainability/BRSR disclosures and e-waste/EPR pages reviewed for Dixon Technologies, Kaynes Technology, Sahasra Electronics, Syrma SGS Technology and Centum Electronics.</w:t>
      </w:r>
    </w:p>
    <w:sectPr w:rsidR="00FC693F" w:rsidRPr="0006063C" w:rsidSect="00034616">
      <w:headerReference w:type="default" r:id="rId9"/>
      <w:footerReference w:type="default" r:id="rId10"/>
      <w:pgSz w:w="11909" w:h="16834"/>
      <w:pgMar w:top="893" w:right="893" w:bottom="893"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4"/>
      </w:rPr>
      <w:t xml:space="preserve">E-Waste (Management) Rules, 2022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JournalHeader"/>
      <w:jc w:val="left"/>
    </w:pPr>
    <w:r>
      <w:t>E-Waste Management Compliance Study  |  Academic Comparative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Header">
    <w:name w:val="JournalHeader"/>
    <w:pPr>
      <w:spacing w:before="0" w:after="60" w:line="240" w:lineRule="auto"/>
    </w:pPr>
    <w:rPr>
      <w:rFonts w:ascii="Times New Roman" w:hAnsi="Times New Roman" w:eastAsia="Times New Roman"/>
      <w:b w:val="0"/>
      <w:sz w:val="14"/>
    </w:rPr>
  </w:style>
  <w:style w:type="paragraph" w:customStyle="1" w:styleId="ArticleTitle">
    <w:name w:val="ArticleTitle"/>
    <w:pPr>
      <w:spacing w:before="40" w:after="60" w:line="240" w:lineRule="auto"/>
    </w:pPr>
    <w:rPr>
      <w:rFonts w:ascii="Times New Roman" w:hAnsi="Times New Roman" w:eastAsia="Times New Roman"/>
      <w:b/>
      <w:sz w:val="20"/>
    </w:rPr>
  </w:style>
  <w:style w:type="paragraph" w:customStyle="1" w:styleId="ArticleAuthor">
    <w:name w:val="ArticleAuthor"/>
    <w:pPr>
      <w:spacing w:before="0" w:after="100" w:line="240" w:lineRule="auto"/>
    </w:pPr>
    <w:rPr>
      <w:rFonts w:ascii="Times New Roman" w:hAnsi="Times New Roman" w:eastAsia="Times New Roman"/>
      <w:b w:val="0"/>
      <w:sz w:val="16"/>
    </w:rPr>
  </w:style>
  <w:style w:type="paragraph" w:customStyle="1" w:styleId="JournalSection">
    <w:name w:val="JournalSection"/>
    <w:pPr>
      <w:spacing w:before="80" w:after="40" w:line="240" w:lineRule="auto"/>
    </w:pPr>
    <w:rPr>
      <w:rFonts w:ascii="Times New Roman" w:hAnsi="Times New Roman" w:eastAsia="Times New Roman"/>
      <w:b/>
      <w:sz w:val="18"/>
    </w:rPr>
  </w:style>
  <w:style w:type="paragraph" w:customStyle="1" w:styleId="JournalSubhead">
    <w:name w:val="JournalSubhead"/>
    <w:pPr>
      <w:spacing w:before="60" w:after="20" w:line="240" w:lineRule="auto"/>
    </w:pPr>
    <w:rPr>
      <w:rFonts w:ascii="Times New Roman" w:hAnsi="Times New Roman" w:eastAsia="Times New Roman"/>
      <w:b/>
      <w:sz w:val="17"/>
    </w:rPr>
  </w:style>
  <w:style w:type="paragraph" w:customStyle="1" w:styleId="JournalBody">
    <w:name w:val="JournalBody"/>
    <w:pPr>
      <w:spacing w:before="0" w:after="40" w:line="240" w:lineRule="auto"/>
      <w:jc w:val="both"/>
    </w:pPr>
    <w:rPr>
      <w:rFonts w:ascii="Times New Roman" w:hAnsi="Times New Roman" w:eastAsia="Times New Roman"/>
      <w:b w:val="0"/>
      <w:sz w:val="17"/>
    </w:rPr>
  </w:style>
  <w:style w:type="paragraph" w:customStyle="1" w:styleId="JournalBullet">
    <w:name w:val="JournalBullet"/>
    <w:pPr>
      <w:spacing w:before="0" w:after="20" w:line="240" w:lineRule="auto"/>
      <w:jc w:val="both"/>
    </w:pPr>
    <w:rPr>
      <w:rFonts w:ascii="Times New Roman" w:hAnsi="Times New Roman" w:eastAsia="Times New Roman"/>
      <w:b w:val="0"/>
      <w:sz w:val="16"/>
    </w:rPr>
  </w:style>
  <w:style w:type="paragraph" w:customStyle="1" w:styleId="JournalCaption">
    <w:name w:val="JournalCaption"/>
    <w:pPr>
      <w:spacing w:before="40" w:after="40" w:line="240" w:lineRule="auto"/>
      <w:jc w:val="center"/>
    </w:pPr>
    <w:rPr>
      <w:rFonts w:ascii="Times New Roman" w:hAnsi="Times New Roman" w:eastAsia="Times New Roman"/>
      <w:b/>
      <w:sz w:val="16"/>
    </w:rPr>
  </w:style>
  <w:style w:type="paragraph" w:customStyle="1" w:styleId="JournalSmall">
    <w:name w:val="JournalSmall"/>
    <w:pPr>
      <w:spacing w:before="0" w:after="20" w:line="240" w:lineRule="auto"/>
    </w:pPr>
    <w:rPr>
      <w:rFonts w:ascii="Times New Roman" w:hAnsi="Times New Roman" w:eastAsia="Times New Roman"/>
      <w:b w:val="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27C6358-D155-4A37-A70C-43FEBFDB87E9}"/>
</file>

<file path=customXml/itemProps3.xml><?xml version="1.0" encoding="utf-8"?>
<ds:datastoreItem xmlns:ds="http://schemas.openxmlformats.org/officeDocument/2006/customXml" ds:itemID="{23DDA337-49F4-46E5-9208-7A1D559F8B62}"/>
</file>

<file path=customXml/itemProps4.xml><?xml version="1.0" encoding="utf-8"?>
<ds:datastoreItem xmlns:ds="http://schemas.openxmlformats.org/officeDocument/2006/customXml" ds:itemID="{32496432-890A-450F-A4A1-D987558AF0E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