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1200"/>
      </w:pPr>
      <w:r>
        <w:t xml:space="preserve">Business Requirements Document</w:t>
      </w:r>
    </w:p>
    <w:p>
      <w:pPr>
        <w:pStyle w:val="Subtitle"/>
      </w:pPr>
      <w:r>
        <w:t xml:space="preserve">Provider Contract Change Validation Engine (CMS-855I)</w:t>
      </w:r>
    </w:p>
    <w:p>
      <w:pPr>
        <w:pBdr>
          <w:bottom w:val="single" w:color="2E75B6" w:sz="12" w:space="8"/>
        </w:pBdr>
        <w:spacing w:after="240"/>
      </w:pPr>
    </w:p>
    <w:p>
      <w:pPr>
        <w:spacing w:after="40"/>
      </w:pPr>
      <w:r>
        <w:rPr>
          <w:b/>
          <w:bCs/>
          <w:color w:val="1F3A5F"/>
        </w:rPr>
        <w:t xml:space="preserve">Document:  </w:t>
      </w:r>
      <w:r>
        <w:t xml:space="preserve">BRD v1.0</w:t>
      </w:r>
    </w:p>
    <w:p>
      <w:pPr>
        <w:spacing w:after="40"/>
      </w:pPr>
      <w:r>
        <w:rPr>
          <w:b/>
          <w:bCs/>
          <w:color w:val="1F3A5F"/>
        </w:rPr>
        <w:t xml:space="preserve">Status:  </w:t>
      </w:r>
      <w:r>
        <w:t xml:space="preserve">Draft for review</w:t>
      </w:r>
    </w:p>
    <w:p>
      <w:pPr>
        <w:spacing w:after="40"/>
      </w:pPr>
      <w:r>
        <w:rPr>
          <w:b/>
          <w:bCs/>
          <w:color w:val="1F3A5F"/>
        </w:rPr>
        <w:t xml:space="preserve">Date:  </w:t>
      </w:r>
      <w:r>
        <w:t xml:space="preserve">June 2026</w:t>
      </w:r>
    </w:p>
    <w:p>
      <w:pPr>
        <w:spacing w:after="40"/>
      </w:pPr>
      <w:r>
        <w:rPr>
          <w:b/>
          <w:bCs/>
          <w:color w:val="1F3A5F"/>
        </w:rPr>
        <w:t xml:space="preserve">Owner:  </w:t>
      </w:r>
      <w:r>
        <w:t xml:space="preserve">Config AI / Provider Enrollment Product</w:t>
      </w:r>
    </w:p>
    <w:p>
      <w:pPr>
        <w:spacing w:after="40"/>
      </w:pPr>
      <w:r>
        <w:rPr>
          <w:b/>
          <w:bCs/>
          <w:color w:val="1F3A5F"/>
        </w:rPr>
        <w:t xml:space="preserve">Audience:  </w:t>
      </w:r>
      <w:r>
        <w:t xml:space="preserve">Product, Engineering, Enrollment Operations, Compliance</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This document defines the business requirements for an automated </w:t>
      </w:r>
      <w:r>
        <w:rPr>
          <w:b/>
          <w:bCs/>
        </w:rPr>
        <w:t xml:space="preserve">Provider Contract Change Validation Engine</w:t>
      </w:r>
      <w:r>
        <w:t xml:space="preserve">. The engine ingests requested changes to existing Medicare provider enrollment contracts (CMS-855I), validates each change against a codified rulebook, enriches it with derived tags, and produces a deterministic decision — </w:t>
      </w:r>
      <w:r>
        <w:rPr>
          <w:b/>
          <w:bCs/>
        </w:rPr>
        <w:t xml:space="preserve">APPROVE, DEVELOP, DENY, REJECT, or INITIAL_ENROLLMENT_REQUIRED</w:t>
      </w:r>
      <w:r>
        <w:t xml:space="preserve"> — together with the downstream contract action and a full explanation of which rules and tags fired.</w:t>
      </w:r>
    </w:p>
    <w:p>
      <w:pPr>
        <w:spacing w:after="120"/>
      </w:pPr>
      <w:r>
        <w:t xml:space="preserve">The system replaces a manual review workflow in which enrollment analysts compare each change request against the provider's current contract state and the CMS enrollment standards by hand. It is built on the established </w:t>
      </w:r>
      <w:r>
        <w:rPr>
          <w:b/>
          <w:bCs/>
        </w:rPr>
        <w:t xml:space="preserve">Collate Rules → Build Rulebook → Decision Engine</w:t>
      </w:r>
      <w:r>
        <w:t xml:space="preserve"> pattern, decomposed into three cooperating components: a Rule Engine, a Tag Engine, and a Decision Engine.</w:t>
      </w:r>
    </w:p>
    <w:p>
      <w:pPr>
        <w:pStyle w:val="Heading2"/>
      </w:pPr>
      <w:r>
        <w:t xml:space="preserve">1.1 Business Objectives</w:t>
      </w:r>
    </w:p>
    <w:p>
      <w:pPr>
        <w:pStyle w:val="ListParagraph"/>
        <w:numPr>
          <w:ilvl w:val="0"/>
          <w:numId w:val="2"/>
        </w:numPr>
        <w:spacing w:after="60"/>
      </w:pPr>
      <w:r>
        <w:rPr>
          <w:b/>
          <w:bCs/>
        </w:rPr>
        <w:t xml:space="preserve">Reduce manual review effort</w:t>
      </w:r>
      <w:r>
        <w:t xml:space="preserve"> by auto-approving low-risk changes and routing only ambiguous cases to analysts.</w:t>
      </w:r>
    </w:p>
    <w:p>
      <w:pPr>
        <w:pStyle w:val="ListParagraph"/>
        <w:numPr>
          <w:ilvl w:val="0"/>
          <w:numId w:val="2"/>
        </w:numPr>
        <w:spacing w:after="60"/>
      </w:pPr>
      <w:r>
        <w:rPr>
          <w:b/>
          <w:bCs/>
        </w:rPr>
        <w:t xml:space="preserve">Increase consistency</w:t>
      </w:r>
      <w:r>
        <w:t xml:space="preserve"> so identical change requests always receive identical, explainable outcomes.</w:t>
      </w:r>
    </w:p>
    <w:p>
      <w:pPr>
        <w:pStyle w:val="ListParagraph"/>
        <w:numPr>
          <w:ilvl w:val="0"/>
          <w:numId w:val="2"/>
        </w:numPr>
        <w:spacing w:after="60"/>
      </w:pPr>
      <w:r>
        <w:rPr>
          <w:b/>
          <w:bCs/>
        </w:rPr>
        <w:t xml:space="preserve">Improve compliance</w:t>
      </w:r>
      <w:r>
        <w:t xml:space="preserve"> by enforcing CMS standards as deterministic, auditable rules with traceable verdicts.</w:t>
      </w:r>
    </w:p>
    <w:p>
      <w:pPr>
        <w:pStyle w:val="ListParagraph"/>
        <w:numPr>
          <w:ilvl w:val="0"/>
          <w:numId w:val="2"/>
        </w:numPr>
        <w:spacing w:after="60"/>
      </w:pPr>
      <w:r>
        <w:rPr>
          <w:b/>
          <w:bCs/>
        </w:rPr>
        <w:t xml:space="preserve">Provide explainability</w:t>
      </w:r>
      <w:r>
        <w:t xml:space="preserve"> — every decision must cite the rules and tags that produced it.</w:t>
      </w:r>
    </w:p>
    <w:p>
      <w:pPr>
        <w:pStyle w:val="ListParagraph"/>
        <w:numPr>
          <w:ilvl w:val="0"/>
          <w:numId w:val="2"/>
        </w:numPr>
        <w:spacing w:after="60"/>
      </w:pPr>
      <w:r>
        <w:rPr>
          <w:b/>
          <w:bCs/>
        </w:rPr>
        <w:t xml:space="preserve">Establish a regression baseline</w:t>
      </w:r>
      <w:r>
        <w:t xml:space="preserve"> using a labeled dataset so any engine change can be validated against known-good outcomes.</w:t>
      </w:r>
    </w:p>
    <w:p>
      <w:pPr>
        <w:pStyle w:val="Heading2"/>
      </w:pPr>
      <w:r>
        <w:t xml:space="preserve">1.2 Scope</w:t>
      </w:r>
    </w:p>
    <w:p>
      <w:pPr>
        <w:pStyle w:val="Heading3"/>
      </w:pPr>
      <w:r>
        <w:t xml:space="preserve">In Scope</w:t>
      </w:r>
    </w:p>
    <w:p>
      <w:pPr>
        <w:pStyle w:val="ListParagraph"/>
        <w:numPr>
          <w:ilvl w:val="0"/>
          <w:numId w:val="2"/>
        </w:numPr>
        <w:spacing w:after="60"/>
      </w:pPr>
      <w:r>
        <w:t xml:space="preserve">Validation of changes to existing, enrolled CMS-855I provider contracts.</w:t>
      </w:r>
    </w:p>
    <w:p>
      <w:pPr>
        <w:pStyle w:val="ListParagraph"/>
        <w:numPr>
          <w:ilvl w:val="0"/>
          <w:numId w:val="2"/>
        </w:numPr>
        <w:spacing w:after="60"/>
      </w:pPr>
      <w:r>
        <w:t xml:space="preserve">The ten defined validation rules (R-001 through R-010) and the five outcome classes.</w:t>
      </w:r>
    </w:p>
    <w:p>
      <w:pPr>
        <w:pStyle w:val="ListParagraph"/>
        <w:numPr>
          <w:ilvl w:val="0"/>
          <w:numId w:val="2"/>
        </w:numPr>
        <w:spacing w:after="60"/>
      </w:pPr>
      <w:r>
        <w:t xml:space="preserve">A Streamlit-based reviewer UI for submitting/selecting a change and inspecting the decision trace.</w:t>
      </w:r>
    </w:p>
    <w:p>
      <w:pPr>
        <w:pStyle w:val="ListParagraph"/>
        <w:numPr>
          <w:ilvl w:val="0"/>
          <w:numId w:val="2"/>
        </w:numPr>
        <w:spacing w:after="60"/>
      </w:pPr>
      <w:r>
        <w:t xml:space="preserve">A batch scoring mode that runs the engine over the full labeled dataset and reports accuracy against expected outcomes.</w:t>
      </w:r>
    </w:p>
    <w:p>
      <w:pPr>
        <w:pStyle w:val="Heading3"/>
      </w:pPr>
      <w:r>
        <w:t xml:space="preserve">Out of Scope</w:t>
      </w:r>
    </w:p>
    <w:p>
      <w:pPr>
        <w:pStyle w:val="ListParagraph"/>
        <w:numPr>
          <w:ilvl w:val="0"/>
          <w:numId w:val="2"/>
        </w:numPr>
        <w:spacing w:after="60"/>
      </w:pPr>
      <w:r>
        <w:t xml:space="preserve">Initial provider enrollment intake (the engine may route to it via INITIAL_ENROLLMENT_REQUIRED but does not perform it).</w:t>
      </w:r>
    </w:p>
    <w:p>
      <w:pPr>
        <w:pStyle w:val="ListParagraph"/>
        <w:numPr>
          <w:ilvl w:val="0"/>
          <w:numId w:val="2"/>
        </w:numPr>
        <w:spacing w:after="60"/>
      </w:pPr>
      <w:r>
        <w:t xml:space="preserve">Claims adjudication, payment, and remittance.</w:t>
      </w:r>
    </w:p>
    <w:p>
      <w:pPr>
        <w:pStyle w:val="ListParagraph"/>
        <w:numPr>
          <w:ilvl w:val="0"/>
          <w:numId w:val="2"/>
        </w:numPr>
        <w:spacing w:after="60"/>
      </w:pPr>
      <w:r>
        <w:t xml:space="preserve">Live integration with PECOS / CMS systems (the dataset is a synthetic test harness).</w:t>
      </w:r>
    </w:p>
    <w:p>
      <w:pPr>
        <w:pStyle w:val="ListParagraph"/>
        <w:numPr>
          <w:ilvl w:val="0"/>
          <w:numId w:val="2"/>
        </w:numPr>
        <w:spacing w:after="60"/>
      </w:pPr>
      <w:r>
        <w:t xml:space="preserve">Authentication, user management, and production-grade persistence (file/DB-backed config is sufficient for v1).</w:t>
      </w:r>
    </w:p>
    <w:p>
      <w:pPr>
        <w:pStyle w:val="Heading1"/>
      </w:pPr>
      <w:r>
        <w:t xml:space="preserve">2. Background &amp; Context</w:t>
      </w:r>
    </w:p>
    <w:p>
      <w:pPr>
        <w:spacing w:after="120"/>
      </w:pPr>
      <w:r>
        <w:t xml:space="preserve">Today, a provider with an enrolled contract (the source-of-truth state) submits change requests — a new practice location, a reassignment of benefits, an EFT update, a specialty change, and so on. Each request must be checked against both the provider's current contract and the CMS enrollment standards before the contract record is updated. The reference dataset models this exactly across five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C8D2DC" w:sz="1"/>
              <w:left w:val="single" w:color="C8D2DC" w:sz="1"/>
              <w:bottom w:val="single" w:color="C8D2DC" w:sz="1"/>
              <w:right w:val="single" w:color="C8D2DC" w:sz="1"/>
            </w:tcBorders>
            <w:shd w:fill="1F3A5F" w:val="clear"/>
            <w:tcMar>
              <w:top w:type="dxa" w:w="60"/>
              <w:left w:type="dxa" w:w="110"/>
              <w:bottom w:type="dxa" w:w="60"/>
              <w:right w:type="dxa" w:w="110"/>
            </w:tcMar>
            <w:vAlign w:val="center"/>
          </w:tcPr>
          <w:p>
            <w:pPr>
              <w:spacing w:after="0" w:before="0"/>
            </w:pPr>
            <w:r>
              <w:rPr>
                <w:b/>
                <w:bCs/>
                <w:color w:val="FFFFFF"/>
                <w:sz w:val="21"/>
                <w:szCs w:val="21"/>
              </w:rPr>
              <w:t xml:space="preserve">Data Source</w:t>
            </w:r>
          </w:p>
        </w:tc>
        <w:tc>
          <w:tcPr>
            <w:tcW w:type="dxa" w:w="4360"/>
            <w:tcBorders>
              <w:top w:val="single" w:color="C8D2DC" w:sz="1"/>
              <w:left w:val="single" w:color="C8D2DC" w:sz="1"/>
              <w:bottom w:val="single" w:color="C8D2DC" w:sz="1"/>
              <w:right w:val="single" w:color="C8D2DC" w:sz="1"/>
            </w:tcBorders>
            <w:shd w:fill="1F3A5F" w:val="clear"/>
            <w:tcMar>
              <w:top w:type="dxa" w:w="60"/>
              <w:left w:type="dxa" w:w="110"/>
              <w:bottom w:type="dxa" w:w="60"/>
              <w:right w:type="dxa" w:w="110"/>
            </w:tcMar>
            <w:vAlign w:val="center"/>
          </w:tcPr>
          <w:p>
            <w:pPr>
              <w:spacing w:after="0" w:before="0"/>
            </w:pPr>
            <w:r>
              <w:rPr>
                <w:b/>
                <w:bCs/>
                <w:color w:val="FFFFFF"/>
                <w:sz w:val="21"/>
                <w:szCs w:val="21"/>
              </w:rPr>
              <w:t xml:space="preserve">Role</w:t>
            </w:r>
          </w:p>
        </w:tc>
        <w:tc>
          <w:tcPr>
            <w:tcW w:type="dxa" w:w="1800"/>
            <w:tcBorders>
              <w:top w:val="single" w:color="C8D2DC" w:sz="1"/>
              <w:left w:val="single" w:color="C8D2DC" w:sz="1"/>
              <w:bottom w:val="single" w:color="C8D2DC" w:sz="1"/>
              <w:right w:val="single" w:color="C8D2DC" w:sz="1"/>
            </w:tcBorders>
            <w:shd w:fill="1F3A5F" w:val="clear"/>
            <w:tcMar>
              <w:top w:type="dxa" w:w="60"/>
              <w:left w:type="dxa" w:w="110"/>
              <w:bottom w:type="dxa" w:w="60"/>
              <w:right w:type="dxa" w:w="110"/>
            </w:tcMar>
            <w:vAlign w:val="center"/>
          </w:tcPr>
          <w:p>
            <w:pPr>
              <w:spacing w:after="0" w:before="0"/>
            </w:pPr>
            <w:r>
              <w:rPr>
                <w:b/>
                <w:bCs/>
                <w:color w:val="FFFFFF"/>
                <w:sz w:val="21"/>
                <w:szCs w:val="21"/>
              </w:rPr>
              <w:t xml:space="preserve">Volume</w:t>
            </w:r>
          </w:p>
        </w:tc>
      </w:tr>
      <w:tr>
        <w:tc>
          <w:tcPr>
            <w:tcW w:type="dxa" w:w="32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Existing_Provider_Contracts</w:t>
            </w:r>
          </w:p>
        </w:tc>
        <w:tc>
          <w:tcPr>
            <w:tcW w:type="dxa" w:w="43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Current config / source-of-truth contract state validated against</w:t>
            </w:r>
          </w:p>
        </w:tc>
        <w:tc>
          <w:tcPr>
            <w:tcW w:type="dxa" w:w="18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80 rows × 43 cols</w:t>
            </w:r>
          </w:p>
        </w:tc>
      </w:tr>
      <w:tr>
        <w:tc>
          <w:tcPr>
            <w:tcW w:type="dxa" w:w="32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Requested_Contract_Changes</w:t>
            </w:r>
          </w:p>
        </w:tc>
        <w:tc>
          <w:tcPr>
            <w:tcW w:type="dxa" w:w="436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Inbound change requests with labeled expected outcomes (ground truth)</w:t>
            </w:r>
          </w:p>
        </w:tc>
        <w:tc>
          <w:tcPr>
            <w:tcW w:type="dxa" w:w="18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60 rows × 25 cols</w:t>
            </w:r>
          </w:p>
        </w:tc>
      </w:tr>
      <w:tr>
        <w:tc>
          <w:tcPr>
            <w:tcW w:type="dxa" w:w="32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Validation_Rules</w:t>
            </w:r>
          </w:p>
        </w:tc>
        <w:tc>
          <w:tcPr>
            <w:tcW w:type="dxa" w:w="43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Human-readable rulebook (R-001…R-010) — the rule-engine spec</w:t>
            </w:r>
          </w:p>
        </w:tc>
        <w:tc>
          <w:tcPr>
            <w:tcW w:type="dxa" w:w="18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10 rows</w:t>
            </w:r>
          </w:p>
        </w:tc>
      </w:tr>
      <w:tr>
        <w:tc>
          <w:tcPr>
            <w:tcW w:type="dxa" w:w="32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Lists</w:t>
            </w:r>
          </w:p>
        </w:tc>
        <w:tc>
          <w:tcPr>
            <w:tcW w:type="dxa" w:w="436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Controlled vocabulary of valid outcomes</w:t>
            </w:r>
          </w:p>
        </w:tc>
        <w:tc>
          <w:tcPr>
            <w:tcW w:type="dxa" w:w="18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5 values</w:t>
            </w:r>
          </w:p>
        </w:tc>
      </w:tr>
      <w:tr>
        <w:tc>
          <w:tcPr>
            <w:tcW w:type="dxa" w:w="32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Summary</w:t>
            </w:r>
          </w:p>
        </w:tc>
        <w:tc>
          <w:tcPr>
            <w:tcW w:type="dxa" w:w="43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Dataset metadata and expected outcome counts</w:t>
            </w:r>
          </w:p>
        </w:tc>
        <w:tc>
          <w:tcPr>
            <w:tcW w:type="dxa" w:w="18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w:t>
            </w:r>
          </w:p>
        </w:tc>
      </w:tr>
    </w:tbl>
    <w:p>
      <w:pPr>
        <w:spacing w:after="120"/>
      </w:pPr>
      <w:r>
        <w:rPr>
          <w:b/>
          <w:bCs/>
        </w:rPr>
        <w:t xml:space="preserve">Referential integrity: </w:t>
      </w:r>
      <w:r>
        <w:t xml:space="preserve">all 60 change requests link to a real contract via </w:t>
      </w:r>
      <w:r>
        <w:t xml:space="preserve">linked_provider_contract_id</w:t>
      </w:r>
      <w:r>
        <w:t xml:space="preserve"> — zero orphans.</w:t>
      </w:r>
    </w:p>
    <w:p>
      <w:pPr>
        <w:pStyle w:val="Heading1"/>
      </w:pPr>
      <w:r>
        <w:t xml:space="preserve">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D2DC" w:sz="1"/>
              <w:left w:val="single" w:color="C8D2DC" w:sz="1"/>
              <w:bottom w:val="single" w:color="C8D2DC" w:sz="1"/>
              <w:right w:val="single" w:color="C8D2DC" w:sz="1"/>
            </w:tcBorders>
            <w:shd w:fill="1F3A5F" w:val="clear"/>
            <w:tcMar>
              <w:top w:type="dxa" w:w="60"/>
              <w:left w:type="dxa" w:w="110"/>
              <w:bottom w:type="dxa" w:w="60"/>
              <w:right w:type="dxa" w:w="110"/>
            </w:tcMar>
            <w:vAlign w:val="center"/>
          </w:tcPr>
          <w:p>
            <w:pPr>
              <w:spacing w:after="0" w:before="0"/>
            </w:pPr>
            <w:r>
              <w:rPr>
                <w:b/>
                <w:bCs/>
                <w:color w:val="FFFFFF"/>
                <w:sz w:val="21"/>
                <w:szCs w:val="21"/>
              </w:rPr>
              <w:t xml:space="preserve">Stakeholder</w:t>
            </w:r>
          </w:p>
        </w:tc>
        <w:tc>
          <w:tcPr>
            <w:tcW w:type="dxa" w:w="6360"/>
            <w:tcBorders>
              <w:top w:val="single" w:color="C8D2DC" w:sz="1"/>
              <w:left w:val="single" w:color="C8D2DC" w:sz="1"/>
              <w:bottom w:val="single" w:color="C8D2DC" w:sz="1"/>
              <w:right w:val="single" w:color="C8D2DC" w:sz="1"/>
            </w:tcBorders>
            <w:shd w:fill="1F3A5F" w:val="clear"/>
            <w:tcMar>
              <w:top w:type="dxa" w:w="60"/>
              <w:left w:type="dxa" w:w="110"/>
              <w:bottom w:type="dxa" w:w="60"/>
              <w:right w:type="dxa" w:w="110"/>
            </w:tcMar>
            <w:vAlign w:val="center"/>
          </w:tcPr>
          <w:p>
            <w:pPr>
              <w:spacing w:after="0" w:before="0"/>
            </w:pPr>
            <w:r>
              <w:rPr>
                <w:b/>
                <w:bCs/>
                <w:color w:val="FFFFFF"/>
                <w:sz w:val="21"/>
                <w:szCs w:val="21"/>
              </w:rPr>
              <w:t xml:space="preserve">Interest / Responsibility</w:t>
            </w:r>
          </w:p>
        </w:tc>
      </w:tr>
      <w:tr>
        <w:tc>
          <w:tcPr>
            <w:tcW w:type="dxa" w:w="30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Enrollment Operations Analyst</w:t>
            </w:r>
          </w:p>
        </w:tc>
        <w:tc>
          <w:tcPr>
            <w:tcW w:type="dxa" w:w="63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Primary user; reviews routed (DEVELOP) cases and confirms auto-decisions.</w:t>
            </w:r>
          </w:p>
        </w:tc>
      </w:tr>
      <w:tr>
        <w:tc>
          <w:tcPr>
            <w:tcW w:type="dxa" w:w="30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Compliance / Audit</w:t>
            </w:r>
          </w:p>
        </w:tc>
        <w:tc>
          <w:tcPr>
            <w:tcW w:type="dxa" w:w="636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Requires traceable, rule-cited decisions and an immutable decision log.</w:t>
            </w:r>
          </w:p>
        </w:tc>
      </w:tr>
      <w:tr>
        <w:tc>
          <w:tcPr>
            <w:tcW w:type="dxa" w:w="30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Product Owner</w:t>
            </w:r>
          </w:p>
        </w:tc>
        <w:tc>
          <w:tcPr>
            <w:tcW w:type="dxa" w:w="63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Owns rulebook content, outcome definitions, and acceptance criteria.</w:t>
            </w:r>
          </w:p>
        </w:tc>
      </w:tr>
      <w:tr>
        <w:tc>
          <w:tcPr>
            <w:tcW w:type="dxa" w:w="30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Engineering</w:t>
            </w:r>
          </w:p>
        </w:tc>
        <w:tc>
          <w:tcPr>
            <w:tcW w:type="dxa" w:w="636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Builds and maintains the three engines and the Streamlit UI.</w:t>
            </w:r>
          </w:p>
        </w:tc>
      </w:tr>
      <w:tr>
        <w:tc>
          <w:tcPr>
            <w:tcW w:type="dxa" w:w="30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Data / QA</w:t>
            </w:r>
          </w:p>
        </w:tc>
        <w:tc>
          <w:tcPr>
            <w:tcW w:type="dxa" w:w="63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Maintains the labeled dataset and runs regression scoring.</w:t>
            </w:r>
          </w:p>
        </w:tc>
      </w:tr>
    </w:tbl>
    <w:p>
      <w:pPr>
        <w:pStyle w:val="Heading1"/>
      </w:pPr>
      <w:r>
        <w:t xml:space="preserve">4. Business Requirements</w:t>
      </w:r>
    </w:p>
    <w:p>
      <w:pPr>
        <w:spacing w:after="120"/>
      </w:pPr>
      <w:r>
        <w:t xml:space="preserve">Requirements are identified as BR-n. Each is testable against the labeled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160"/>
        <w:gridCol w:w="1300"/>
      </w:tblGrid>
      <w:tr>
        <w:trPr>
          <w:tblHeader/>
        </w:trPr>
        <w:tc>
          <w:tcPr>
            <w:tcW w:type="dxa" w:w="900"/>
            <w:tcBorders>
              <w:top w:val="single" w:color="C8D2DC" w:sz="1"/>
              <w:left w:val="single" w:color="C8D2DC" w:sz="1"/>
              <w:bottom w:val="single" w:color="C8D2DC" w:sz="1"/>
              <w:right w:val="single" w:color="C8D2DC" w:sz="1"/>
            </w:tcBorders>
            <w:shd w:fill="1F3A5F" w:val="clear"/>
            <w:tcMar>
              <w:top w:type="dxa" w:w="60"/>
              <w:left w:type="dxa" w:w="110"/>
              <w:bottom w:type="dxa" w:w="60"/>
              <w:right w:type="dxa" w:w="110"/>
            </w:tcMar>
            <w:vAlign w:val="center"/>
          </w:tcPr>
          <w:p>
            <w:pPr>
              <w:spacing w:after="0" w:before="0"/>
            </w:pPr>
            <w:r>
              <w:rPr>
                <w:b/>
                <w:bCs/>
                <w:color w:val="FFFFFF"/>
                <w:sz w:val="21"/>
                <w:szCs w:val="21"/>
              </w:rPr>
              <w:t xml:space="preserve">ID</w:t>
            </w:r>
          </w:p>
        </w:tc>
        <w:tc>
          <w:tcPr>
            <w:tcW w:type="dxa" w:w="7160"/>
            <w:tcBorders>
              <w:top w:val="single" w:color="C8D2DC" w:sz="1"/>
              <w:left w:val="single" w:color="C8D2DC" w:sz="1"/>
              <w:bottom w:val="single" w:color="C8D2DC" w:sz="1"/>
              <w:right w:val="single" w:color="C8D2DC" w:sz="1"/>
            </w:tcBorders>
            <w:shd w:fill="1F3A5F" w:val="clear"/>
            <w:tcMar>
              <w:top w:type="dxa" w:w="60"/>
              <w:left w:type="dxa" w:w="110"/>
              <w:bottom w:type="dxa" w:w="60"/>
              <w:right w:type="dxa" w:w="110"/>
            </w:tcMar>
            <w:vAlign w:val="center"/>
          </w:tcPr>
          <w:p>
            <w:pPr>
              <w:spacing w:after="0" w:before="0"/>
            </w:pPr>
            <w:r>
              <w:rPr>
                <w:b/>
                <w:bCs/>
                <w:color w:val="FFFFFF"/>
                <w:sz w:val="21"/>
                <w:szCs w:val="21"/>
              </w:rPr>
              <w:t xml:space="preserve">Requirement</w:t>
            </w:r>
          </w:p>
        </w:tc>
        <w:tc>
          <w:tcPr>
            <w:tcW w:type="dxa" w:w="1300"/>
            <w:tcBorders>
              <w:top w:val="single" w:color="C8D2DC" w:sz="1"/>
              <w:left w:val="single" w:color="C8D2DC" w:sz="1"/>
              <w:bottom w:val="single" w:color="C8D2DC" w:sz="1"/>
              <w:right w:val="single" w:color="C8D2DC" w:sz="1"/>
            </w:tcBorders>
            <w:shd w:fill="1F3A5F" w:val="clear"/>
            <w:tcMar>
              <w:top w:type="dxa" w:w="60"/>
              <w:left w:type="dxa" w:w="110"/>
              <w:bottom w:type="dxa" w:w="60"/>
              <w:right w:type="dxa" w:w="110"/>
            </w:tcMar>
            <w:vAlign w:val="center"/>
          </w:tcPr>
          <w:p>
            <w:pPr>
              <w:spacing w:after="0" w:before="0"/>
            </w:pPr>
            <w:r>
              <w:rPr>
                <w:b/>
                <w:bCs/>
                <w:color w:val="FFFFFF"/>
                <w:sz w:val="21"/>
                <w:szCs w:val="21"/>
              </w:rPr>
              <w:t xml:space="preserve">Priority</w:t>
            </w:r>
          </w:p>
        </w:tc>
      </w:tr>
      <w:tr>
        <w:tc>
          <w:tcPr>
            <w:tcW w:type="dxa" w:w="9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BR-01</w:t>
            </w:r>
          </w:p>
        </w:tc>
        <w:tc>
          <w:tcPr>
            <w:tcW w:type="dxa" w:w="71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The system shall validate each change request against the provider's current contract state.</w:t>
            </w:r>
          </w:p>
        </w:tc>
        <w:tc>
          <w:tcPr>
            <w:tcW w:type="dxa" w:w="13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Must</w:t>
            </w:r>
          </w:p>
        </w:tc>
      </w:tr>
      <w:tr>
        <w:tc>
          <w:tcPr>
            <w:tcW w:type="dxa" w:w="9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BR-02</w:t>
            </w:r>
          </w:p>
        </w:tc>
        <w:tc>
          <w:tcPr>
            <w:tcW w:type="dxa" w:w="716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The system shall apply only the rules relevant to a change's category (via applies_to_change_category).</w:t>
            </w:r>
          </w:p>
        </w:tc>
        <w:tc>
          <w:tcPr>
            <w:tcW w:type="dxa" w:w="13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Must</w:t>
            </w:r>
          </w:p>
        </w:tc>
      </w:tr>
      <w:tr>
        <w:tc>
          <w:tcPr>
            <w:tcW w:type="dxa" w:w="9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BR-03</w:t>
            </w:r>
          </w:p>
        </w:tc>
        <w:tc>
          <w:tcPr>
            <w:tcW w:type="dxa" w:w="71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The system shall produce exactly one outcome per request from the controlled vocabulary.</w:t>
            </w:r>
          </w:p>
        </w:tc>
        <w:tc>
          <w:tcPr>
            <w:tcW w:type="dxa" w:w="13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Must</w:t>
            </w:r>
          </w:p>
        </w:tc>
      </w:tr>
      <w:tr>
        <w:tc>
          <w:tcPr>
            <w:tcW w:type="dxa" w:w="9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BR-04</w:t>
            </w:r>
          </w:p>
        </w:tc>
        <w:tc>
          <w:tcPr>
            <w:tcW w:type="dxa" w:w="716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The system shall produce the corresponding downstream contract action for each outcome.</w:t>
            </w:r>
          </w:p>
        </w:tc>
        <w:tc>
          <w:tcPr>
            <w:tcW w:type="dxa" w:w="13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Must</w:t>
            </w:r>
          </w:p>
        </w:tc>
      </w:tr>
      <w:tr>
        <w:tc>
          <w:tcPr>
            <w:tcW w:type="dxa" w:w="9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BR-05</w:t>
            </w:r>
          </w:p>
        </w:tc>
        <w:tc>
          <w:tcPr>
            <w:tcW w:type="dxa" w:w="71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Every decision shall include the list of rules evaluated, their verdicts, and the tags that fired.</w:t>
            </w:r>
          </w:p>
        </w:tc>
        <w:tc>
          <w:tcPr>
            <w:tcW w:type="dxa" w:w="13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Must</w:t>
            </w:r>
          </w:p>
        </w:tc>
      </w:tr>
      <w:tr>
        <w:tc>
          <w:tcPr>
            <w:tcW w:type="dxa" w:w="9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BR-06</w:t>
            </w:r>
          </w:p>
        </w:tc>
        <w:tc>
          <w:tcPr>
            <w:tcW w:type="dxa" w:w="716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Final Adverse Legal Action on a request shall always result in DENY (hard block, highest precedence).</w:t>
            </w:r>
          </w:p>
        </w:tc>
        <w:tc>
          <w:tcPr>
            <w:tcW w:type="dxa" w:w="13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Must</w:t>
            </w:r>
          </w:p>
        </w:tc>
      </w:tr>
      <w:tr>
        <w:tc>
          <w:tcPr>
            <w:tcW w:type="dxa" w:w="9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BR-07</w:t>
            </w:r>
          </w:p>
        </w:tc>
        <w:tc>
          <w:tcPr>
            <w:tcW w:type="dxa" w:w="71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An out-of-state Practice Location Add shall result in INITIAL_ENROLLMENT_REQUIRED.</w:t>
            </w:r>
          </w:p>
        </w:tc>
        <w:tc>
          <w:tcPr>
            <w:tcW w:type="dxa" w:w="13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Must</w:t>
            </w:r>
          </w:p>
        </w:tc>
      </w:tr>
      <w:tr>
        <w:tc>
          <w:tcPr>
            <w:tcW w:type="dxa" w:w="9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BR-08</w:t>
            </w:r>
          </w:p>
        </w:tc>
        <w:tc>
          <w:tcPr>
            <w:tcW w:type="dxa" w:w="716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Missing/incomplete documentation or unverified reassignee shall result in DEVELOP.</w:t>
            </w:r>
          </w:p>
        </w:tc>
        <w:tc>
          <w:tcPr>
            <w:tcW w:type="dxa" w:w="13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Must</w:t>
            </w:r>
          </w:p>
        </w:tc>
      </w:tr>
      <w:tr>
        <w:tc>
          <w:tcPr>
            <w:tcW w:type="dxa" w:w="9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BR-09</w:t>
            </w:r>
          </w:p>
        </w:tc>
        <w:tc>
          <w:tcPr>
            <w:tcW w:type="dxa" w:w="71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The system shall batch-score all requests and report accuracy vs. expected_validation_outcome.</w:t>
            </w:r>
          </w:p>
        </w:tc>
        <w:tc>
          <w:tcPr>
            <w:tcW w:type="dxa" w:w="13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Must</w:t>
            </w:r>
          </w:p>
        </w:tc>
      </w:tr>
      <w:tr>
        <w:tc>
          <w:tcPr>
            <w:tcW w:type="dxa" w:w="9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BR-10</w:t>
            </w:r>
          </w:p>
        </w:tc>
        <w:tc>
          <w:tcPr>
            <w:tcW w:type="dxa" w:w="716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The reviewer UI shall let a user select a request and view the full decision trace.</w:t>
            </w:r>
          </w:p>
        </w:tc>
        <w:tc>
          <w:tcPr>
            <w:tcW w:type="dxa" w:w="13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Should</w:t>
            </w:r>
          </w:p>
        </w:tc>
      </w:tr>
      <w:tr>
        <w:tc>
          <w:tcPr>
            <w:tcW w:type="dxa" w:w="9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BR-11</w:t>
            </w:r>
          </w:p>
        </w:tc>
        <w:tc>
          <w:tcPr>
            <w:tcW w:type="dxa" w:w="71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The rulebook shall be editable as configuration without code changes to the decision logic.</w:t>
            </w:r>
          </w:p>
        </w:tc>
        <w:tc>
          <w:tcPr>
            <w:tcW w:type="dxa" w:w="13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Should</w:t>
            </w:r>
          </w:p>
        </w:tc>
      </w:tr>
      <w:tr>
        <w:tc>
          <w:tcPr>
            <w:tcW w:type="dxa" w:w="9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BR-12</w:t>
            </w:r>
          </w:p>
        </w:tc>
        <w:tc>
          <w:tcPr>
            <w:tcW w:type="dxa" w:w="716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The system shall record per-category accuracy and surface the imbalanced/absent classes.</w:t>
            </w:r>
          </w:p>
        </w:tc>
        <w:tc>
          <w:tcPr>
            <w:tcW w:type="dxa" w:w="13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Could</w:t>
            </w:r>
          </w:p>
        </w:tc>
      </w:tr>
    </w:tbl>
    <w:p>
      <w:pPr>
        <w:pStyle w:val="Heading2"/>
      </w:pPr>
      <w:r>
        <w:t xml:space="preserve">4.1 Outcome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800"/>
      </w:tblGrid>
      <w:tr>
        <w:trPr>
          <w:tblHeader/>
        </w:trPr>
        <w:tc>
          <w:tcPr>
            <w:tcW w:type="dxa" w:w="2600"/>
            <w:tcBorders>
              <w:top w:val="single" w:color="C8D2DC" w:sz="1"/>
              <w:left w:val="single" w:color="C8D2DC" w:sz="1"/>
              <w:bottom w:val="single" w:color="C8D2DC" w:sz="1"/>
              <w:right w:val="single" w:color="C8D2DC" w:sz="1"/>
            </w:tcBorders>
            <w:shd w:fill="1F3A5F" w:val="clear"/>
            <w:tcMar>
              <w:top w:type="dxa" w:w="60"/>
              <w:left w:type="dxa" w:w="110"/>
              <w:bottom w:type="dxa" w:w="60"/>
              <w:right w:type="dxa" w:w="110"/>
            </w:tcMar>
            <w:vAlign w:val="center"/>
          </w:tcPr>
          <w:p>
            <w:pPr>
              <w:spacing w:after="0" w:before="0"/>
            </w:pPr>
            <w:r>
              <w:rPr>
                <w:b/>
                <w:bCs/>
                <w:color w:val="FFFFFF"/>
                <w:sz w:val="21"/>
                <w:szCs w:val="21"/>
              </w:rPr>
              <w:t xml:space="preserve">Outcome</w:t>
            </w:r>
          </w:p>
        </w:tc>
        <w:tc>
          <w:tcPr>
            <w:tcW w:type="dxa" w:w="3960"/>
            <w:tcBorders>
              <w:top w:val="single" w:color="C8D2DC" w:sz="1"/>
              <w:left w:val="single" w:color="C8D2DC" w:sz="1"/>
              <w:bottom w:val="single" w:color="C8D2DC" w:sz="1"/>
              <w:right w:val="single" w:color="C8D2DC" w:sz="1"/>
            </w:tcBorders>
            <w:shd w:fill="1F3A5F" w:val="clear"/>
            <w:tcMar>
              <w:top w:type="dxa" w:w="60"/>
              <w:left w:type="dxa" w:w="110"/>
              <w:bottom w:type="dxa" w:w="60"/>
              <w:right w:type="dxa" w:w="110"/>
            </w:tcMar>
            <w:vAlign w:val="center"/>
          </w:tcPr>
          <w:p>
            <w:pPr>
              <w:spacing w:after="0" w:before="0"/>
            </w:pPr>
            <w:r>
              <w:rPr>
                <w:b/>
                <w:bCs/>
                <w:color w:val="FFFFFF"/>
                <w:sz w:val="21"/>
                <w:szCs w:val="21"/>
              </w:rPr>
              <w:t xml:space="preserve">Meaning</w:t>
            </w:r>
          </w:p>
        </w:tc>
        <w:tc>
          <w:tcPr>
            <w:tcW w:type="dxa" w:w="2800"/>
            <w:tcBorders>
              <w:top w:val="single" w:color="C8D2DC" w:sz="1"/>
              <w:left w:val="single" w:color="C8D2DC" w:sz="1"/>
              <w:bottom w:val="single" w:color="C8D2DC" w:sz="1"/>
              <w:right w:val="single" w:color="C8D2DC" w:sz="1"/>
            </w:tcBorders>
            <w:shd w:fill="1F3A5F" w:val="clear"/>
            <w:tcMar>
              <w:top w:type="dxa" w:w="60"/>
              <w:left w:type="dxa" w:w="110"/>
              <w:bottom w:type="dxa" w:w="60"/>
              <w:right w:type="dxa" w:w="110"/>
            </w:tcMar>
            <w:vAlign w:val="center"/>
          </w:tcPr>
          <w:p>
            <w:pPr>
              <w:spacing w:after="0" w:before="0"/>
            </w:pPr>
            <w:r>
              <w:rPr>
                <w:b/>
                <w:bCs/>
                <w:color w:val="FFFFFF"/>
                <w:sz w:val="21"/>
                <w:szCs w:val="21"/>
              </w:rPr>
              <w:t xml:space="preserve">Typical Contract Action</w:t>
            </w:r>
          </w:p>
        </w:tc>
      </w:tr>
      <w:tr>
        <w:tc>
          <w:tcPr>
            <w:tcW w:type="dxa" w:w="26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APPROVE</w:t>
            </w:r>
          </w:p>
        </w:tc>
        <w:tc>
          <w:tcPr>
            <w:tcW w:type="dxa" w:w="39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Change passes all applicable rules.</w:t>
            </w:r>
          </w:p>
        </w:tc>
        <w:tc>
          <w:tcPr>
            <w:tcW w:type="dxa" w:w="28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Apply change to contract.</w:t>
            </w:r>
          </w:p>
        </w:tc>
      </w:tr>
      <w:tr>
        <w:tc>
          <w:tcPr>
            <w:tcW w:type="dxa" w:w="26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DEVELOP</w:t>
            </w:r>
          </w:p>
        </w:tc>
        <w:tc>
          <w:tcPr>
            <w:tcW w:type="dxa" w:w="396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Additional information/documentation required before deciding.</w:t>
            </w:r>
          </w:p>
        </w:tc>
        <w:tc>
          <w:tcPr>
            <w:tcW w:type="dxa" w:w="28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Issue development request; set due date.</w:t>
            </w:r>
          </w:p>
        </w:tc>
      </w:tr>
      <w:tr>
        <w:tc>
          <w:tcPr>
            <w:tcW w:type="dxa" w:w="26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DENY</w:t>
            </w:r>
          </w:p>
        </w:tc>
        <w:tc>
          <w:tcPr>
            <w:tcW w:type="dxa" w:w="39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Change blocked on substantive grounds (e.g. adverse action).</w:t>
            </w:r>
          </w:p>
        </w:tc>
        <w:tc>
          <w:tcPr>
            <w:tcW w:type="dxa" w:w="28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Reject change; refer for review.</w:t>
            </w:r>
          </w:p>
        </w:tc>
      </w:tr>
      <w:tr>
        <w:tc>
          <w:tcPr>
            <w:tcW w:type="dxa" w:w="26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REJECT</w:t>
            </w:r>
          </w:p>
        </w:tc>
        <w:tc>
          <w:tcPr>
            <w:tcW w:type="dxa" w:w="396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Submission is procedurally invalid (e.g. wrong form, missing signature).</w:t>
            </w:r>
          </w:p>
        </w:tc>
        <w:tc>
          <w:tcPr>
            <w:tcW w:type="dxa" w:w="28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Return submission to provider.</w:t>
            </w:r>
          </w:p>
        </w:tc>
      </w:tr>
      <w:tr>
        <w:tc>
          <w:tcPr>
            <w:tcW w:type="dxa" w:w="26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INITIAL_ENROLLMENT_REQUIRED</w:t>
            </w:r>
          </w:p>
        </w:tc>
        <w:tc>
          <w:tcPr>
            <w:tcW w:type="dxa" w:w="39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Change cannot be processed as a modification; requires new enrollment.</w:t>
            </w:r>
          </w:p>
        </w:tc>
        <w:tc>
          <w:tcPr>
            <w:tcW w:type="dxa" w:w="28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Route to initial enrollment intake.</w:t>
            </w:r>
          </w:p>
        </w:tc>
      </w:tr>
    </w:tbl>
    <w:p>
      <w:pPr>
        <w:spacing w:after="120"/>
      </w:pPr>
      <w:r>
        <w:rPr>
          <w:b/>
          <w:bCs/>
        </w:rPr>
        <w:t xml:space="preserve">Note on REJECT: </w:t>
      </w:r>
      <w:r>
        <w:t xml:space="preserve">REJECT is a valid outcome in the vocabulary but appears in zero rows of the labeled data. It must therefore be </w:t>
      </w:r>
      <w:r>
        <w:rPr>
          <w:b/>
          <w:bCs/>
        </w:rPr>
        <w:t xml:space="preserve">rule-driven, not learned</w:t>
      </w:r>
      <w:r>
        <w:t xml:space="preserve">, and validated with synthetic procedural-failure cases.</w:t>
      </w:r>
    </w:p>
    <w:p>
      <w:pPr>
        <w:pStyle w:val="Heading1"/>
      </w:pPr>
      <w:r>
        <w:t xml:space="preserve">5. Acceptance Criteria</w:t>
      </w:r>
    </w:p>
    <w:p>
      <w:pPr>
        <w:spacing w:after="120"/>
      </w:pPr>
      <w:r>
        <w:t xml:space="preserve">The engine is accepted when, run over the full set of 60 labeled change requests, it reproduces the expected outcome distribution and every individual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600"/>
        <w:gridCol w:w="3400"/>
      </w:tblGrid>
      <w:tr>
        <w:trPr>
          <w:tblHeader/>
        </w:trPr>
        <w:tc>
          <w:tcPr>
            <w:tcW w:type="dxa" w:w="4360"/>
            <w:tcBorders>
              <w:top w:val="single" w:color="C8D2DC" w:sz="1"/>
              <w:left w:val="single" w:color="C8D2DC" w:sz="1"/>
              <w:bottom w:val="single" w:color="C8D2DC" w:sz="1"/>
              <w:right w:val="single" w:color="C8D2DC" w:sz="1"/>
            </w:tcBorders>
            <w:shd w:fill="1F3A5F" w:val="clear"/>
            <w:tcMar>
              <w:top w:type="dxa" w:w="60"/>
              <w:left w:type="dxa" w:w="110"/>
              <w:bottom w:type="dxa" w:w="60"/>
              <w:right w:type="dxa" w:w="110"/>
            </w:tcMar>
            <w:vAlign w:val="center"/>
          </w:tcPr>
          <w:p>
            <w:pPr>
              <w:spacing w:after="0" w:before="0"/>
            </w:pPr>
            <w:r>
              <w:rPr>
                <w:b/>
                <w:bCs/>
                <w:color w:val="FFFFFF"/>
                <w:sz w:val="21"/>
                <w:szCs w:val="21"/>
              </w:rPr>
              <w:t xml:space="preserve">Expected Outcome</w:t>
            </w:r>
          </w:p>
        </w:tc>
        <w:tc>
          <w:tcPr>
            <w:tcW w:type="dxa" w:w="1600"/>
            <w:tcBorders>
              <w:top w:val="single" w:color="C8D2DC" w:sz="1"/>
              <w:left w:val="single" w:color="C8D2DC" w:sz="1"/>
              <w:bottom w:val="single" w:color="C8D2DC" w:sz="1"/>
              <w:right w:val="single" w:color="C8D2DC" w:sz="1"/>
            </w:tcBorders>
            <w:shd w:fill="1F3A5F" w:val="clear"/>
            <w:tcMar>
              <w:top w:type="dxa" w:w="60"/>
              <w:left w:type="dxa" w:w="110"/>
              <w:bottom w:type="dxa" w:w="60"/>
              <w:right w:type="dxa" w:w="110"/>
            </w:tcMar>
            <w:vAlign w:val="center"/>
          </w:tcPr>
          <w:p>
            <w:pPr>
              <w:spacing w:after="0" w:before="0"/>
            </w:pPr>
            <w:r>
              <w:rPr>
                <w:b/>
                <w:bCs/>
                <w:color w:val="FFFFFF"/>
                <w:sz w:val="21"/>
                <w:szCs w:val="21"/>
              </w:rPr>
              <w:t xml:space="preserve">Count</w:t>
            </w:r>
          </w:p>
        </w:tc>
        <w:tc>
          <w:tcPr>
            <w:tcW w:type="dxa" w:w="3400"/>
            <w:tcBorders>
              <w:top w:val="single" w:color="C8D2DC" w:sz="1"/>
              <w:left w:val="single" w:color="C8D2DC" w:sz="1"/>
              <w:bottom w:val="single" w:color="C8D2DC" w:sz="1"/>
              <w:right w:val="single" w:color="C8D2DC" w:sz="1"/>
            </w:tcBorders>
            <w:shd w:fill="1F3A5F" w:val="clear"/>
            <w:tcMar>
              <w:top w:type="dxa" w:w="60"/>
              <w:left w:type="dxa" w:w="110"/>
              <w:bottom w:type="dxa" w:w="60"/>
              <w:right w:type="dxa" w:w="110"/>
            </w:tcMar>
            <w:vAlign w:val="center"/>
          </w:tcPr>
          <w:p>
            <w:pPr>
              <w:spacing w:after="0" w:before="0"/>
            </w:pPr>
            <w:r>
              <w:rPr>
                <w:b/>
                <w:bCs/>
                <w:color w:val="FFFFFF"/>
                <w:sz w:val="21"/>
                <w:szCs w:val="21"/>
              </w:rPr>
              <w:t xml:space="preserve">Acceptance</w:t>
            </w:r>
          </w:p>
        </w:tc>
      </w:tr>
      <w:tr>
        <w:tc>
          <w:tcPr>
            <w:tcW w:type="dxa" w:w="43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APPROVE</w:t>
            </w:r>
          </w:p>
        </w:tc>
        <w:tc>
          <w:tcPr>
            <w:tcW w:type="dxa" w:w="16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49</w:t>
            </w:r>
          </w:p>
        </w:tc>
        <w:tc>
          <w:tcPr>
            <w:tcW w:type="dxa" w:w="34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Exact match per row</w:t>
            </w:r>
          </w:p>
        </w:tc>
      </w:tr>
      <w:tr>
        <w:tc>
          <w:tcPr>
            <w:tcW w:type="dxa" w:w="436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DEVELOP</w:t>
            </w:r>
          </w:p>
        </w:tc>
        <w:tc>
          <w:tcPr>
            <w:tcW w:type="dxa" w:w="16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6</w:t>
            </w:r>
          </w:p>
        </w:tc>
        <w:tc>
          <w:tcPr>
            <w:tcW w:type="dxa" w:w="34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Exact match per row</w:t>
            </w:r>
          </w:p>
        </w:tc>
      </w:tr>
      <w:tr>
        <w:tc>
          <w:tcPr>
            <w:tcW w:type="dxa" w:w="43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DENY</w:t>
            </w:r>
          </w:p>
        </w:tc>
        <w:tc>
          <w:tcPr>
            <w:tcW w:type="dxa" w:w="16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4</w:t>
            </w:r>
          </w:p>
        </w:tc>
        <w:tc>
          <w:tcPr>
            <w:tcW w:type="dxa" w:w="34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Exact match per row</w:t>
            </w:r>
          </w:p>
        </w:tc>
      </w:tr>
      <w:tr>
        <w:tc>
          <w:tcPr>
            <w:tcW w:type="dxa" w:w="436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INITIAL_ENROLLMENT_REQUIRED</w:t>
            </w:r>
          </w:p>
        </w:tc>
        <w:tc>
          <w:tcPr>
            <w:tcW w:type="dxa" w:w="16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1</w:t>
            </w:r>
          </w:p>
        </w:tc>
        <w:tc>
          <w:tcPr>
            <w:tcW w:type="dxa" w:w="34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Exact match per row</w:t>
            </w:r>
          </w:p>
        </w:tc>
      </w:tr>
      <w:tr>
        <w:tc>
          <w:tcPr>
            <w:tcW w:type="dxa" w:w="43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REJECT</w:t>
            </w:r>
          </w:p>
        </w:tc>
        <w:tc>
          <w:tcPr>
            <w:tcW w:type="dxa" w:w="16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0</w:t>
            </w:r>
          </w:p>
        </w:tc>
        <w:tc>
          <w:tcPr>
            <w:tcW w:type="dxa" w:w="34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Validated via synthetic cases</w:t>
            </w:r>
          </w:p>
        </w:tc>
      </w:tr>
      <w:tr>
        <w:tc>
          <w:tcPr>
            <w:tcW w:type="dxa" w:w="436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Total</w:t>
            </w:r>
          </w:p>
        </w:tc>
        <w:tc>
          <w:tcPr>
            <w:tcW w:type="dxa" w:w="16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60</w:t>
            </w:r>
          </w:p>
        </w:tc>
        <w:tc>
          <w:tcPr>
            <w:tcW w:type="dxa" w:w="34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100% reproduction of labels</w:t>
            </w:r>
          </w:p>
        </w:tc>
      </w:tr>
    </w:tbl>
    <w:p>
      <w:pPr>
        <w:spacing w:after="80"/>
      </w:pPr>
      <w:r>
        <w:t xml:space="preserve"/>
      </w:r>
    </w:p>
    <w:p>
      <w:pPr>
        <w:pStyle w:val="ListParagraph"/>
        <w:numPr>
          <w:ilvl w:val="0"/>
          <w:numId w:val="2"/>
        </w:numPr>
        <w:spacing w:after="60"/>
      </w:pPr>
      <w:r>
        <w:rPr>
          <w:b/>
          <w:bCs/>
        </w:rPr>
        <w:t xml:space="preserve">AC-1: </w:t>
      </w:r>
      <w:r>
        <w:t xml:space="preserve">Batch scoring reports 60/60 outcome matches against expected_validation_outcome.</w:t>
      </w:r>
    </w:p>
    <w:p>
      <w:pPr>
        <w:pStyle w:val="ListParagraph"/>
        <w:numPr>
          <w:ilvl w:val="0"/>
          <w:numId w:val="2"/>
        </w:numPr>
        <w:spacing w:after="60"/>
      </w:pPr>
      <w:r>
        <w:rPr>
          <w:b/>
          <w:bCs/>
        </w:rPr>
        <w:t xml:space="preserve">AC-2: </w:t>
      </w:r>
      <w:r>
        <w:t xml:space="preserve">Every DENY traces to rule R-005 (Final Adverse Legal Action).</w:t>
      </w:r>
    </w:p>
    <w:p>
      <w:pPr>
        <w:pStyle w:val="ListParagraph"/>
        <w:numPr>
          <w:ilvl w:val="0"/>
          <w:numId w:val="2"/>
        </w:numPr>
        <w:spacing w:after="60"/>
      </w:pPr>
      <w:r>
        <w:rPr>
          <w:b/>
          <w:bCs/>
        </w:rPr>
        <w:t xml:space="preserve">AC-3: </w:t>
      </w:r>
      <w:r>
        <w:t xml:space="preserve">The single INITIAL_ENROLLMENT_REQUIRED traces to rule R-003 (cross-state Practice Location Add).</w:t>
      </w:r>
    </w:p>
    <w:p>
      <w:pPr>
        <w:pStyle w:val="ListParagraph"/>
        <w:numPr>
          <w:ilvl w:val="0"/>
          <w:numId w:val="2"/>
        </w:numPr>
        <w:spacing w:after="60"/>
      </w:pPr>
      <w:r>
        <w:rPr>
          <w:b/>
          <w:bCs/>
        </w:rPr>
        <w:t xml:space="preserve">AC-4: </w:t>
      </w:r>
      <w:r>
        <w:t xml:space="preserve">All DEVELOP outcomes correlate with development_requested = Yes or a populated development_response_due_date.</w:t>
      </w:r>
    </w:p>
    <w:p>
      <w:pPr>
        <w:pStyle w:val="ListParagraph"/>
        <w:numPr>
          <w:ilvl w:val="0"/>
          <w:numId w:val="2"/>
        </w:numPr>
        <w:spacing w:after="60"/>
      </w:pPr>
      <w:r>
        <w:rPr>
          <w:b/>
          <w:bCs/>
        </w:rPr>
        <w:t xml:space="preserve">AC-5: </w:t>
      </w:r>
      <w:r>
        <w:t xml:space="preserve">Each decision in the UI shows the evaluated rules, verdicts, and fired tags.</w:t>
      </w:r>
    </w:p>
    <w:p>
      <w:pPr>
        <w:pStyle w:val="Heading1"/>
      </w:pPr>
      <w:r>
        <w:t xml:space="preserve">6. Assumptions, Constraints &amp; Risks</w:t>
      </w:r>
    </w:p>
    <w:p>
      <w:pPr>
        <w:pStyle w:val="Heading2"/>
      </w:pPr>
      <w:r>
        <w:t xml:space="preserve">6.1 Assumptions</w:t>
      </w:r>
    </w:p>
    <w:p>
      <w:pPr>
        <w:pStyle w:val="ListParagraph"/>
        <w:numPr>
          <w:ilvl w:val="0"/>
          <w:numId w:val="2"/>
        </w:numPr>
        <w:spacing w:after="60"/>
      </w:pPr>
      <w:r>
        <w:t xml:space="preserve">The synthetic dataset is representative of the rule conditions the engine must handle.</w:t>
      </w:r>
    </w:p>
    <w:p>
      <w:pPr>
        <w:pStyle w:val="ListParagraph"/>
        <w:numPr>
          <w:ilvl w:val="0"/>
          <w:numId w:val="2"/>
        </w:numPr>
        <w:spacing w:after="60"/>
      </w:pPr>
      <w:r>
        <w:t xml:space="preserve">The rulebook (R-001…R-010) is authoritative and supersedes any conflicting heuristic.</w:t>
      </w:r>
    </w:p>
    <w:p>
      <w:pPr>
        <w:pStyle w:val="ListParagraph"/>
        <w:numPr>
          <w:ilvl w:val="0"/>
          <w:numId w:val="2"/>
        </w:numPr>
        <w:spacing w:after="60"/>
      </w:pPr>
      <w:r>
        <w:t xml:space="preserve">Reviewers act on DEVELOP/DENY routing; the engine does not auto-correct contracts.</w:t>
      </w:r>
    </w:p>
    <w:p>
      <w:pPr>
        <w:pStyle w:val="Heading2"/>
      </w:pPr>
      <w:r>
        <w:t xml:space="preserve">6.2 Constraints</w:t>
      </w:r>
    </w:p>
    <w:p>
      <w:pPr>
        <w:pStyle w:val="ListParagraph"/>
        <w:numPr>
          <w:ilvl w:val="0"/>
          <w:numId w:val="2"/>
        </w:numPr>
        <w:spacing w:after="60"/>
      </w:pPr>
      <w:r>
        <w:t xml:space="preserve">v1 runs locally / single-tenant with file-backed configuration and no external CMS calls.</w:t>
      </w:r>
    </w:p>
    <w:p>
      <w:pPr>
        <w:pStyle w:val="ListParagraph"/>
        <w:numPr>
          <w:ilvl w:val="0"/>
          <w:numId w:val="2"/>
        </w:numPr>
        <w:spacing w:after="60"/>
      </w:pPr>
      <w:r>
        <w:t xml:space="preserve">Decision logic must be deterministic and fully explainable (no opaque model in the decision path).</w:t>
      </w:r>
    </w:p>
    <w:p>
      <w:pPr>
        <w:pStyle w:val="Heading2"/>
      </w:pPr>
      <w:r>
        <w:t xml:space="preserve">6.3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8D2DC" w:sz="1"/>
              <w:left w:val="single" w:color="C8D2DC" w:sz="1"/>
              <w:bottom w:val="single" w:color="C8D2DC" w:sz="1"/>
              <w:right w:val="single" w:color="C8D2DC" w:sz="1"/>
            </w:tcBorders>
            <w:shd w:fill="1F3A5F" w:val="clear"/>
            <w:tcMar>
              <w:top w:type="dxa" w:w="60"/>
              <w:left w:type="dxa" w:w="110"/>
              <w:bottom w:type="dxa" w:w="60"/>
              <w:right w:type="dxa" w:w="110"/>
            </w:tcMar>
            <w:vAlign w:val="center"/>
          </w:tcPr>
          <w:p>
            <w:pPr>
              <w:spacing w:after="0" w:before="0"/>
            </w:pPr>
            <w:r>
              <w:rPr>
                <w:b/>
                <w:bCs/>
                <w:color w:val="FFFFFF"/>
                <w:sz w:val="21"/>
                <w:szCs w:val="21"/>
              </w:rPr>
              <w:t xml:space="preserve">Risk</w:t>
            </w:r>
          </w:p>
        </w:tc>
        <w:tc>
          <w:tcPr>
            <w:tcW w:type="dxa" w:w="3200"/>
            <w:tcBorders>
              <w:top w:val="single" w:color="C8D2DC" w:sz="1"/>
              <w:left w:val="single" w:color="C8D2DC" w:sz="1"/>
              <w:bottom w:val="single" w:color="C8D2DC" w:sz="1"/>
              <w:right w:val="single" w:color="C8D2DC" w:sz="1"/>
            </w:tcBorders>
            <w:shd w:fill="1F3A5F" w:val="clear"/>
            <w:tcMar>
              <w:top w:type="dxa" w:w="60"/>
              <w:left w:type="dxa" w:w="110"/>
              <w:bottom w:type="dxa" w:w="60"/>
              <w:right w:type="dxa" w:w="110"/>
            </w:tcMar>
            <w:vAlign w:val="center"/>
          </w:tcPr>
          <w:p>
            <w:pPr>
              <w:spacing w:after="0" w:before="0"/>
            </w:pPr>
            <w:r>
              <w:rPr>
                <w:b/>
                <w:bCs/>
                <w:color w:val="FFFFFF"/>
                <w:sz w:val="21"/>
                <w:szCs w:val="21"/>
              </w:rPr>
              <w:t xml:space="preserve">Impact</w:t>
            </w:r>
          </w:p>
        </w:tc>
        <w:tc>
          <w:tcPr>
            <w:tcW w:type="dxa" w:w="3560"/>
            <w:tcBorders>
              <w:top w:val="single" w:color="C8D2DC" w:sz="1"/>
              <w:left w:val="single" w:color="C8D2DC" w:sz="1"/>
              <w:bottom w:val="single" w:color="C8D2DC" w:sz="1"/>
              <w:right w:val="single" w:color="C8D2DC" w:sz="1"/>
            </w:tcBorders>
            <w:shd w:fill="1F3A5F" w:val="clear"/>
            <w:tcMar>
              <w:top w:type="dxa" w:w="60"/>
              <w:left w:type="dxa" w:w="110"/>
              <w:bottom w:type="dxa" w:w="60"/>
              <w:right w:type="dxa" w:w="110"/>
            </w:tcMar>
            <w:vAlign w:val="center"/>
          </w:tcPr>
          <w:p>
            <w:pPr>
              <w:spacing w:after="0" w:before="0"/>
            </w:pPr>
            <w:r>
              <w:rPr>
                <w:b/>
                <w:bCs/>
                <w:color w:val="FFFFFF"/>
                <w:sz w:val="21"/>
                <w:szCs w:val="21"/>
              </w:rPr>
              <w:t xml:space="preserve">Mitigation</w:t>
            </w:r>
          </w:p>
        </w:tc>
      </w:tr>
      <w:tr>
        <w:tc>
          <w:tcPr>
            <w:tcW w:type="dxa" w:w="26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Label imbalance (82% APPROVE)</w:t>
            </w:r>
          </w:p>
        </w:tc>
        <w:tc>
          <w:tcPr>
            <w:tcW w:type="dxa" w:w="32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ML-only approach overfits to APPROVE</w:t>
            </w:r>
          </w:p>
        </w:tc>
        <w:tc>
          <w:tcPr>
            <w:tcW w:type="dxa" w:w="35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Use deterministic rules; reserve ML for assistance/triage only</w:t>
            </w:r>
          </w:p>
        </w:tc>
      </w:tr>
      <w:tr>
        <w:tc>
          <w:tcPr>
            <w:tcW w:type="dxa" w:w="26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REJECT absent from data</w:t>
            </w:r>
          </w:p>
        </w:tc>
        <w:tc>
          <w:tcPr>
            <w:tcW w:type="dxa" w:w="32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Cannot learn or regression-test from labels</w:t>
            </w:r>
          </w:p>
        </w:tc>
        <w:tc>
          <w:tcPr>
            <w:tcW w:type="dxa" w:w="356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Drive by rule; add synthetic REJECT fixtures</w:t>
            </w:r>
          </w:p>
        </w:tc>
      </w:tr>
      <w:tr>
        <w:tc>
          <w:tcPr>
            <w:tcW w:type="dxa" w:w="26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Rulebook drift</w:t>
            </w:r>
          </w:p>
        </w:tc>
        <w:tc>
          <w:tcPr>
            <w:tcW w:type="dxa" w:w="32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Decisions diverge from CMS standards over time</w:t>
            </w:r>
          </w:p>
        </w:tc>
        <w:tc>
          <w:tcPr>
            <w:tcW w:type="dxa" w:w="35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Version the rulebook; re-run regression on every change</w:t>
            </w:r>
          </w:p>
        </w:tc>
      </w:tr>
      <w:tr>
        <w:tc>
          <w:tcPr>
            <w:tcW w:type="dxa" w:w="26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Hidden coupling in rules</w:t>
            </w:r>
          </w:p>
        </w:tc>
        <w:tc>
          <w:tcPr>
            <w:tcW w:type="dxa" w:w="32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Hard to maintain or audit</w:t>
            </w:r>
          </w:p>
        </w:tc>
        <w:tc>
          <w:tcPr>
            <w:tcW w:type="dxa" w:w="356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Implement each rule as a pure function with a single verdict</w:t>
            </w:r>
          </w:p>
        </w:tc>
      </w:tr>
    </w:tbl>
    <w:p>
      <w:pPr>
        <w:pStyle w:val="Heading1"/>
      </w:pPr>
      <w:r>
        <w:t xml:space="preserve">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DC" w:sz="1"/>
              <w:left w:val="single" w:color="C8D2DC" w:sz="1"/>
              <w:bottom w:val="single" w:color="C8D2DC" w:sz="1"/>
              <w:right w:val="single" w:color="C8D2DC" w:sz="1"/>
            </w:tcBorders>
            <w:shd w:fill="1F3A5F" w:val="clear"/>
            <w:tcMar>
              <w:top w:type="dxa" w:w="60"/>
              <w:left w:type="dxa" w:w="110"/>
              <w:bottom w:type="dxa" w:w="60"/>
              <w:right w:type="dxa" w:w="110"/>
            </w:tcMar>
            <w:vAlign w:val="center"/>
          </w:tcPr>
          <w:p>
            <w:pPr>
              <w:spacing w:after="0" w:before="0"/>
            </w:pPr>
            <w:r>
              <w:rPr>
                <w:b/>
                <w:bCs/>
                <w:color w:val="FFFFFF"/>
                <w:sz w:val="21"/>
                <w:szCs w:val="21"/>
              </w:rPr>
              <w:t xml:space="preserve">Term</w:t>
            </w:r>
          </w:p>
        </w:tc>
        <w:tc>
          <w:tcPr>
            <w:tcW w:type="dxa" w:w="6960"/>
            <w:tcBorders>
              <w:top w:val="single" w:color="C8D2DC" w:sz="1"/>
              <w:left w:val="single" w:color="C8D2DC" w:sz="1"/>
              <w:bottom w:val="single" w:color="C8D2DC" w:sz="1"/>
              <w:right w:val="single" w:color="C8D2DC" w:sz="1"/>
            </w:tcBorders>
            <w:shd w:fill="1F3A5F" w:val="clear"/>
            <w:tcMar>
              <w:top w:type="dxa" w:w="60"/>
              <w:left w:type="dxa" w:w="110"/>
              <w:bottom w:type="dxa" w:w="60"/>
              <w:right w:type="dxa" w:w="110"/>
            </w:tcMar>
            <w:vAlign w:val="center"/>
          </w:tcPr>
          <w:p>
            <w:pPr>
              <w:spacing w:after="0" w:before="0"/>
            </w:pPr>
            <w:r>
              <w:rPr>
                <w:b/>
                <w:bCs/>
                <w:color w:val="FFFFFF"/>
                <w:sz w:val="21"/>
                <w:szCs w:val="21"/>
              </w:rPr>
              <w:t xml:space="preserve">Definition</w:t>
            </w:r>
          </w:p>
        </w:tc>
      </w:tr>
      <w:tr>
        <w:tc>
          <w:tcPr>
            <w:tcW w:type="dxa" w:w="24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CMS-855I</w:t>
            </w:r>
          </w:p>
        </w:tc>
        <w:tc>
          <w:tcPr>
            <w:tcW w:type="dxa" w:w="69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Medicare enrollment application for individual physicians/practitioners.</w:t>
            </w:r>
          </w:p>
        </w:tc>
      </w:tr>
      <w:tr>
        <w:tc>
          <w:tcPr>
            <w:tcW w:type="dxa" w:w="24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NPI / PTAN / TIN</w:t>
            </w:r>
          </w:p>
        </w:tc>
        <w:tc>
          <w:tcPr>
            <w:tcW w:type="dxa" w:w="696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Provider identifiers used to match a change to its contract.</w:t>
            </w:r>
          </w:p>
        </w:tc>
      </w:tr>
      <w:tr>
        <w:tc>
          <w:tcPr>
            <w:tcW w:type="dxa" w:w="24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Reassignment</w:t>
            </w:r>
          </w:p>
        </w:tc>
        <w:tc>
          <w:tcPr>
            <w:tcW w:type="dxa" w:w="69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Reassignment of the right to bill Medicare benefits to an organization.</w:t>
            </w:r>
          </w:p>
        </w:tc>
      </w:tr>
      <w:tr>
        <w:tc>
          <w:tcPr>
            <w:tcW w:type="dxa" w:w="24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EFT</w:t>
            </w:r>
          </w:p>
        </w:tc>
        <w:tc>
          <w:tcPr>
            <w:tcW w:type="dxa" w:w="696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Electronic Funds Transfer; requires CMS-588 plus banking documentation.</w:t>
            </w:r>
          </w:p>
        </w:tc>
      </w:tr>
      <w:tr>
        <w:tc>
          <w:tcPr>
            <w:tcW w:type="dxa" w:w="240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Develop</w:t>
            </w:r>
          </w:p>
        </w:tc>
        <w:tc>
          <w:tcPr>
            <w:tcW w:type="dxa" w:w="6960"/>
            <w:tcBorders>
              <w:top w:val="single" w:color="C8D2DC" w:sz="1"/>
              <w:left w:val="single" w:color="C8D2DC" w:sz="1"/>
              <w:bottom w:val="single" w:color="C8D2DC" w:sz="1"/>
              <w:right w:val="single" w:color="C8D2DC"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CMS term for requesting additional information before a decision.</w:t>
            </w:r>
          </w:p>
        </w:tc>
      </w:tr>
      <w:tr>
        <w:tc>
          <w:tcPr>
            <w:tcW w:type="dxa" w:w="240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Decision trace</w:t>
            </w:r>
          </w:p>
        </w:tc>
        <w:tc>
          <w:tcPr>
            <w:tcW w:type="dxa" w:w="6960"/>
            <w:tcBorders>
              <w:top w:val="single" w:color="C8D2DC" w:sz="1"/>
              <w:left w:val="single" w:color="C8D2DC" w:sz="1"/>
              <w:bottom w:val="single" w:color="C8D2DC" w:sz="1"/>
              <w:right w:val="single" w:color="C8D2DC" w:sz="1"/>
            </w:tcBorders>
            <w:shd w:fill="F2F5F8" w:val="clear"/>
            <w:tcMar>
              <w:top w:type="dxa" w:w="60"/>
              <w:left w:type="dxa" w:w="110"/>
              <w:bottom w:type="dxa" w:w="60"/>
              <w:right w:type="dxa" w:w="110"/>
            </w:tcMar>
            <w:vAlign w:val="center"/>
          </w:tcPr>
          <w:p>
            <w:pPr>
              <w:spacing w:after="0" w:before="0"/>
            </w:pPr>
            <w:r>
              <w:rPr>
                <w:b w:val="false"/>
                <w:bCs w:val="false"/>
                <w:color w:val="000000"/>
                <w:sz w:val="20"/>
                <w:szCs w:val="20"/>
              </w:rPr>
              <w:t xml:space="preserve">The ordered record of rules evaluated, verdicts, and tags for one request.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C" w:sz="4" w:space="4"/>
      </w:pBdr>
      <w:tabs>
        <w:tab w:val="right" w:pos="9026"/>
      </w:tabs>
    </w:pPr>
    <w:r>
      <w:rPr>
        <w:color w:val="8A98A8"/>
        <w:sz w:val="16"/>
        <w:szCs w:val="16"/>
      </w:rPr>
      <w:t xml:space="preserve">Confidential — Internal</w:t>
    </w:r>
    <w:r>
      <w:rPr>
        <w:color w:val="8A98A8"/>
        <w:sz w:val="16"/>
        <w:szCs w:val="16"/>
      </w:rPr>
      <w:t xml:space="preserve">	Page </w:t>
    </w:r>
    <w:r>
      <w:rPr>
        <w:color w:val="8A98A8"/>
        <w:sz w:val="16"/>
        <w:szCs w:val="16"/>
      </w:rPr>
      <w:fldChar w:fldCharType="begin"/>
      <w:instrText xml:space="preserve">PAGE</w:instrText>
      <w:fldChar w:fldCharType="separate"/>
      <w:fldChar w:fldCharType="end"/>
    </w:r>
    <w:r>
      <w:rPr>
        <w:color w:val="8A98A8"/>
        <w:sz w:val="16"/>
        <w:szCs w:val="16"/>
      </w:rPr>
      <w:t xml:space="preserve"> of </w:t>
    </w:r>
    <w:r>
      <w:rPr>
        <w:color w:val="8A98A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tabs>
        <w:tab w:val="right" w:pos="9026"/>
      </w:tabs>
    </w:pPr>
    <w:r>
      <w:rPr>
        <w:color w:val="8A98A8"/>
        <w:sz w:val="16"/>
        <w:szCs w:val="16"/>
      </w:rPr>
      <w:t xml:space="preserve">BRD — Provider Contract Change Validation Engine</w:t>
    </w:r>
    <w:r>
      <w:rPr>
        <w:color w:val="8A98A8"/>
        <w:sz w:val="16"/>
        <w:szCs w:val="16"/>
      </w:rPr>
      <w:t xml:space="preserve">	Provider Contract Change Validation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Arial" w:cs="Arial" w:eastAsia="Arial" w:hAnsi="Arial"/>
      <w:b/>
      <w:bCs/>
      <w:color w:val="1F3A5F"/>
      <w:sz w:val="56"/>
      <w:szCs w:val="56"/>
    </w:rPr>
  </w:style>
  <w:style w:type="paragraph" w:styleId="Subtitle">
    <w:name w:val="Subtitle"/>
    <w:basedOn w:val="Normal"/>
    <w:next w:val="Normal"/>
    <w:pPr>
      <w:spacing w:after="240" w:before="0"/>
    </w:pPr>
    <w:rPr>
      <w:rFonts w:ascii="Arial" w:cs="Arial" w:eastAsia="Arial" w:hAnsi="Arial"/>
      <w:color w:val="2E75B6"/>
      <w:sz w:val="26"/>
      <w:szCs w:val="26"/>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F3A5F"/>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75B6"/>
      <w:sz w:val="23"/>
      <w:szCs w:val="23"/>
    </w:rPr>
  </w:style>
  <w:style w:type="paragraph" w:styleId="Normal">
    <w:name w:val="Normal"/>
    <w:pPr>
      <w:spacing w:after="120" w:before="0" w:line="276"/>
    </w:pPr>
    <w:rPr>
      <w:rFonts w:ascii="Arial" w:cs="Arial" w:eastAsia="Arial" w:hAnsi="Arial"/>
      <w:sz w:val="22"/>
      <w:szCs w:val="22"/>
    </w:rPr>
  </w:style>
  <w:style w:type="paragraph" w:styleId="Mono">
    <w:name w:val="Mono"/>
    <w:basedOn w:val="Normal"/>
    <w:next w:val="Normal"/>
    <w:pPr>
      <w:spacing w:after="60" w:before="0"/>
    </w:pPr>
    <w:rPr>
      <w:rFonts w:ascii="Consolas" w:cs="Consolas" w:eastAsia="Consolas" w:hAnsi="Consolas"/>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Provider Contract Change Validation Engine</dc:title>
  <dc:creator>Anthropic</dc:creator>
  <cp:lastModifiedBy>Un-named</cp:lastModifiedBy>
  <cp:revision>1</cp:revision>
  <dcterms:created xsi:type="dcterms:W3CDTF">2026-06-04T09:47:52.595Z</dcterms:created>
  <dcterms:modified xsi:type="dcterms:W3CDTF">2026-06-04T09:47:52.595Z</dcterms:modified>
</cp:coreProperties>
</file>

<file path=docProps/custom.xml><?xml version="1.0" encoding="utf-8"?>
<Properties xmlns="http://schemas.openxmlformats.org/officeDocument/2006/custom-properties" xmlns:vt="http://schemas.openxmlformats.org/officeDocument/2006/docPropsVTypes"/>
</file>