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1200"/>
      </w:pPr>
      <w:r>
        <w:t xml:space="preserve">Technical Specification</w:t>
      </w:r>
    </w:p>
    <w:p>
      <w:pPr>
        <w:pStyle w:val="Subtitle"/>
      </w:pPr>
      <w:r>
        <w:t xml:space="preserve">Provider Contract Change Validation Engine (CMS-855I)</w:t>
      </w:r>
    </w:p>
    <w:p>
      <w:pPr>
        <w:pBdr>
          <w:bottom w:val="single" w:color="2E75B6" w:sz="12" w:space="8"/>
        </w:pBdr>
        <w:spacing w:after="240"/>
      </w:pPr>
    </w:p>
    <w:p>
      <w:pPr>
        <w:spacing w:after="40"/>
      </w:pPr>
      <w:r>
        <w:rPr>
          <w:b/>
          <w:bCs/>
          <w:color w:val="1F3A5F"/>
        </w:rPr>
        <w:t xml:space="preserve">Document:  </w:t>
      </w:r>
      <w:r>
        <w:t xml:space="preserve">Tech Spec v1.0</w:t>
      </w:r>
    </w:p>
    <w:p>
      <w:pPr>
        <w:spacing w:after="40"/>
      </w:pPr>
      <w:r>
        <w:rPr>
          <w:b/>
          <w:bCs/>
          <w:color w:val="1F3A5F"/>
        </w:rPr>
        <w:t xml:space="preserve">Status:  </w:t>
      </w:r>
      <w:r>
        <w:t xml:space="preserve">Draft for review</w:t>
      </w:r>
    </w:p>
    <w:p>
      <w:pPr>
        <w:spacing w:after="40"/>
      </w:pPr>
      <w:r>
        <w:rPr>
          <w:b/>
          <w:bCs/>
          <w:color w:val="1F3A5F"/>
        </w:rPr>
        <w:t xml:space="preserve">Date:  </w:t>
      </w:r>
      <w:r>
        <w:t xml:space="preserve">June 2026</w:t>
      </w:r>
    </w:p>
    <w:p>
      <w:pPr>
        <w:spacing w:after="40"/>
      </w:pPr>
      <w:r>
        <w:rPr>
          <w:b/>
          <w:bCs/>
          <w:color w:val="1F3A5F"/>
        </w:rPr>
        <w:t xml:space="preserve">Stack:  </w:t>
      </w:r>
      <w:r>
        <w:t xml:space="preserve">Python 3.11 · pandas · Pydantic · Streamlit</w:t>
      </w:r>
    </w:p>
    <w:p>
      <w:pPr>
        <w:spacing w:after="40"/>
      </w:pPr>
      <w:r>
        <w:rPr>
          <w:b/>
          <w:bCs/>
          <w:color w:val="1F3A5F"/>
        </w:rPr>
        <w:t xml:space="preserve">Related:  </w:t>
      </w:r>
      <w:r>
        <w:t xml:space="preserve">BRD v1.0, Architecture v1.0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Provider Contract Change Validation Engine is a deterministic, explainable decision system. Given a change request and the provider's current contract state, it returns one of five outcomes (</w:t>
      </w:r>
      <w:r>
        <w:rPr>
          <w:rFonts w:ascii="Consolas" w:cs="Consolas" w:eastAsia="Consolas" w:hAnsi="Consolas"/>
          <w:sz w:val="19"/>
          <w:szCs w:val="19"/>
        </w:rPr>
        <w:t xml:space="preserve">APPROVE, DEVELOP, DENY, REJECT, INITIAL_ENROLLMENT_REQUIRED</w:t>
      </w:r>
      <w:r>
        <w:t xml:space="preserve">) plus a downstream contract action and a full decision trace. It is composed of three engines that run in a fixed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 Engine</w:t>
      </w:r>
      <w:r>
        <w:t xml:space="preserve"> — joins each change request to its contract and derives boolean/categorical feature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 Engine</w:t>
      </w:r>
      <w:r>
        <w:t xml:space="preserve"> — evaluates the applicable rules (R-001…R-010) as pure functions producing per-rule verdicts.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Engine</w:t>
      </w:r>
      <w:r>
        <w:t xml:space="preserve"> — composes verdicts and tags by explicit precedence into a single outcome and action.</w:t>
      </w:r>
    </w:p>
    <w:p>
      <w:pPr>
        <w:pStyle w:val="Heading1"/>
      </w:pPr>
      <w:r>
        <w:t xml:space="preserve">2. Data Model</w:t>
      </w:r>
    </w:p>
    <w:p>
      <w:pPr>
        <w:spacing w:after="120"/>
      </w:pPr>
      <w:r>
        <w:t xml:space="preserve">Inputs are loaded from the reference workbook (or any equivalent source) into typed Pydantic models. Two primary entities and the rulebook drive the system.</w:t>
      </w:r>
    </w:p>
    <w:p>
      <w:pPr>
        <w:pStyle w:val="Heading2"/>
      </w:pPr>
      <w:r>
        <w:t xml:space="preserve">2.1 ProviderContract (Existing_Provider_Contracts)</w:t>
      </w:r>
    </w:p>
    <w:p>
      <w:pPr>
        <w:spacing w:after="120"/>
      </w:pPr>
      <w:r>
        <w:t xml:space="preserve">The source-of-truth baseline a change is validated against. 43 columns;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provider_contract_id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 (PK)</w:t>
            </w:r>
          </w:p>
        </w:tc>
        <w:tc>
          <w:tcPr>
            <w:tcW w:type="dxa" w:w="46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Referenced by change requests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npi / ptan / tin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matched in R-002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legal_business_name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LBN matched in R-002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contract_status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(67) / Suspended (13)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pecos_enrollment_status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 / Deactivated (tracks status)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business_structure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Sole Proprietor (54) / LLC (26)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sanction_screening_status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Uniformly 'Clear' in baseline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revalidation_due_date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Enrollment lifecycle</w:t>
            </w:r>
          </w:p>
        </w:tc>
      </w:tr>
    </w:tbl>
    <w:p>
      <w:pPr>
        <w:pStyle w:val="Heading2"/>
      </w:pPr>
      <w:r>
        <w:t xml:space="preserve">2.2 ChangeRequest (Requested_Contract_Changes)</w:t>
      </w:r>
    </w:p>
    <w:p>
      <w:pPr>
        <w:spacing w:after="120"/>
      </w:pPr>
      <w:r>
        <w:t xml:space="preserve">The inbound request and labeled ground truth. 25 columns;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4260"/>
      </w:tblGrid>
      <w:tr>
        <w:trPr>
          <w:tblHeader/>
        </w:trP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change_request_id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 (PK)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Identifier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linked_provider_contract_id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 (FK)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Resolves to a ProviderContract (0 orphans)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change_category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Reassignment, Practice Location, EFT, …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change_action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(24) / Change (27) / Terminate (9)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existing_value / requested_new_value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 → after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new_location_same_state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Drives R-003 (Yes/No)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provider_signature_present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Drives R-008 (Yes/No)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development_requested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Correlates with DEVELOP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development_response_due_date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date?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Populated when DEVELOP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expected_validation_outcome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 — test oracle</w:t>
            </w:r>
          </w:p>
        </w:tc>
      </w:tr>
      <w:tr>
        <w:tc>
          <w:tcPr>
            <w:tcW w:type="dxa" w:w="3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expected_contract_action</w:t>
            </w:r>
          </w:p>
        </w:tc>
        <w:tc>
          <w:tcPr>
            <w:tcW w:type="dxa" w:w="17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 — test oracle</w:t>
            </w:r>
          </w:p>
        </w:tc>
      </w:tr>
    </w:tbl>
    <w:p>
      <w:pPr>
        <w:pStyle w:val="Heading2"/>
      </w:pPr>
      <w:r>
        <w:t xml:space="preserve">2.3 ValidationRule (Validation_Rules)</w:t>
      </w:r>
    </w:p>
    <w:p>
      <w:pPr>
        <w:spacing w:after="120"/>
      </w:pPr>
      <w:r>
        <w:t xml:space="preserve">Configuration, not code. Each row is loaded as a </w:t>
      </w:r>
      <w:r>
        <w:rPr>
          <w:rFonts w:ascii="Consolas" w:cs="Consolas" w:eastAsia="Consolas" w:hAnsi="Consolas"/>
          <w:sz w:val="19"/>
          <w:szCs w:val="19"/>
        </w:rPr>
        <w:t xml:space="preserve">RuleSpec</w:t>
      </w:r>
      <w:r>
        <w:t xml:space="preserve"> carrying the CMS standard text, whether it is manual- or application-based, the change category it applies to, and the action on failure. The decision logic references rules by ID; rule content is editable without code changes (BR-11).</w:t>
      </w:r>
    </w:p>
    <w:p>
      <w:pPr>
        <w:pStyle w:val="Heading2"/>
      </w:pPr>
      <w:r>
        <w:t xml:space="preserve">2.4 Outcome &amp; Action Enums (Lists)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860"/>
        <w:gridCol w:w="2600"/>
      </w:tblGrid>
      <w:tr>
        <w:trPr>
          <w:tblHeader/>
        </w:trPr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Outcome</w:t>
            </w:r>
          </w:p>
        </w:tc>
        <w:tc>
          <w:tcPr>
            <w:tcW w:type="dxa" w:w="38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Action on match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Source rule(s)</w:t>
            </w:r>
          </w:p>
        </w:tc>
      </w:tr>
      <w:tr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DENY</w:t>
            </w:r>
          </w:p>
        </w:tc>
        <w:tc>
          <w:tcPr>
            <w:tcW w:type="dxa" w:w="38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change; refer for review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R-005</w:t>
            </w:r>
          </w:p>
        </w:tc>
      </w:tr>
      <w:tr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INITIAL_ENROLLMENT_REQUIRED</w:t>
            </w:r>
          </w:p>
        </w:tc>
        <w:tc>
          <w:tcPr>
            <w:tcW w:type="dxa" w:w="38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to initial enrollment intake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R-003</w:t>
            </w:r>
          </w:p>
        </w:tc>
      </w:tr>
      <w:tr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</w:t>
            </w:r>
          </w:p>
        </w:tc>
        <w:tc>
          <w:tcPr>
            <w:tcW w:type="dxa" w:w="38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submission to provider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R-001, R-008 (procedural)</w:t>
            </w:r>
          </w:p>
        </w:tc>
      </w:tr>
      <w:tr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  <w:tc>
          <w:tcPr>
            <w:tcW w:type="dxa" w:w="38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Issue development request + due date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R-006, R-007, R-010</w:t>
            </w:r>
          </w:p>
        </w:tc>
      </w:tr>
      <w:tr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</w:t>
            </w:r>
          </w:p>
        </w:tc>
        <w:tc>
          <w:tcPr>
            <w:tcW w:type="dxa" w:w="38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change to contract</w:t>
            </w:r>
          </w:p>
        </w:tc>
        <w:tc>
          <w:tcPr>
            <w:tcW w:type="dxa" w:w="26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when all pass</w:t>
            </w:r>
          </w:p>
        </w:tc>
      </w:tr>
    </w:tbl>
    <w:p>
      <w:pPr>
        <w:pStyle w:val="Heading1"/>
      </w:pPr>
      <w:r>
        <w:t xml:space="preserve">3. Rule Engine</w:t>
      </w:r>
    </w:p>
    <w:p>
      <w:pPr>
        <w:spacing w:after="120"/>
      </w:pPr>
      <w:r>
        <w:t xml:space="preserve">Each rule is a </w:t>
      </w:r>
      <w:r>
        <w:rPr>
          <w:b/>
          <w:bCs/>
        </w:rPr>
        <w:t xml:space="preserve">pure function</w:t>
      </w:r>
      <w:r>
        <w:t xml:space="preserve"> with the signature </w:t>
      </w:r>
      <w:r>
        <w:rPr>
          <w:rFonts w:ascii="Consolas" w:cs="Consolas" w:eastAsia="Consolas" w:hAnsi="Consolas"/>
          <w:sz w:val="19"/>
          <w:szCs w:val="19"/>
        </w:rPr>
        <w:t xml:space="preserve">rule(change, contract) -&gt; RuleResult</w:t>
      </w:r>
      <w:r>
        <w:t xml:space="preserve">, where </w:t>
      </w:r>
      <w:r>
        <w:rPr>
          <w:rFonts w:ascii="Consolas" w:cs="Consolas" w:eastAsia="Consolas" w:hAnsi="Consolas"/>
          <w:sz w:val="19"/>
          <w:szCs w:val="19"/>
        </w:rPr>
        <w:t xml:space="preserve">RuleResult</w:t>
      </w:r>
      <w:r>
        <w:t xml:space="preserve"> carries </w:t>
      </w:r>
      <w:r>
        <w:rPr>
          <w:rFonts w:ascii="Consolas" w:cs="Consolas" w:eastAsia="Consolas" w:hAnsi="Consolas"/>
          <w:sz w:val="19"/>
          <w:szCs w:val="19"/>
        </w:rPr>
        <w:t xml:space="preserve">{rule_id, passed: bool, verdict, message}</w:t>
      </w:r>
      <w:r>
        <w:t xml:space="preserve">. A rule is only evaluated when its </w:t>
      </w:r>
      <w:r>
        <w:rPr>
          <w:rFonts w:ascii="Consolas" w:cs="Consolas" w:eastAsia="Consolas" w:hAnsi="Consolas"/>
          <w:sz w:val="19"/>
          <w:szCs w:val="19"/>
        </w:rPr>
        <w:t xml:space="preserve">applies_to_change_category</w:t>
      </w:r>
      <w:r>
        <w:t xml:space="preserve"> matches the request's category. This keeps each rule independent, individually testable, and auditable.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3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Predicate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On failure</w:t>
            </w:r>
          </w:p>
        </w:tc>
      </w:tr>
      <w:t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R-001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cms_form == 'CMS-855I'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/ develop for correct form</w:t>
            </w:r>
          </w:p>
        </w:tc>
      </w:tr>
      <w:t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R-002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identifiers (NPI/PTAN/TIN/LBN) match linked contract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R-003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Location + Add + new_location_same_state == 'No'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INITIAL_ENROLLMENT_REQUIRED</w:t>
            </w:r>
          </w:p>
        </w:tc>
      </w:tr>
      <w:t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R-004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 Payment Address ∈ {practice loc, PO Box, lockbox, billing agent, corr.}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R-005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Final Adverse Legal Action present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DENY (hard block)</w:t>
            </w:r>
          </w:p>
        </w:tc>
      </w:tr>
      <w:t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R-006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reassignment target is enrolled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R-007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EFT change has CMS-588 + bank docs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R-008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provider_signature_present == 'Yes'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(procedural)</w:t>
            </w:r>
          </w:p>
        </w:tc>
      </w:tr>
      <w:t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R-009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specialty change compatible with licensure/provider type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R-010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 existing docs unless new evidence required</w:t>
            </w:r>
          </w:p>
        </w:tc>
        <w:tc>
          <w:tcPr>
            <w:tcW w:type="dxa" w:w="2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</w:tr>
    </w:tbl>
    <w:p>
      <w:pPr>
        <w:spacing w:after="120"/>
      </w:pPr>
      <w:r>
        <w:rPr>
          <w:b/>
          <w:bCs/>
        </w:rPr>
        <w:t xml:space="preserve">Rule registry: </w:t>
      </w:r>
      <w:r>
        <w:t xml:space="preserve">rules are registered in a dict keyed by ID and indexed by change category, so the engine fires only the relevant subset per request.</w:t>
      </w:r>
    </w:p>
    <w:p>
      <w:pPr>
        <w:pStyle w:val="Heading1"/>
      </w:pPr>
      <w:r>
        <w:t xml:space="preserve">4. Tag Engine</w:t>
      </w:r>
    </w:p>
    <w:p>
      <w:pPr>
        <w:spacing w:after="120"/>
      </w:pPr>
      <w:r>
        <w:t xml:space="preserve">The Tag Engine joins each change request to its contract and converts the 43 + 25 raw columns into the handful of booleans the rules actually test. Tags are the bridge between raw data and rule predicates.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Derivation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same_state / cross_state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new_location_same_state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signature_present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provider_signature_present == 'Yes'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docs_complete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documentation fields populated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adverse_action_flag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Adverse Legal Action present on request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reassignee_unverified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reassignment target not enrolled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contract_suspended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 → contract_status == 'Suspended'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screening_tier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MED/SAM vs MED/SAM + adverse review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eft_docs_missing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EFT change without CMS-588 / bank docs</w:t>
            </w:r>
          </w:p>
        </w:tc>
      </w:tr>
    </w:tbl>
    <w:p>
      <w:pPr>
        <w:spacing w:after="120"/>
      </w:pPr>
      <w:r>
        <w:t xml:space="preserve">Output is a </w:t>
      </w:r>
      <w:r>
        <w:rPr>
          <w:rFonts w:ascii="Consolas" w:cs="Consolas" w:eastAsia="Consolas" w:hAnsi="Consolas"/>
          <w:sz w:val="19"/>
          <w:szCs w:val="19"/>
        </w:rPr>
        <w:t xml:space="preserve">TagSet</w:t>
      </w:r>
      <w:r>
        <w:t xml:space="preserve"> object passed alongside rule results to the Decision Engine, so decisions reason over enriched facts rather than raw fields.</w:t>
      </w:r>
    </w:p>
    <w:p>
      <w:pPr>
        <w:pStyle w:val="Heading1"/>
      </w:pPr>
      <w:r>
        <w:t xml:space="preserve">5. Decision Engine</w:t>
      </w:r>
    </w:p>
    <w:p>
      <w:pPr>
        <w:spacing w:after="120"/>
      </w:pPr>
      <w:r>
        <w:t xml:space="preserve">The Decision Engine composes rule verdicts and tags into a single outcome. Precedence is explicit and ordered — the first matching tier 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 blocks: </w:t>
      </w:r>
      <w:r>
        <w:t xml:space="preserve">adverse_action_flag (R-005 fail) → DENY.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Procedural rejects: </w:t>
      </w:r>
      <w:r>
        <w:t xml:space="preserve">wrong form (R-001) or missing signature (R-008) → REJECT.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Routing: </w:t>
      </w:r>
      <w:r>
        <w:t xml:space="preserve">cross-state Practice Location Add (R-003) → INITIAL_ENROLLMENT_REQUIRED.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Hold conditions: </w:t>
      </w:r>
      <w:r>
        <w:t xml:space="preserve">any DEVELOP-class rule failure (R-002/004/006/007/009/010) or incomplete docs → DEVELOP.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Default: </w:t>
      </w:r>
      <w:r>
        <w:t xml:space="preserve">all applicable rules pass → APPROVE.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Pseudocode for the composer:</w:t>
      </w:r>
    </w:p>
    <w:p>
      <w:pPr>
        <w:pBdr>
          <w:top w:val="single" w:color="D9E2EC" w:sz="4"/>
        </w:pBd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decide(change, contract):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tags = tag_engine.derive(change, contract)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results = rule_engine.evaluate(change, contract, tags)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tags.adverse_action_flag:           # tier 1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Decision(DENY, action='Reject; refer', trace=results, tags=tags)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results.failed('R-001') or results.failed('R-008'):   # tier 2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Decision(REJECT, action='Return to provider', trace=results, tags=tags)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tags.cross_state and is_location_add(change):          # tier 3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Decision(INITIAL_ENROLLMENT_REQUIRED, ...)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results.any_failed(DEVELOP_RULES) or not tags.docs_complete:  # tier 4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Decision(DEVELOP, action='Issue dev request', ...)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Decision(APPROVE, action='Apply change', trace=results, tags=tags)  # default</w:t>
      </w:r>
    </w:p>
    <w:p>
      <w:pPr>
        <w:spacing w:after="120"/>
      </w:pPr>
      <w:r>
        <w:t xml:space="preserve">The returned </w:t>
      </w:r>
      <w:r>
        <w:rPr>
          <w:rFonts w:ascii="Consolas" w:cs="Consolas" w:eastAsia="Consolas" w:hAnsi="Consolas"/>
          <w:sz w:val="19"/>
          <w:szCs w:val="19"/>
        </w:rPr>
        <w:t xml:space="preserve">Decision</w:t>
      </w:r>
      <w:r>
        <w:t xml:space="preserve"> object always carries the full trace (rules evaluated + verdicts) and the fired tags, satisfying BR-05.</w:t>
      </w:r>
    </w:p>
    <w:p>
      <w:pPr>
        <w:pStyle w:val="Heading1"/>
      </w:pPr>
      <w:r>
        <w:t xml:space="preserve">6. Batch Scoring &amp; Regression</w:t>
      </w:r>
    </w:p>
    <w:p>
      <w:pPr>
        <w:spacing w:after="120"/>
      </w:pPr>
      <w:r>
        <w:t xml:space="preserve">A batch runner executes </w:t>
      </w:r>
      <w:r>
        <w:rPr>
          <w:rFonts w:ascii="Consolas" w:cs="Consolas" w:eastAsia="Consolas" w:hAnsi="Consolas"/>
          <w:sz w:val="19"/>
          <w:szCs w:val="19"/>
        </w:rPr>
        <w:t xml:space="preserve">decide()</w:t>
      </w:r>
      <w:r>
        <w:t xml:space="preserve"> over all 60 change requests and compares the predicted outcome to </w:t>
      </w:r>
      <w:r>
        <w:rPr>
          <w:rFonts w:ascii="Consolas" w:cs="Consolas" w:eastAsia="Consolas" w:hAnsi="Consolas"/>
          <w:sz w:val="19"/>
          <w:szCs w:val="19"/>
        </w:rPr>
        <w:t xml:space="preserve">expected_validation_outcome</w:t>
      </w:r>
      <w:r>
        <w:t xml:space="preserve"> and the action to </w:t>
      </w:r>
      <w:r>
        <w:rPr>
          <w:rFonts w:ascii="Consolas" w:cs="Consolas" w:eastAsia="Consolas" w:hAnsi="Consolas"/>
          <w:sz w:val="19"/>
          <w:szCs w:val="19"/>
        </w:rPr>
        <w:t xml:space="preserve">expected_contract_action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W w:type="dxa" w:w="55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55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outcome accuracy</w:t>
            </w:r>
          </w:p>
        </w:tc>
        <w:tc>
          <w:tcPr>
            <w:tcW w:type="dxa" w:w="3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60/60 (100%)</w:t>
            </w:r>
          </w:p>
        </w:tc>
      </w:tr>
      <w:tr>
        <w:tc>
          <w:tcPr>
            <w:tcW w:type="dxa" w:w="55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recall</w:t>
            </w:r>
          </w:p>
        </w:tc>
        <w:tc>
          <w:tcPr>
            <w:tcW w:type="dxa" w:w="3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49/49</w:t>
            </w:r>
          </w:p>
        </w:tc>
      </w:tr>
      <w:tr>
        <w:tc>
          <w:tcPr>
            <w:tcW w:type="dxa" w:w="55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 recall</w:t>
            </w:r>
          </w:p>
        </w:tc>
        <w:tc>
          <w:tcPr>
            <w:tcW w:type="dxa" w:w="3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6/6</w:t>
            </w:r>
          </w:p>
        </w:tc>
      </w:tr>
      <w:tr>
        <w:tc>
          <w:tcPr>
            <w:tcW w:type="dxa" w:w="55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DENY recall</w:t>
            </w:r>
          </w:p>
        </w:tc>
        <w:tc>
          <w:tcPr>
            <w:tcW w:type="dxa" w:w="3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</w:t>
            </w:r>
          </w:p>
        </w:tc>
      </w:tr>
      <w:tr>
        <w:tc>
          <w:tcPr>
            <w:tcW w:type="dxa" w:w="55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INITIAL_ENROLLMENT_REQUIRED recall</w:t>
            </w:r>
          </w:p>
        </w:tc>
        <w:tc>
          <w:tcPr>
            <w:tcW w:type="dxa" w:w="3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1/1</w:t>
            </w:r>
          </w:p>
        </w:tc>
      </w:tr>
      <w:tr>
        <w:tc>
          <w:tcPr>
            <w:tcW w:type="dxa" w:w="55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(synthetic fixtures)</w:t>
            </w:r>
          </w:p>
        </w:tc>
        <w:tc>
          <w:tcPr>
            <w:tcW w:type="dxa" w:w="38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pass</w:t>
            </w:r>
          </w:p>
        </w:tc>
      </w:tr>
    </w:tbl>
    <w:p>
      <w:pPr>
        <w:spacing w:after="120"/>
      </w:pPr>
      <w:r>
        <w:rPr>
          <w:b/>
          <w:bCs/>
        </w:rPr>
        <w:t xml:space="preserve">Reporting: </w:t>
      </w:r>
      <w:r>
        <w:t xml:space="preserve">the runner emits a confusion matrix, per-category accuracy, and a list of any mismatched request IDs with their full trace for debugging.</w:t>
      </w:r>
    </w:p>
    <w:p>
      <w:pPr>
        <w:pStyle w:val="Heading1"/>
      </w:pPr>
      <w:r>
        <w:t xml:space="preserve">7. Project Structure</w:t>
      </w:r>
    </w:p>
    <w:p>
      <w:pPr>
        <w:pBdr>
          <w:top w:val="single" w:color="D9E2EC" w:sz="4"/>
        </w:pBd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provider-validation/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app/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main.py                # Streamlit entrypoint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components/            # UI: selector, trace viewer, batch report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engine/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models.py              # Pydantic: ProviderContract, ChangeRequest, RuleSpec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loaders.py             # read workbook -&gt; typed models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tag_engine.py          # derive() -&gt; TagSet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rules.py               # R-001..R-010 pure functions + registry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rule_engine.py         # evaluate() -&gt; RuleResults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decision_engine.py     # decide() -&gt; Decision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scoring.py             # batch runner + metrics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config/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rules.yaml             # editable rulebook (R-001..R-010)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outcomes.yaml          # controlled vocabulary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data/                    # reference workbook / sheets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tests/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test_rules.py          # per-rule unit tests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test_decision.py       # precedence + outcome tests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test_regression.py     # 60-row label reproduction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fixtures_reject.py     # synthetic REJECT cases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requirements.txt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README.md</w:t>
      </w:r>
    </w:p>
    <w:p>
      <w:pPr>
        <w:pStyle w:val="Heading1"/>
      </w:pPr>
      <w: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69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Identical inputs always yield identical outcome + trace; no randomness in the decision path.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9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decision exposes evaluated rules, verdicts, and fired tags.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Batch-score 60 requests in &lt; 1s; single decision &lt; 50ms.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rule is an isolated pure function; rulebook editable as config.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69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per rule; regression suite reproduces all 60 labels.</w:t>
            </w:r>
          </w:p>
        </w:tc>
      </w:tr>
      <w:tr>
        <w:tc>
          <w:tcPr>
            <w:tcW w:type="dxa" w:w="24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decision log persisted per request for audit.</w:t>
            </w:r>
          </w:p>
        </w:tc>
      </w:tr>
    </w:tbl>
    <w:p>
      <w:pPr>
        <w:pStyle w:val="Heading1"/>
      </w:pPr>
      <w:r>
        <w:t xml:space="preserve">9. Edge Cases &amp; Data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Label imbalance: </w:t>
      </w:r>
      <w:r>
        <w:t xml:space="preserve">82% APPROVE — the decision path is rule-driven, so imbalance does not bias outcomes.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REJECT absent: </w:t>
      </w:r>
      <w:r>
        <w:t xml:space="preserve">0 rows; covered exclusively by rules R-001/R-008 and synthetic fixtures.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Suspended contracts: </w:t>
      </w:r>
      <w:r>
        <w:t xml:space="preserve">13 contracts are Suspended; the contract_suspended tag must be considered before APPROVE.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Sanctions in baseline: </w:t>
      </w:r>
      <w:r>
        <w:t xml:space="preserve">uniformly 'Clear' — the adverse signal arrives via the change request, not the contract.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Terminate actions: </w:t>
      </w:r>
      <w:r>
        <w:t xml:space="preserve">9 requests; ensure rules handle removal semantics, not just Add/Change.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4" w:space="4"/>
      </w:pBdr>
      <w:tabs>
        <w:tab w:val="right" w:pos="9026"/>
      </w:tabs>
    </w:pPr>
    <w:r>
      <w:rPr>
        <w:color w:val="8A98A8"/>
        <w:sz w:val="16"/>
        <w:szCs w:val="16"/>
      </w:rPr>
      <w:t xml:space="preserve">Confidential — Internal</w:t>
    </w:r>
    <w:r>
      <w:rPr>
        <w:color w:val="8A98A8"/>
        <w:sz w:val="16"/>
        <w:szCs w:val="16"/>
      </w:rPr>
      <w:t xml:space="preserve">	Page </w:t>
    </w:r>
    <w:r>
      <w:rPr>
        <w:color w:val="8A98A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8A8"/>
        <w:sz w:val="16"/>
        <w:szCs w:val="16"/>
      </w:rPr>
      <w:t xml:space="preserve"> of </w:t>
    </w:r>
    <w:r>
      <w:rPr>
        <w:color w:val="8A98A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C" w:sz="4" w:space="4"/>
      </w:pBdr>
      <w:tabs>
        <w:tab w:val="right" w:pos="9026"/>
      </w:tabs>
    </w:pPr>
    <w:r>
      <w:rPr>
        <w:color w:val="8A98A8"/>
        <w:sz w:val="16"/>
        <w:szCs w:val="16"/>
      </w:rPr>
      <w:t xml:space="preserve">Tech Spec — Provider Contract Change Validation Engine</w:t>
    </w:r>
    <w:r>
      <w:rPr>
        <w:color w:val="8A98A8"/>
        <w:sz w:val="16"/>
        <w:szCs w:val="16"/>
      </w:rPr>
      <w:t xml:space="preserve">	Provider Contract Change Validation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Arial" w:cs="Arial" w:eastAsia="Arial" w:hAnsi="Arial"/>
      <w:color w:val="2E75B6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Normal">
    <w:name w:val="Normal"/>
    <w:pPr>
      <w:spacing w:after="120" w:before="0" w:line="276"/>
    </w:pPr>
    <w:rPr>
      <w:rFonts w:ascii="Arial" w:cs="Arial" w:eastAsia="Arial" w:hAnsi="Arial"/>
      <w:sz w:val="22"/>
      <w:szCs w:val="22"/>
    </w:rPr>
  </w:style>
  <w:style w:type="paragraph" w:styleId="Mono">
    <w:name w:val="Mono"/>
    <w:basedOn w:val="Normal"/>
    <w:next w:val="Normal"/>
    <w:pPr>
      <w:spacing w:after="60" w:before="0"/>
    </w:pPr>
    <w:rPr>
      <w:rFonts w:ascii="Consolas" w:cs="Consolas" w:eastAsia="Consolas" w:hAnsi="Consolas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Spec — Provider Contract Change Validation Engine</dc:title>
  <dc:creator>Anthropic</dc:creator>
  <cp:lastModifiedBy>Un-named</cp:lastModifiedBy>
  <cp:revision>1</cp:revision>
  <dcterms:created xsi:type="dcterms:W3CDTF">2026-06-04T09:48:56.593Z</dcterms:created>
  <dcterms:modified xsi:type="dcterms:W3CDTF">2026-06-04T09:48:56.593Z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