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1200"/>
      </w:pPr>
      <w:r>
        <w:t xml:space="preserve">Solution Architecture</w:t>
      </w:r>
    </w:p>
    <w:p>
      <w:pPr>
        <w:pStyle w:val="Subtitle"/>
      </w:pPr>
      <w:r>
        <w:t xml:space="preserve">Provider Contract Change Validation Engine (CMS-855I)</w:t>
      </w:r>
    </w:p>
    <w:p>
      <w:pPr>
        <w:pBdr>
          <w:bottom w:val="single" w:color="2E75B6" w:sz="12" w:space="8"/>
        </w:pBdr>
        <w:spacing w:after="240"/>
      </w:pPr>
    </w:p>
    <w:p>
      <w:pPr>
        <w:spacing w:after="40"/>
      </w:pPr>
      <w:r>
        <w:rPr>
          <w:b/>
          <w:bCs/>
          <w:color w:val="1F3A5F"/>
        </w:rPr>
        <w:t xml:space="preserve">Document:  </w:t>
      </w:r>
      <w:r>
        <w:t xml:space="preserve">Architecture v1.0</w:t>
      </w:r>
    </w:p>
    <w:p>
      <w:pPr>
        <w:spacing w:after="40"/>
      </w:pPr>
      <w:r>
        <w:rPr>
          <w:b/>
          <w:bCs/>
          <w:color w:val="1F3A5F"/>
        </w:rPr>
        <w:t xml:space="preserve">Status:  </w:t>
      </w:r>
      <w:r>
        <w:t xml:space="preserve">Draft for review</w:t>
      </w:r>
    </w:p>
    <w:p>
      <w:pPr>
        <w:spacing w:after="40"/>
      </w:pPr>
      <w:r>
        <w:rPr>
          <w:b/>
          <w:bCs/>
          <w:color w:val="1F3A5F"/>
        </w:rPr>
        <w:t xml:space="preserve">Date:  </w:t>
      </w:r>
      <w:r>
        <w:t xml:space="preserve">June 2026</w:t>
      </w:r>
    </w:p>
    <w:p>
      <w:pPr>
        <w:spacing w:after="40"/>
      </w:pPr>
      <w:r>
        <w:rPr>
          <w:b/>
          <w:bCs/>
          <w:color w:val="1F3A5F"/>
        </w:rPr>
        <w:t xml:space="preserve">Pattern:  </w:t>
      </w:r>
      <w:r>
        <w:t xml:space="preserve">Collate Rules → Build Rulebook → Decision Engine</w:t>
      </w:r>
    </w:p>
    <w:p>
      <w:pPr>
        <w:spacing w:after="40"/>
      </w:pPr>
      <w:r>
        <w:rPr>
          <w:b/>
          <w:bCs/>
          <w:color w:val="1F3A5F"/>
        </w:rPr>
        <w:t xml:space="preserve">Related:  </w:t>
      </w:r>
      <w:r>
        <w:t xml:space="preserve">BRD v1.0, Tech Spec v1.0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Architectural Overview</w:t>
      </w:r>
    </w:p>
    <w:p>
      <w:pPr>
        <w:spacing w:after="120"/>
      </w:pPr>
      <w:r>
        <w:t xml:space="preserve">The solution is a deterministic, explainable decision system organized as a three-stage pipeline behind a Streamlit interface. It follows the </w:t>
      </w:r>
      <w:r>
        <w:rPr>
          <w:b/>
          <w:bCs/>
        </w:rPr>
        <w:t xml:space="preserve">Collate Rules → Build Rulebook → Decision Engine</w:t>
      </w:r>
      <w:r>
        <w:t xml:space="preserve"> pattern: validation rules are collated from CMS standards into an editable rulebook, and a layered engine evaluates each provider-contract change against that rulebook to produce a single, traceable outcome.</w:t>
      </w:r>
    </w:p>
    <w:p>
      <w:pPr>
        <w:spacing w:after="120"/>
      </w:pPr>
      <w:r>
        <w:t xml:space="preserve">There are three cooperating engines — a </w:t>
      </w:r>
      <w:r>
        <w:rPr>
          <w:b/>
          <w:bCs/>
        </w:rPr>
        <w:t xml:space="preserve">Tag Engine</w:t>
      </w:r>
      <w:r>
        <w:t xml:space="preserve">, a </w:t>
      </w:r>
      <w:r>
        <w:rPr>
          <w:b/>
          <w:bCs/>
        </w:rPr>
        <w:t xml:space="preserve">Rule Engine</w:t>
      </w:r>
      <w:r>
        <w:t xml:space="preserve">, and a </w:t>
      </w:r>
      <w:r>
        <w:rPr>
          <w:b/>
          <w:bCs/>
        </w:rPr>
        <w:t xml:space="preserve">Decision Engine</w:t>
      </w:r>
      <w:r>
        <w:t xml:space="preserve"> — fed by typed data loaders and exposed through a reviewer UI and a batch scorer.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A98A8"/>
          <w:sz w:val="18"/>
          <w:szCs w:val="18"/>
        </w:rPr>
        <w:t xml:space="preserve">Figure 1. Component and data-flow architecture.</w:t>
      </w:r>
    </w:p>
    <w:p>
      <w:pPr>
        <w:pStyle w:val="Heading1"/>
      </w:pPr>
      <w:r>
        <w:t xml:space="preserve">2. Layered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60"/>
        <w:gridCol w:w="2900"/>
      </w:tblGrid>
      <w:tr>
        <w:trPr>
          <w:tblHeader/>
        </w:trPr>
        <w:tc>
          <w:tcPr>
            <w:tcW w:type="dxa" w:w="2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4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  <w:tc>
          <w:tcPr>
            <w:tcW w:type="dxa" w:w="29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Key Modules</w:t>
            </w:r>
          </w:p>
        </w:tc>
      </w:tr>
      <w:tr>
        <w:tc>
          <w:tcPr>
            <w:tcW w:type="dxa" w:w="2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/ Ingestion</w:t>
            </w:r>
          </w:p>
        </w:tc>
        <w:tc>
          <w:tcPr>
            <w:tcW w:type="dxa" w:w="4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sheets into typed, validated models</w:t>
            </w:r>
          </w:p>
        </w:tc>
        <w:tc>
          <w:tcPr>
            <w:tcW w:type="dxa" w:w="29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loaders.py, models.py</w:t>
            </w:r>
          </w:p>
        </w:tc>
      </w:tr>
      <w:tr>
        <w:tc>
          <w:tcPr>
            <w:tcW w:type="dxa" w:w="2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Tagging</w:t>
            </w:r>
          </w:p>
        </w:tc>
        <w:tc>
          <w:tcPr>
            <w:tcW w:type="dxa" w:w="4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Join change↔contract; derive feature tags</w:t>
            </w:r>
          </w:p>
        </w:tc>
        <w:tc>
          <w:tcPr>
            <w:tcW w:type="dxa" w:w="29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tag_engine.py</w:t>
            </w:r>
          </w:p>
        </w:tc>
      </w:tr>
      <w:tr>
        <w:tc>
          <w:tcPr>
            <w:tcW w:type="dxa" w:w="2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Rules</w:t>
            </w:r>
          </w:p>
        </w:tc>
        <w:tc>
          <w:tcPr>
            <w:tcW w:type="dxa" w:w="4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Evaluate R-001…R-010 as pure functions</w:t>
            </w:r>
          </w:p>
        </w:tc>
        <w:tc>
          <w:tcPr>
            <w:tcW w:type="dxa" w:w="29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rules.py, rule_engine.py, config/rules.yaml</w:t>
            </w:r>
          </w:p>
        </w:tc>
      </w:tr>
      <w:tr>
        <w:tc>
          <w:tcPr>
            <w:tcW w:type="dxa" w:w="2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4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Compose verdicts + tags by precedence</w:t>
            </w:r>
          </w:p>
        </w:tc>
        <w:tc>
          <w:tcPr>
            <w:tcW w:type="dxa" w:w="29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decision_engine.py</w:t>
            </w:r>
          </w:p>
        </w:tc>
      </w:tr>
      <w:tr>
        <w:tc>
          <w:tcPr>
            <w:tcW w:type="dxa" w:w="2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Scoring</w:t>
            </w:r>
          </w:p>
        </w:tc>
        <w:tc>
          <w:tcPr>
            <w:tcW w:type="dxa" w:w="4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Batch run + metrics vs. labels</w:t>
            </w:r>
          </w:p>
        </w:tc>
        <w:tc>
          <w:tcPr>
            <w:tcW w:type="dxa" w:w="29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scoring.py</w:t>
            </w:r>
          </w:p>
        </w:tc>
      </w:tr>
      <w:tr>
        <w:tc>
          <w:tcPr>
            <w:tcW w:type="dxa" w:w="2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4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Reviewer UI + reports</w:t>
            </w:r>
          </w:p>
        </w:tc>
        <w:tc>
          <w:tcPr>
            <w:tcW w:type="dxa" w:w="29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app/main.py, components/</w:t>
            </w:r>
          </w:p>
        </w:tc>
      </w:tr>
    </w:tbl>
    <w:p>
      <w:pPr>
        <w:spacing w:after="120"/>
      </w:pPr>
      <w:r>
        <w:t xml:space="preserve">Dependencies flow strictly downward: presentation depends on decision, which depends on rules and tagging, which depend on the typed models. No layer reaches upward, keeping the decision core </w:t>
      </w:r>
      <w:r>
        <w:rPr>
          <w:b/>
          <w:bCs/>
        </w:rPr>
        <w:t xml:space="preserve">pure and testable</w:t>
      </w:r>
      <w:r>
        <w:t xml:space="preserve"> in isolation from the UI.</w:t>
      </w:r>
    </w:p>
    <w:p>
      <w:pPr>
        <w:pStyle w:val="Heading1"/>
      </w:pPr>
      <w:r>
        <w:t xml:space="preserve">3. The Three Engines</w:t>
      </w:r>
    </w:p>
    <w:p>
      <w:pPr>
        <w:pStyle w:val="Heading2"/>
      </w:pPr>
      <w:r>
        <w:t xml:space="preserve">3.1 Tag Engine</w:t>
      </w:r>
    </w:p>
    <w:p>
      <w:pPr>
        <w:spacing w:after="120"/>
      </w:pPr>
      <w:r>
        <w:t xml:space="preserve">Joins each change request to its contract via </w:t>
      </w:r>
      <w:r>
        <w:rPr>
          <w:rFonts w:ascii="Consolas" w:cs="Consolas" w:eastAsia="Consolas" w:hAnsi="Consolas"/>
          <w:sz w:val="19"/>
          <w:szCs w:val="19"/>
        </w:rPr>
        <w:t xml:space="preserve">linked_provider_contract_id</w:t>
      </w:r>
      <w:r>
        <w:t xml:space="preserve"> and converts ~68 raw columns into a compact </w:t>
      </w:r>
      <w:r>
        <w:rPr>
          <w:rFonts w:ascii="Consolas" w:cs="Consolas" w:eastAsia="Consolas" w:hAnsi="Consolas"/>
          <w:sz w:val="19"/>
          <w:szCs w:val="19"/>
        </w:rPr>
        <w:t xml:space="preserve">TagSet</w:t>
      </w:r>
      <w:r>
        <w:t xml:space="preserve"> of booleans/enums that the rules actually test (e.g. </w:t>
      </w:r>
      <w:r>
        <w:rPr>
          <w:rFonts w:ascii="Consolas" w:cs="Consolas" w:eastAsia="Consolas" w:hAnsi="Consolas"/>
          <w:sz w:val="19"/>
          <w:szCs w:val="19"/>
        </w:rPr>
        <w:t xml:space="preserve">cross_state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adverse_action_flag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reassignee_unverified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contract_suspended</w:t>
      </w:r>
      <w:r>
        <w:t xml:space="preserve">). This is the bridge between raw data and rule predicates.</w:t>
      </w:r>
    </w:p>
    <w:p>
      <w:pPr>
        <w:pStyle w:val="Heading2"/>
      </w:pPr>
      <w:r>
        <w:t xml:space="preserve">3.2 Rule Engine</w:t>
      </w:r>
    </w:p>
    <w:p>
      <w:pPr>
        <w:spacing w:after="120"/>
      </w:pPr>
      <w:r>
        <w:t xml:space="preserve">Maintains a registry of the ten rules, indexed by </w:t>
      </w:r>
      <w:r>
        <w:rPr>
          <w:rFonts w:ascii="Consolas" w:cs="Consolas" w:eastAsia="Consolas" w:hAnsi="Consolas"/>
          <w:sz w:val="19"/>
          <w:szCs w:val="19"/>
        </w:rPr>
        <w:t xml:space="preserve">applies_to_change_category</w:t>
      </w:r>
      <w:r>
        <w:t xml:space="preserve">, so only the relevant subset fires per request. Each rule is a pure function returning a </w:t>
      </w:r>
      <w:r>
        <w:rPr>
          <w:rFonts w:ascii="Consolas" w:cs="Consolas" w:eastAsia="Consolas" w:hAnsi="Consolas"/>
          <w:sz w:val="19"/>
          <w:szCs w:val="19"/>
        </w:rPr>
        <w:t xml:space="preserve">RuleResult</w:t>
      </w:r>
      <w:r>
        <w:t xml:space="preserve"> (passed flag, verdict, message). Rule text and failure-actions live in </w:t>
      </w:r>
      <w:r>
        <w:rPr>
          <w:rFonts w:ascii="Consolas" w:cs="Consolas" w:eastAsia="Consolas" w:hAnsi="Consolas"/>
          <w:sz w:val="19"/>
          <w:szCs w:val="19"/>
        </w:rPr>
        <w:t xml:space="preserve">config/rules.yaml</w:t>
      </w:r>
      <w:r>
        <w:t xml:space="preserve"> so the rulebook is editable without touching decision code.</w:t>
      </w:r>
    </w:p>
    <w:p>
      <w:pPr>
        <w:pStyle w:val="Heading2"/>
      </w:pPr>
      <w:r>
        <w:t xml:space="preserve">3.3 Decision Engine</w:t>
      </w:r>
    </w:p>
    <w:p>
      <w:pPr>
        <w:spacing w:after="120"/>
      </w:pPr>
      <w:r>
        <w:t xml:space="preserve">Composes rule results and tags into one outcome using an explicit precedence ladder — the first matching tier wins and evaluation stops. Every path emits the full decision trace.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A98A8"/>
          <w:sz w:val="18"/>
          <w:szCs w:val="18"/>
        </w:rPr>
        <w:t xml:space="preserve">Figure 2. Decision-engine precedence ladder.</w:t>
      </w:r>
    </w:p>
    <w:p>
      <w:pPr>
        <w:pStyle w:val="Heading1"/>
      </w:pPr>
      <w:r>
        <w:t xml:space="preserve">4. Data Architecture</w:t>
      </w:r>
    </w:p>
    <w:p>
      <w:pPr>
        <w:spacing w:after="120"/>
      </w:pPr>
      <w:r>
        <w:t xml:space="preserve">Five source sheets map onto the runtime entities. Referential integrity is guaranteed at load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rPr>
          <w:tblHeader/>
        </w:trPr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Source Sheet</w:t>
            </w:r>
          </w:p>
        </w:tc>
        <w:tc>
          <w:tcPr>
            <w:tcW w:type="dxa" w:w="41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Runtime Entity</w:t>
            </w:r>
          </w:p>
        </w:tc>
        <w:tc>
          <w:tcPr>
            <w:tcW w:type="dxa" w:w="2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Cardinality</w:t>
            </w:r>
          </w:p>
        </w:tc>
      </w:tr>
      <w:tr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Existing_Provider_Contracts</w:t>
            </w:r>
          </w:p>
        </w:tc>
        <w:tc>
          <w:tcPr>
            <w:tcW w:type="dxa" w:w="41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ProviderContract (baseline state)</w:t>
            </w:r>
          </w:p>
        </w:tc>
        <w:tc>
          <w:tcPr>
            <w:tcW w:type="dxa" w:w="2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Requested_Contract_Changes</w:t>
            </w:r>
          </w:p>
        </w:tc>
        <w:tc>
          <w:tcPr>
            <w:tcW w:type="dxa" w:w="41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ChangeRequest (+ label oracle)</w:t>
            </w:r>
          </w:p>
        </w:tc>
        <w:tc>
          <w:tcPr>
            <w:tcW w:type="dxa" w:w="2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 → 1 contract each</w:t>
            </w:r>
          </w:p>
        </w:tc>
      </w:tr>
      <w:tr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Validation_Rules</w:t>
            </w:r>
          </w:p>
        </w:tc>
        <w:tc>
          <w:tcPr>
            <w:tcW w:type="dxa" w:w="41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RuleSpec (config)</w:t>
            </w:r>
          </w:p>
        </w:tc>
        <w:tc>
          <w:tcPr>
            <w:tcW w:type="dxa" w:w="2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Lists</w:t>
            </w:r>
          </w:p>
        </w:tc>
        <w:tc>
          <w:tcPr>
            <w:tcW w:type="dxa" w:w="41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Outcome vocabulary</w:t>
            </w:r>
          </w:p>
        </w:tc>
        <w:tc>
          <w:tcPr>
            <w:tcW w:type="dxa" w:w="2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Summary</w:t>
            </w:r>
          </w:p>
        </w:tc>
        <w:tc>
          <w:tcPr>
            <w:tcW w:type="dxa" w:w="41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Expected-count metadata</w:t>
            </w:r>
          </w:p>
        </w:tc>
        <w:tc>
          <w:tcPr>
            <w:tcW w:type="dxa" w:w="2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b/>
          <w:bCs/>
        </w:rPr>
        <w:t xml:space="preserve">Integrity check: </w:t>
      </w:r>
      <w:r>
        <w:t xml:space="preserve">the loader asserts every </w:t>
      </w:r>
      <w:r>
        <w:rPr>
          <w:rFonts w:ascii="Consolas" w:cs="Consolas" w:eastAsia="Consolas" w:hAnsi="Consolas"/>
          <w:sz w:val="19"/>
          <w:szCs w:val="19"/>
        </w:rPr>
        <w:t xml:space="preserve">ChangeRequest.linked_provider_contract_id</w:t>
      </w:r>
      <w:r>
        <w:t xml:space="preserve"> resolves to a </w:t>
      </w:r>
      <w:r>
        <w:rPr>
          <w:rFonts w:ascii="Consolas" w:cs="Consolas" w:eastAsia="Consolas" w:hAnsi="Consolas"/>
          <w:sz w:val="19"/>
          <w:szCs w:val="19"/>
        </w:rPr>
        <w:t xml:space="preserve">ProviderContract</w:t>
      </w:r>
      <w:r>
        <w:t xml:space="preserve"> (0 orphans) and that every outcome is in the controlled vocabulary.</w:t>
      </w:r>
    </w:p>
    <w:p>
      <w:pPr>
        <w:pStyle w:val="Heading1"/>
      </w:pPr>
      <w:r>
        <w:t xml:space="preserve">5. Sequence — Single Decision</w:t>
      </w:r>
    </w:p>
    <w:p>
      <w:pPr>
        <w:pBdr>
          <w:top w:val="single" w:color="D9E2EC" w:sz="4"/>
        </w:pBd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UI/Batch        Loaders        TagEngine        RuleEngine        DecisionEngine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|  request id    |               |                 |                  |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|---------------&gt;| resolve change + contract        |                  |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|                |--------------&gt;| derive TagSet    |                  |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|                |               |---------------- &gt;| evaluate rules    |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|                |               |                 |  (applicable only)|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|                |               |                 |----------------- &gt;| compose by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|                |               |                 |                  |  precedence</w:t>
      </w:r>
    </w:p>
    <w:p>
      <w:pPr>
        <w:shd w:fill="F4F6F8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|&lt;------------------------------ Decision(outcome, action, trace) -----|</w:t>
      </w:r>
    </w:p>
    <w:p>
      <w:pPr>
        <w:pStyle w:val="Heading1"/>
      </w:pPr>
      <w:r>
        <w:t xml:space="preserve">6. Deployment View</w:t>
      </w:r>
    </w:p>
    <w:p>
      <w:pPr>
        <w:spacing w:after="120"/>
      </w:pPr>
      <w:r>
        <w:t xml:space="preserve">v1 is a single-process Streamlit application. The decision core is a standalone Python package importable by both the UI and the batch scorer (and any future API).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060"/>
        <w:gridCol w:w="3200"/>
      </w:tblGrid>
      <w:tr>
        <w:trPr>
          <w:tblHeader/>
        </w:trPr>
        <w:tc>
          <w:tcPr>
            <w:tcW w:type="dxa" w:w="2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Concern</w:t>
            </w:r>
          </w:p>
        </w:tc>
        <w:tc>
          <w:tcPr>
            <w:tcW w:type="dxa" w:w="40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v1 Approach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Future</w:t>
            </w:r>
          </w:p>
        </w:tc>
      </w:tr>
      <w:tr>
        <w:tc>
          <w:tcPr>
            <w:tcW w:type="dxa" w:w="2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40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Streamlit process (local / container)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Split UI + decision API service</w:t>
            </w:r>
          </w:p>
        </w:tc>
      </w:tr>
      <w:tr>
        <w:tc>
          <w:tcPr>
            <w:tcW w:type="dxa" w:w="2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40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YAML rulebook + sheets on disk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Versioned rule store / DB</w:t>
            </w:r>
          </w:p>
        </w:tc>
      </w:tr>
      <w:tr>
        <w:tc>
          <w:tcPr>
            <w:tcW w:type="dxa" w:w="2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40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In-memory + decision log file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DB for decision traces</w:t>
            </w:r>
          </w:p>
        </w:tc>
      </w:tr>
      <w:tr>
        <w:tc>
          <w:tcPr>
            <w:tcW w:type="dxa" w:w="2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(single-tenant)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SSO + role-based review</w:t>
            </w:r>
          </w:p>
        </w:tc>
      </w:tr>
      <w:tr>
        <w:tc>
          <w:tcPr>
            <w:tcW w:type="dxa" w:w="2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0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Synthetic dataset</w:t>
            </w:r>
          </w:p>
        </w:tc>
        <w:tc>
          <w:tcPr>
            <w:tcW w:type="dxa" w:w="32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PECOS / CMS connectors</w:t>
            </w:r>
          </w:p>
        </w:tc>
      </w:tr>
    </w:tbl>
    <w:p>
      <w:pPr>
        <w:pStyle w:val="Heading1"/>
      </w:pPr>
      <w:r>
        <w:t xml:space="preserve">7. Cross-Cutting Concerns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Explainability: </w:t>
      </w:r>
      <w:r>
        <w:t xml:space="preserve">the Decision object always carries evaluated rules, verdicts, and fired tags; the UI renders this as a readable trace.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Determinism: </w:t>
      </w:r>
      <w:r>
        <w:t xml:space="preserve">no randomness in the decision path — identical inputs yield identical outputs, enabling exact regression.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Auditability: </w:t>
      </w:r>
      <w:r>
        <w:t xml:space="preserve">every decision is logged with its trace; the rulebook is versioned so historical decisions can be reproduced.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Testability: </w:t>
      </w:r>
      <w:r>
        <w:t xml:space="preserve">each rule is unit-tested; a regression suite reproduces all 60 labels (49/6/4/1) and synthetic REJECT fixtures cover the absent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Extensibility: </w:t>
      </w:r>
      <w:r>
        <w:t xml:space="preserve">new rules are added by registering a pure function + a YAML entry; new tags by extending the Tag Engine — the decision ladder is the only place precedence is encoded.</w:t>
      </w:r>
    </w:p>
    <w:p>
      <w:pPr>
        <w:pStyle w:val="Heading1"/>
      </w:pPr>
      <w:r>
        <w:t xml:space="preserve">8.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Rule-driven, not ML-driven, decision path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Labels are 82% APPROVE and REJECT is absent; determinism + explainability are required for compliance.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Tags as an explicit layer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Decouples rule logic from raw schema; rules stay readable and stable as data evolves.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Precedence ladder over scoring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Outcomes are categorical with clear priority (hard blocks first); a ladder is transparent and auditable.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Rulebook as config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Lets product own CMS-standard content without code changes (BR-11).</w:t>
            </w:r>
          </w:p>
        </w:tc>
      </w:tr>
      <w:tr>
        <w:tc>
          <w:tcPr>
            <w:tcW w:type="dxa" w:w="30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 for v1 UI</w:t>
            </w:r>
          </w:p>
        </w:tc>
        <w:tc>
          <w:tcPr>
            <w:tcW w:type="dxa" w:w="63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Fastest path to an interactive reviewer + batch report on a Python core.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EC" w:sz="4" w:space="4"/>
      </w:pBdr>
      <w:tabs>
        <w:tab w:val="right" w:pos="9026"/>
      </w:tabs>
    </w:pPr>
    <w:r>
      <w:rPr>
        <w:color w:val="8A98A8"/>
        <w:sz w:val="16"/>
        <w:szCs w:val="16"/>
      </w:rPr>
      <w:t xml:space="preserve">Confidential — Internal</w:t>
    </w:r>
    <w:r>
      <w:rPr>
        <w:color w:val="8A98A8"/>
        <w:sz w:val="16"/>
        <w:szCs w:val="16"/>
      </w:rPr>
      <w:t xml:space="preserve">	Page </w:t>
    </w:r>
    <w:r>
      <w:rPr>
        <w:color w:val="8A98A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98A8"/>
        <w:sz w:val="16"/>
        <w:szCs w:val="16"/>
      </w:rPr>
      <w:t xml:space="preserve"> of </w:t>
    </w:r>
    <w:r>
      <w:rPr>
        <w:color w:val="8A98A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EC" w:sz="4" w:space="4"/>
      </w:pBdr>
      <w:tabs>
        <w:tab w:val="right" w:pos="9026"/>
      </w:tabs>
    </w:pPr>
    <w:r>
      <w:rPr>
        <w:color w:val="8A98A8"/>
        <w:sz w:val="16"/>
        <w:szCs w:val="16"/>
      </w:rPr>
      <w:t xml:space="preserve">Architecture — Provider Contract Change Validation Engine</w:t>
    </w:r>
    <w:r>
      <w:rPr>
        <w:color w:val="8A98A8"/>
        <w:sz w:val="16"/>
        <w:szCs w:val="16"/>
      </w:rPr>
      <w:t xml:space="preserve">	Provider Contract Change Validation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56"/>
      <w:szCs w:val="56"/>
    </w:rPr>
  </w:style>
  <w:style w:type="paragraph" w:styleId="Subtitle">
    <w:name w:val="Subtitle"/>
    <w:basedOn w:val="Normal"/>
    <w:next w:val="Normal"/>
    <w:pPr>
      <w:spacing w:after="240" w:before="0"/>
    </w:pPr>
    <w:rPr>
      <w:rFonts w:ascii="Arial" w:cs="Arial" w:eastAsia="Arial" w:hAnsi="Arial"/>
      <w:color w:val="2E75B6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  <w:style w:type="paragraph" w:styleId="Normal">
    <w:name w:val="Normal"/>
    <w:pPr>
      <w:spacing w:after="120" w:before="0" w:line="276"/>
    </w:pPr>
    <w:rPr>
      <w:rFonts w:ascii="Arial" w:cs="Arial" w:eastAsia="Arial" w:hAnsi="Arial"/>
      <w:sz w:val="22"/>
      <w:szCs w:val="22"/>
    </w:rPr>
  </w:style>
  <w:style w:type="paragraph" w:styleId="Mono">
    <w:name w:val="Mono"/>
    <w:basedOn w:val="Normal"/>
    <w:next w:val="Normal"/>
    <w:pPr>
      <w:spacing w:after="60" w:before="0"/>
    </w:pPr>
    <w:rPr>
      <w:rFonts w:ascii="Consolas" w:cs="Consolas" w:eastAsia="Consolas" w:hAnsi="Consolas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bd0d0bd5e7d1390277510138a6cfe536428980.png"/><Relationship Id="rId10" Type="http://schemas.openxmlformats.org/officeDocument/2006/relationships/image" Target="media/4b1db0218ec163cb192bdc8cab6a73a96c6d06c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— Provider Contract Change Validation Engine</dc:title>
  <dc:creator>Anthropic</dc:creator>
  <cp:lastModifiedBy>Un-named</cp:lastModifiedBy>
  <cp:revision>1</cp:revision>
  <dcterms:created xsi:type="dcterms:W3CDTF">2026-06-04T09:50:47.331Z</dcterms:created>
  <dcterms:modified xsi:type="dcterms:W3CDTF">2026-06-04T09:50:47.331Z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