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3964"/>
          <w:sz w:val="30"/>
        </w:rPr>
        <w:t>Remote-Sensing Grounded Visual Question Answering: Answering Questions About Objects in Satellite Images</w:t>
      </w:r>
    </w:p>
    <w:p>
      <w:pPr>
        <w:spacing w:after="40"/>
        <w:jc w:val="center"/>
      </w:pPr>
      <w:r>
        <w:rPr>
          <w:b w:val="0"/>
          <w:i w:val="0"/>
          <w:sz w:val="22"/>
        </w:rPr>
        <w:t>Atharva Uday Kalase — 40509608</w:t>
      </w:r>
    </w:p>
    <w:p>
      <w:pPr>
        <w:spacing w:after="160"/>
        <w:jc w:val="center"/>
      </w:pPr>
      <w:r>
        <w:rPr>
          <w:b w:val="0"/>
          <w:i w:val="0"/>
          <w:color w:val="555F70"/>
          <w:sz w:val="19"/>
        </w:rPr>
        <w:t>ECS8060 Artificial Intelligence Engineering · Queen’s University Belfast · Project FM-12a</w:t>
      </w:r>
    </w:p>
    <w:p>
      <w:pPr>
        <w:pStyle w:val="Heading1"/>
      </w:pPr>
      <w:r>
        <w:t>Abstract</w:t>
      </w:r>
    </w:p>
    <w:p>
      <w:pPr>
        <w:spacing w:after="80"/>
        <w:jc w:val="both"/>
      </w:pPr>
      <w:r>
        <w:rPr>
          <w:b w:val="0"/>
          <w:i w:val="0"/>
        </w:rPr>
        <w:t>This project investigates whether auxiliary reasoning components make a vision-language model (VLM) more reliable at answering questions about objects in satellite imagery, using the VRSBench benchmark. Three interventions are evaluated against a zero-shot Qwen2.5-VL baseline on a fixed 1,000-question subset: (1) a detector-in-the-loop grounding stage, (2) an answer–evidence consistency check that abstains on probable hallucinations, and (3) lightweight QLoRA domain fine-tuning. The central finding is that naive additions harm accuracy while targeted ones help. Off-the-shelf grounding degraded accuracy by 4.0 points through a detector domain gap; a first fine-tune collapsed counting accuracy via catastrophic forgetting. In contrast, the consistency check raised accuracy on retained answers at high precision, and a corrected fine-tune — answer-only loss masking with a lower learning rate — recovered counting and lifted accuracy; applied to the 7B model it produced the best configuration in the study, 56.7% exact-match / 66.7% judged. An independent LLM judge raises all conditions by ~9.5 points without altering their ranking, showing the results are robust to the scoring method. Everything runs locally in 4-bit with no paid APIs and is exposed through a polished interactive dashboard.</w:t>
      </w:r>
    </w:p>
    <w:p>
      <w:pPr>
        <w:pStyle w:val="Heading1"/>
      </w:pPr>
      <w:r>
        <w:t>1. Introduction</w:t>
      </w:r>
    </w:p>
    <w:p>
      <w:pPr>
        <w:spacing w:after="80"/>
        <w:jc w:val="both"/>
      </w:pPr>
      <w:r>
        <w:rPr>
          <w:b w:val="0"/>
          <w:i w:val="0"/>
        </w:rPr>
        <w:t>Remote-sensing visual question answering (RS-VQA) asks a model to answer natural-language questions about overhead aerial or satellite images — the number, category, colour, position or relative size of objects in a scene. It is demanding: imagery is nadir-view, objects are small and densely packed, and answers must be precise and concise. General VLMs perform reasonably out of the box, but their reliability is uneven, and in operational settings a confidently wrong answer is worse than an honest abstention. This project therefore treats reliability, not raw accuracy, as the object of study, asking which engineering interventions actually make a model more trustworthy and which only appear to. Two research questions are investigated. RQ1: does an explicit grounding stage (a detector in the loop) improve answer accuracy? RQ2: where do models fail by question type, and can an answer–evidence consistency check reduce hallucination? A lightweight domain fine-tuning study forms the third strand. All experiments are reproducible, run under local 4-bit inference on consumer hardware with no paid APIs, and are exposed through an interactive demonstration front end.</w:t>
      </w:r>
    </w:p>
    <w:p>
      <w:pPr>
        <w:pStyle w:val="Heading1"/>
      </w:pPr>
      <w:r>
        <w:t>2. Background and Related Work</w:t>
      </w:r>
    </w:p>
    <w:p>
      <w:pPr>
        <w:spacing w:after="80"/>
        <w:jc w:val="both"/>
      </w:pPr>
      <w:r>
        <w:rPr>
          <w:b w:val="0"/>
          <w:i w:val="0"/>
        </w:rPr>
        <w:t>VRSBench (Li et al., 2024) is a remote-sensing vision-language benchmark of 29,614 images and ~123,000 question–answer pairs across twelve question types, used here as both evaluation set and fine-tuning source. GeoChat established remote-sensing-tuned VLMs as a baseline family; the base model here, Qwen2.5-VL-Instruct (3B and 7B), is a strong general multimodal model small enough to run quantised on a laptop GPU. Grounding DINO (Liu et al., 2023) is the open-vocabulary detector used for grounding, and the evaluation borrows the LLM-as-a-Judge protocol as a secondary, synonym-aware check on the primary exact-match scorer.</w:t>
      </w:r>
    </w:p>
    <w:p>
      <w:pPr>
        <w:pStyle w:val="Heading1"/>
      </w:pPr>
      <w:r>
        <w:t>3. Dataset and Evaluation Protocol</w:t>
      </w:r>
    </w:p>
    <w:p>
      <w:pPr>
        <w:spacing w:after="80"/>
        <w:jc w:val="both"/>
      </w:pPr>
      <w:r>
        <w:rPr>
          <w:b w:val="0"/>
          <w:i w:val="0"/>
        </w:rPr>
        <w:t>All experiments use a fixed random subset of 1,000 questions from the VRSBench validation VQA split (seed 0), so every condition is scored on identical questions. Answers are graded by a normalised soft exact-match scorer that lower-cases, strips punctuation and articles, maps number words to digits and reduces plurals to singular before comparing — crediting format variants such as “Airplanes”=“airplane” and “two”=“2” while never turning a wrong answer into a right one — and, as a secondary check, by an LLM judge. Two reference points frame every result: a majority-per-type baseline of 34.5% and a random baseline of 23.1%.</w:t>
      </w:r>
    </w:p>
    <w:p>
      <w:pPr>
        <w:pStyle w:val="Heading1"/>
      </w:pPr>
      <w:r>
        <w:t>4. Method and System Components</w:t>
      </w:r>
    </w:p>
    <w:p>
      <w:pPr>
        <w:spacing w:after="80"/>
        <w:jc w:val="both"/>
      </w:pPr>
      <w:r>
        <w:rPr>
          <w:b w:val="0"/>
          <w:i w:val="0"/>
        </w:rPr>
        <w:t>The system comprises five engineering components, each mapping to a required module capability: (1) prompt engineering; (2) a multimodal, lightly agentic pipeline; (3) domain fine-tuning; (4) fully local quantised inference; and (5) an interactive demonstration front end. The pipeline holds the answering model constant and varies only the surrounding machinery, so any change in accuracy is attributable to the intervention under test (Figure 1).</w:t>
      </w:r>
    </w:p>
    <w:p>
      <w:pPr>
        <w:spacing w:after="80"/>
        <w:jc w:val="both"/>
      </w:pPr>
      <w:r>
        <w:rPr>
          <w:b w:val="0"/>
          <w:i w:val="0"/>
        </w:rPr>
        <w:t>Grounding stage. Object nouns are extracted from each question with a 30-term remote-sensing vocabulary and passed to Grounding DINO (grounding-dino-tiny). Detections below 0.30 confidence are discarded, the top ten are converted to VRSBench’s 0–100 coordinate convention and serialised into an evidence block, and a system prompt instructs the model to check the detected classes, counts and coordinates before answering. Consistency check. A rule-based verifier requires any object class named in the answer to appear among the detections, and for counting questions the stated number to fall within tolerance of the detection count; failing answers are flagged as probable hallucinations and abstained on. Local inference. The entire answering path runs offline in 4-bit NF4 precision (≈4.6 GB VRAM for 3B, ≈6.5 GB for 7B), with no paid or external APIs, making every result cheap and private to reproduce.</w:t>
      </w:r>
    </w:p>
    <w:p>
      <w:pPr>
        <w:pStyle w:val="Heading1"/>
      </w:pPr>
      <w:r>
        <w:t>5. Experiments and Results</w:t>
      </w:r>
    </w:p>
    <w:p>
      <w:pPr>
        <w:pStyle w:val="Heading2"/>
      </w:pPr>
      <w:r>
        <w:t>5.1 RQ1 — Does grounding help?</w:t>
      </w:r>
    </w:p>
    <w:p>
      <w:pPr>
        <w:spacing w:after="80"/>
        <w:jc w:val="both"/>
      </w:pPr>
      <w:r>
        <w:rPr>
          <w:b w:val="0"/>
          <w:i w:val="0"/>
        </w:rPr>
        <w:t>The answering model is held constant; the control receives image and question, the treatment additionally receives the detector evidence block, on the identical 1,000 questions. Grounding does not improve accuracy; it degrades it — by 4.0 points under exact-match and 4.5 under the judge — and because both scorers agree, the harm is not an artefact of strict matching. Accuracy fell by a comparable margin whether or not the detector returned boxes, so the injected evidence is actively misleading rather than merely absent. This is a detector domain gap: Grounding DINO is trained on natural photographs, whereas the imagery is nadir-view with small, dense objects, so its labels are frequently wrong while the prompt tells the model to trust them. Answer to RQ1: no — off-the-shelf evidence injection degrades RS-VQA accuracy under both scorers (full figures in Appendix A).</w:t>
      </w:r>
    </w:p>
    <w:p>
      <w:pPr>
        <w:pStyle w:val="Heading2"/>
      </w:pPr>
      <w:r>
        <w:t>5.2 RQ2 — Failure profile and the consistency check</w:t>
      </w:r>
    </w:p>
    <w:p>
      <w:pPr>
        <w:spacing w:after="80"/>
        <w:jc w:val="both"/>
      </w:pPr>
      <w:r>
        <w:rPr>
          <w:b w:val="0"/>
          <w:i w:val="0"/>
        </w:rPr>
        <w:t>Per-type accuracy shows the model is strongest on object existence (85.6%) and colour (61.8%), and weakest on shape (25.0%), category (30.8%) and quantity (36.2%). The dominant failure is vocabulary and label-convention mismatch, not perception or verbosity: predictions are already concise (mean 1.11 words vs 1.12 gold) and only 2.4% of errors embed the gold answer in a longer response — typical cases are gold “windmill” predicted “wind turbine”, gold “trees” predicted “forest”. The rule-based verifier, evaluated on the grounded predictions, behaves as a high-precision, low-recall filter (Table 1): at 83.8% precision it rarely abstains on a correct answer, and removing flagged answers raises accuracy on the retained 89.5% of questions from 46.4% to 49.9%. Its recall is bounded by the same unreliable detector from RQ1. Answer to RQ2: yes — a consistency check reduces hallucination and improves reliability, but its power is bounded by the evidence it checks against.</w:t>
      </w:r>
    </w:p>
    <w:tbl>
      <w:tblPr>
        <w:tblStyle w:val="LightGrid-Accent1"/>
        <w:tblW w:type="auto" w:w="0"/>
        <w:jc w:val="center"/>
        <w:tblLook w:firstColumn="1" w:firstRow="1" w:lastColumn="0" w:lastRow="0" w:noHBand="0" w:noVBand="1" w:val="04A0"/>
      </w:tblPr>
      <w:tblGrid>
        <w:gridCol w:w="5156"/>
        <w:gridCol w:w="5156"/>
      </w:tblGrid>
      <w:tr>
        <w:tc>
          <w:tcPr>
            <w:tcW w:type="dxa" w:w="5156"/>
          </w:tcPr>
          <w:p>
            <w:pPr>
              <w:spacing w:after="0"/>
            </w:pPr>
            <w:r/>
            <w:r>
              <w:rPr>
                <w:b/>
                <w:sz w:val="19"/>
              </w:rPr>
              <w:t>Metric</w:t>
            </w:r>
          </w:p>
        </w:tc>
        <w:tc>
          <w:tcPr>
            <w:tcW w:type="dxa" w:w="5156"/>
          </w:tcPr>
          <w:p>
            <w:pPr>
              <w:spacing w:after="0"/>
            </w:pPr>
            <w:r/>
            <w:r>
              <w:rPr>
                <w:b/>
                <w:sz w:val="19"/>
              </w:rPr>
              <w:t>Value</w:t>
            </w:r>
          </w:p>
        </w:tc>
      </w:tr>
      <w:tr>
        <w:tc>
          <w:tcPr>
            <w:tcW w:type="dxa" w:w="5156"/>
          </w:tcPr>
          <w:p>
            <w:pPr>
              <w:spacing w:after="0"/>
            </w:pPr>
            <w:r/>
            <w:r>
              <w:rPr>
                <w:sz w:val="19"/>
              </w:rPr>
              <w:t>Answers flagged (abstained)</w:t>
            </w:r>
          </w:p>
        </w:tc>
        <w:tc>
          <w:tcPr>
            <w:tcW w:type="dxa" w:w="5156"/>
          </w:tcPr>
          <w:p>
            <w:pPr>
              <w:spacing w:after="0"/>
            </w:pPr>
            <w:r/>
            <w:r>
              <w:rPr>
                <w:sz w:val="19"/>
              </w:rPr>
              <w:t>105 of 1,000 (10.5%)</w:t>
            </w:r>
          </w:p>
        </w:tc>
      </w:tr>
      <w:tr>
        <w:tc>
          <w:tcPr>
            <w:tcW w:type="dxa" w:w="5156"/>
          </w:tcPr>
          <w:p>
            <w:pPr>
              <w:spacing w:after="0"/>
            </w:pPr>
            <w:r/>
            <w:r>
              <w:rPr>
                <w:sz w:val="19"/>
              </w:rPr>
              <w:t>Flag precision (flagged answers truly wrong)</w:t>
            </w:r>
          </w:p>
        </w:tc>
        <w:tc>
          <w:tcPr>
            <w:tcW w:type="dxa" w:w="5156"/>
          </w:tcPr>
          <w:p>
            <w:pPr>
              <w:spacing w:after="0"/>
            </w:pPr>
            <w:r/>
            <w:r>
              <w:rPr>
                <w:sz w:val="19"/>
              </w:rPr>
              <w:t>83.8% (88 of 105)</w:t>
            </w:r>
          </w:p>
        </w:tc>
      </w:tr>
      <w:tr>
        <w:tc>
          <w:tcPr>
            <w:tcW w:type="dxa" w:w="5156"/>
          </w:tcPr>
          <w:p>
            <w:pPr>
              <w:spacing w:after="0"/>
            </w:pPr>
            <w:r/>
            <w:r>
              <w:rPr>
                <w:sz w:val="19"/>
              </w:rPr>
              <w:t>Flag recall (wrong answers caught)</w:t>
            </w:r>
          </w:p>
        </w:tc>
        <w:tc>
          <w:tcPr>
            <w:tcW w:type="dxa" w:w="5156"/>
          </w:tcPr>
          <w:p>
            <w:pPr>
              <w:spacing w:after="0"/>
            </w:pPr>
            <w:r/>
            <w:r>
              <w:rPr>
                <w:sz w:val="19"/>
              </w:rPr>
              <w:t>16.4% (88 of 536)</w:t>
            </w:r>
          </w:p>
        </w:tc>
      </w:tr>
      <w:tr>
        <w:tc>
          <w:tcPr>
            <w:tcW w:type="dxa" w:w="5156"/>
          </w:tcPr>
          <w:p>
            <w:pPr>
              <w:spacing w:after="0"/>
            </w:pPr>
            <w:r/>
            <w:r>
              <w:rPr>
                <w:sz w:val="19"/>
              </w:rPr>
              <w:t>Accuracy before check / on retained answers</w:t>
            </w:r>
          </w:p>
        </w:tc>
        <w:tc>
          <w:tcPr>
            <w:tcW w:type="dxa" w:w="5156"/>
          </w:tcPr>
          <w:p>
            <w:pPr>
              <w:spacing w:after="0"/>
            </w:pPr>
            <w:r/>
            <w:r>
              <w:rPr>
                <w:sz w:val="19"/>
              </w:rPr>
              <w:t>46.4% / 49.9%</w:t>
            </w:r>
          </w:p>
        </w:tc>
      </w:tr>
      <w:tr>
        <w:tc>
          <w:tcPr>
            <w:tcW w:type="dxa" w:w="5156"/>
          </w:tcPr>
          <w:p>
            <w:pPr>
              <w:spacing w:after="0"/>
            </w:pPr>
            <w:r/>
            <w:r>
              <w:rPr>
                <w:sz w:val="19"/>
              </w:rPr>
              <w:t>Coverage retained</w:t>
            </w:r>
          </w:p>
        </w:tc>
        <w:tc>
          <w:tcPr>
            <w:tcW w:type="dxa" w:w="5156"/>
          </w:tcPr>
          <w:p>
            <w:pPr>
              <w:spacing w:after="0"/>
            </w:pPr>
            <w:r/>
            <w:r>
              <w:rPr>
                <w:sz w:val="19"/>
              </w:rPr>
              <w:t>89.5%</w:t>
            </w:r>
          </w:p>
        </w:tc>
      </w:tr>
    </w:tbl>
    <w:p>
      <w:pPr>
        <w:spacing w:after="40"/>
      </w:pPr>
    </w:p>
    <w:p>
      <w:pPr>
        <w:spacing w:after="120"/>
        <w:jc w:val="center"/>
      </w:pPr>
      <w:r>
        <w:rPr>
          <w:i/>
          <w:color w:val="555F70"/>
          <w:sz w:val="18"/>
        </w:rPr>
        <w:t>Table 1. Answer–evidence consistency check (RQ2), on the 1,000 grounded predictions.</w:t>
      </w:r>
    </w:p>
    <w:p>
      <w:pPr>
        <w:pStyle w:val="Heading2"/>
      </w:pPr>
      <w:r>
        <w:t>5.3 Domain fine-tuning: recipe, diagnosis and fix</w:t>
      </w:r>
    </w:p>
    <w:p>
      <w:pPr>
        <w:spacing w:after="80"/>
        <w:jc w:val="both"/>
      </w:pPr>
      <w:r>
        <w:rPr>
          <w:b w:val="0"/>
          <w:i w:val="0"/>
        </w:rPr>
        <w:t>A lightweight QLoRA adapter adapts the model to VRSBench’s answer style. The configuration (full detail in Appendix B) uses rank-8, α-16 low-rank adapters with dropout 0.05 on the attention projections (q/k/v/o_proj) over a 4-bit NF4 base; an effective batch size of 8 (per-step batch 1 × gradient accumulation 8); 1,000 training questions from the VRSBench train split; and image tokens capped at 256×28×28 to fit 8 GB VRAM. Only ~0.1% of the weights are trained, so a 7B adapter is ~20 MB and trains in ≈40–55 minutes on a laptop GPU.</w:t>
      </w:r>
    </w:p>
    <w:p>
      <w:pPr>
        <w:spacing w:after="80"/>
        <w:jc w:val="both"/>
      </w:pPr>
      <w:r>
        <w:rPr>
          <w:b w:val="0"/>
          <w:i w:val="0"/>
        </w:rPr>
        <w:t>The first attempt made accuracy worse, and the failure is instructive. Version 1 trained the loss over the entire sequence at a high learning rate (1×10⁻⁴), so the adapter over-fit surface answer patterns and induced catastrophic forgetting — counting collapsed from 36.2% to 8.0% and overall accuracy fell to 44.3%. Version 2 made two changes: the learning rate was lowered to 2×10⁻⁵, and the loss was masked to the answer tokens only (prompt tokens set to −100), so the model learns to produce answers without unlearning its general capabilities. On the 3B this recovered counting to 32.8% and lifted accuracy to 51.5% exact-match (61.3% judged), above the zero-shot baseline on both scorers. Applying the identical recipe to the 7B for two epochs gave the strongest result in the study — 56.7% exact-match / 66.7% judged, a +5.4-point exact-match gain over 7B zero-shot — while counting improved (36.2%→44.3%) rather than collapsing. The corrected method therefore generalises across model size, and its value is the diagnostic loop: the project identifies why naive fine-tuning failed and demonstrates a principled fix (Appendix A, Table A2).</w:t>
      </w:r>
    </w:p>
    <w:p>
      <w:pPr>
        <w:pStyle w:val="Heading2"/>
      </w:pPr>
      <w:r>
        <w:t>5.4 Validation with an LLM judge</w:t>
      </w:r>
    </w:p>
    <w:p>
      <w:pPr>
        <w:spacing w:after="80"/>
        <w:jc w:val="both"/>
      </w:pPr>
      <w:r>
        <w:rPr>
          <w:b w:val="0"/>
          <w:i w:val="0"/>
        </w:rPr>
        <w:t>To test whether conclusions survive a lenient, meaning-based metric, all condition files were re-scored by an LLM-as-a-Judge using the faculty Qwen3.6-35B-A3B model, instructed to credit synonyms, plurals and equivalent phrasings. The judge raises every condition by a near-uniform ~9.5 points and — critically — leaves the ranking unchanged (fine-tuned &gt; zero-shot &gt; grounded under both metrics). The lift concentrates exactly where RQ2 predicted: object category rises 30.8%→54.5% and shape 22.5%→50.0%, confirming these were vocabulary and label-convention failures, not perception. The model is thus more capable than exact-match alone suggests, but the relative merits of the interventions are identical either way.</w:t>
      </w:r>
    </w:p>
    <w:p>
      <w:pPr>
        <w:pStyle w:val="Heading2"/>
      </w:pPr>
      <w:r>
        <w:t>5.5 Model scale comparison — 3B vs 7B vs a 35B API</w:t>
      </w:r>
    </w:p>
    <w:p>
      <w:pPr>
        <w:spacing w:after="80"/>
        <w:jc w:val="both"/>
      </w:pPr>
      <w:r>
        <w:rPr>
          <w:b w:val="0"/>
          <w:i w:val="0"/>
        </w:rPr>
        <w:t>The identical zero-shot protocol was run on Qwen2.5-VL-7B (local, 4-bit) and on the faculty Qwen3.6-35B-A3B via its API — a Mixture-of-Experts “thinking” model with ~3B active parameters. Two findings stand out (Table 2). First, within one family scale gives sharply diminishing returns at zero-shot: 3B→7B adds only ~0.3 exact-match and ~1.8 judged, so the bottleneck is the domain, not capacity — yet the same 7B, once fine-tuned, reaches 56.7%/66.7%, showing that domain adaptation, not size, unlocks the gain. Second, the far larger general 35B model is the weakest of the three (42.8%/53.5%): a domain-appropriate model beats a general giant. RQ1 also replicates across all three (grounding: 3B −4.0, 7B −2.3, API −12.0), confirming the detector gap is a property of the task.</w:t>
      </w:r>
    </w:p>
    <w:tbl>
      <w:tblPr>
        <w:tblStyle w:val="LightGrid-Accent1"/>
        <w:tblW w:type="auto" w:w="0"/>
        <w:jc w:val="center"/>
        <w:tblLook w:firstColumn="1" w:firstRow="1" w:lastColumn="0" w:lastRow="0" w:noHBand="0" w:noVBand="1" w:val="04A0"/>
      </w:tblPr>
      <w:tblGrid>
        <w:gridCol w:w="3437"/>
        <w:gridCol w:w="3437"/>
        <w:gridCol w:w="3437"/>
      </w:tblGrid>
      <w:tr>
        <w:tc>
          <w:tcPr>
            <w:tcW w:type="dxa" w:w="3437"/>
          </w:tcPr>
          <w:p>
            <w:pPr>
              <w:spacing w:after="0"/>
            </w:pPr>
            <w:r/>
            <w:r>
              <w:rPr>
                <w:b/>
                <w:sz w:val="19"/>
              </w:rPr>
              <w:t>Model / configuration</w:t>
            </w:r>
          </w:p>
        </w:tc>
        <w:tc>
          <w:tcPr>
            <w:tcW w:type="dxa" w:w="3437"/>
          </w:tcPr>
          <w:p>
            <w:pPr>
              <w:spacing w:after="0"/>
            </w:pPr>
            <w:r/>
            <w:r>
              <w:rPr>
                <w:b/>
                <w:sz w:val="19"/>
              </w:rPr>
              <w:t>Exact-match</w:t>
            </w:r>
          </w:p>
        </w:tc>
        <w:tc>
          <w:tcPr>
            <w:tcW w:type="dxa" w:w="3437"/>
          </w:tcPr>
          <w:p>
            <w:pPr>
              <w:spacing w:after="0"/>
            </w:pPr>
            <w:r/>
            <w:r>
              <w:rPr>
                <w:b/>
                <w:sz w:val="19"/>
              </w:rPr>
              <w:t>LLM-judge</w:t>
            </w:r>
          </w:p>
        </w:tc>
      </w:tr>
      <w:tr>
        <w:tc>
          <w:tcPr>
            <w:tcW w:type="dxa" w:w="3437"/>
          </w:tcPr>
          <w:p>
            <w:pPr>
              <w:spacing w:after="0"/>
            </w:pPr>
            <w:r/>
            <w:r>
              <w:rPr>
                <w:sz w:val="19"/>
              </w:rPr>
              <w:t>Qwen2.5-VL 3B — zero-shot</w:t>
            </w:r>
          </w:p>
        </w:tc>
        <w:tc>
          <w:tcPr>
            <w:tcW w:type="dxa" w:w="3437"/>
          </w:tcPr>
          <w:p>
            <w:pPr>
              <w:spacing w:after="0"/>
            </w:pPr>
            <w:r/>
            <w:r>
              <w:rPr>
                <w:sz w:val="19"/>
              </w:rPr>
              <w:t>51.0%</w:t>
            </w:r>
          </w:p>
        </w:tc>
        <w:tc>
          <w:tcPr>
            <w:tcW w:type="dxa" w:w="3437"/>
          </w:tcPr>
          <w:p>
            <w:pPr>
              <w:spacing w:after="0"/>
            </w:pPr>
            <w:r/>
            <w:r>
              <w:rPr>
                <w:sz w:val="19"/>
              </w:rPr>
              <w:t>60.8%</w:t>
            </w:r>
          </w:p>
        </w:tc>
      </w:tr>
      <w:tr>
        <w:tc>
          <w:tcPr>
            <w:tcW w:type="dxa" w:w="3437"/>
          </w:tcPr>
          <w:p>
            <w:pPr>
              <w:spacing w:after="0"/>
            </w:pPr>
            <w:r/>
            <w:r>
              <w:rPr>
                <w:sz w:val="19"/>
              </w:rPr>
              <w:t>Qwen2.5-VL 3B — fine-tuned (v2)</w:t>
            </w:r>
          </w:p>
        </w:tc>
        <w:tc>
          <w:tcPr>
            <w:tcW w:type="dxa" w:w="3437"/>
          </w:tcPr>
          <w:p>
            <w:pPr>
              <w:spacing w:after="0"/>
            </w:pPr>
            <w:r/>
            <w:r>
              <w:rPr>
                <w:sz w:val="19"/>
              </w:rPr>
              <w:t>51.5%</w:t>
            </w:r>
          </w:p>
        </w:tc>
        <w:tc>
          <w:tcPr>
            <w:tcW w:type="dxa" w:w="3437"/>
          </w:tcPr>
          <w:p>
            <w:pPr>
              <w:spacing w:after="0"/>
            </w:pPr>
            <w:r/>
            <w:r>
              <w:rPr>
                <w:sz w:val="19"/>
              </w:rPr>
              <w:t>61.3%</w:t>
            </w:r>
          </w:p>
        </w:tc>
      </w:tr>
      <w:tr>
        <w:tc>
          <w:tcPr>
            <w:tcW w:type="dxa" w:w="3437"/>
          </w:tcPr>
          <w:p>
            <w:pPr>
              <w:spacing w:after="0"/>
            </w:pPr>
            <w:r/>
            <w:r>
              <w:rPr>
                <w:sz w:val="19"/>
              </w:rPr>
              <w:t>Qwen2.5-VL 7B — zero-shot</w:t>
            </w:r>
          </w:p>
        </w:tc>
        <w:tc>
          <w:tcPr>
            <w:tcW w:type="dxa" w:w="3437"/>
          </w:tcPr>
          <w:p>
            <w:pPr>
              <w:spacing w:after="0"/>
            </w:pPr>
            <w:r/>
            <w:r>
              <w:rPr>
                <w:sz w:val="19"/>
              </w:rPr>
              <w:t>51.3%</w:t>
            </w:r>
          </w:p>
        </w:tc>
        <w:tc>
          <w:tcPr>
            <w:tcW w:type="dxa" w:w="3437"/>
          </w:tcPr>
          <w:p>
            <w:pPr>
              <w:spacing w:after="0"/>
            </w:pPr>
            <w:r/>
            <w:r>
              <w:rPr>
                <w:sz w:val="19"/>
              </w:rPr>
              <w:t>62.6%</w:t>
            </w:r>
          </w:p>
        </w:tc>
      </w:tr>
      <w:tr>
        <w:tc>
          <w:tcPr>
            <w:tcW w:type="dxa" w:w="3437"/>
          </w:tcPr>
          <w:p>
            <w:pPr>
              <w:spacing w:after="0"/>
            </w:pPr>
            <w:r/>
            <w:r>
              <w:rPr>
                <w:sz w:val="19"/>
              </w:rPr>
              <w:t>Qwen2.5-VL 7B — fine-tuned  (best)</w:t>
            </w:r>
          </w:p>
        </w:tc>
        <w:tc>
          <w:tcPr>
            <w:tcW w:type="dxa" w:w="3437"/>
          </w:tcPr>
          <w:p>
            <w:pPr>
              <w:spacing w:after="0"/>
            </w:pPr>
            <w:r/>
            <w:r>
              <w:rPr>
                <w:sz w:val="19"/>
              </w:rPr>
              <w:t>56.7%</w:t>
            </w:r>
          </w:p>
        </w:tc>
        <w:tc>
          <w:tcPr>
            <w:tcW w:type="dxa" w:w="3437"/>
          </w:tcPr>
          <w:p>
            <w:pPr>
              <w:spacing w:after="0"/>
            </w:pPr>
            <w:r/>
            <w:r>
              <w:rPr>
                <w:sz w:val="19"/>
              </w:rPr>
              <w:t>66.7%</w:t>
            </w:r>
          </w:p>
        </w:tc>
      </w:tr>
      <w:tr>
        <w:tc>
          <w:tcPr>
            <w:tcW w:type="dxa" w:w="3437"/>
          </w:tcPr>
          <w:p>
            <w:pPr>
              <w:spacing w:after="0"/>
            </w:pPr>
            <w:r/>
            <w:r>
              <w:rPr>
                <w:sz w:val="19"/>
              </w:rPr>
              <w:t>Qwen3.6-35B-A3B (general, API)</w:t>
            </w:r>
          </w:p>
        </w:tc>
        <w:tc>
          <w:tcPr>
            <w:tcW w:type="dxa" w:w="3437"/>
          </w:tcPr>
          <w:p>
            <w:pPr>
              <w:spacing w:after="0"/>
            </w:pPr>
            <w:r/>
            <w:r>
              <w:rPr>
                <w:sz w:val="19"/>
              </w:rPr>
              <w:t>42.8%</w:t>
            </w:r>
          </w:p>
        </w:tc>
        <w:tc>
          <w:tcPr>
            <w:tcW w:type="dxa" w:w="3437"/>
          </w:tcPr>
          <w:p>
            <w:pPr>
              <w:spacing w:after="0"/>
            </w:pPr>
            <w:r/>
            <w:r>
              <w:rPr>
                <w:sz w:val="19"/>
              </w:rPr>
              <w:t>53.5%</w:t>
            </w:r>
          </w:p>
        </w:tc>
      </w:tr>
    </w:tbl>
    <w:p>
      <w:pPr>
        <w:spacing w:after="40"/>
      </w:pPr>
    </w:p>
    <w:p>
      <w:pPr>
        <w:spacing w:after="120"/>
        <w:jc w:val="center"/>
      </w:pPr>
      <w:r>
        <w:rPr>
          <w:i/>
          <w:color w:val="555F70"/>
          <w:sz w:val="18"/>
        </w:rPr>
        <w:t>Table 2. Overall accuracy across every configuration on the 1,000-question subset.</w:t>
      </w:r>
    </w:p>
    <w:p>
      <w:pPr>
        <w:pStyle w:val="Heading2"/>
      </w:pPr>
      <w:r>
        <w:t>5.6 Performance and efficiency</w:t>
      </w:r>
    </w:p>
    <w:p>
      <w:pPr>
        <w:spacing w:after="80"/>
        <w:jc w:val="both"/>
      </w:pPr>
      <w:r>
        <w:rPr>
          <w:b w:val="0"/>
          <w:i w:val="0"/>
        </w:rPr>
        <w:t>The system is deliberately lightweight. In 4-bit the 3B model occupies ≈4.6 GB and the 7B ≈6.5 GB, both fitting an 8 GB consumer GPU without CPU offloading; model load takes roughly 15–60 s depending on cache state, after which each answer returns in a few seconds. Fine-tuning a 7B adapter on 1,000 examples takes ≈40–55 minutes, and the resulting adapter is ~20 MB. Scoring is decoupled from the model: saved predictions are re-graded by the exact-match scorer in ~1 second (no GPU), and the LLM-judge pass runs 24 requests in parallel. The optional detector runs on CPU so it never competes with the VLM for GPU memory. There is no per-query cloud cost, and the whole answering path is private and offline.</w:t>
      </w:r>
    </w:p>
    <w:p>
      <w:pPr>
        <w:pStyle w:val="Heading1"/>
      </w:pPr>
      <w:r>
        <w:t>6. Demonstration Front End and Features</w:t>
      </w:r>
    </w:p>
    <w:p>
      <w:pPr>
        <w:spacing w:after="80"/>
        <w:jc w:val="both"/>
      </w:pPr>
      <w:r>
        <w:rPr>
          <w:b w:val="0"/>
          <w:i w:val="0"/>
        </w:rPr>
        <w:t>Two Gradio applications expose the system, sharing one polished dark theme (custom CSS, a gradient hero banner and tabbed Demo / About / Results layout). The showcase app (final_dashboard.py) runs the 7B fine-tuned model: the user uploads a satellite image and asks a question, and a single Answer action returns a concise answer and simultaneously overlays the detected-object bounding boxes, so the evidence behind an answer is human-checkable. A first-time user is guided by an interactive step-by-step coach tour that spotlights each control in turn (upload → ask → answer), advanced manually and closing with a confirmation message. The comparison app (compare_models.py) runs the same UI but lets the examiner select model size (3B or 7B) and state (Before / After fine-tuning, or both) to see the effect of fine-tuning side by side, keeping one model in GPU memory and toggling the LoRA adapter instantly. A single launcher (run_all.py) chains library setup, a dataset check, and a choice of which app to start, always in 4-bit. Engineering improvements made during development include version-robust detector post-processing that never crashes the UI, a lazily-loaded CPU detector, readable dark-theme contrast, aligned image-source controls, and an optional sentence-form answer mode; the complete feature list is given in Appendix D.</w:t>
      </w:r>
    </w:p>
    <w:p>
      <w:pPr>
        <w:pStyle w:val="Heading1"/>
      </w:pPr>
      <w:r>
        <w:t>7. Uniqueness and Contributions</w:t>
      </w:r>
    </w:p>
    <w:p>
      <w:pPr>
        <w:spacing w:after="80"/>
        <w:jc w:val="both"/>
      </w:pPr>
      <w:r>
        <w:rPr>
          <w:b w:val="0"/>
          <w:i w:val="0"/>
        </w:rPr>
        <w:t>The project’s distinctiveness lies in its method and rigour. (i) It is framed around reliability rather than leaderboard accuracy, treating an honest abstention as a first-class outcome. (ii) It reports a rigorous negative result — off-the-shelf grounding hurts — and substantiates it by replicating the effect across three model scales and explaining its cause, rather than discarding an unfavourable experiment. (iii) It demonstrates a complete diagnostic loop on fine-tuning: measuring a failure (counting collapse), diagnosing it (catastrophic forgetting) and correcting it (answer-only masking + lower LR), validated across 3B and 7B. (iv) Every conclusion is cross-checked by two independent scorers whose rankings agree. (v) The whole answering path is fully local, 4-bit and zero-cost, making the study private and exactly reproducible. (vi) It contributes the empirical finding that domain fit beats scale — a fine-tuned 7B outperforms a general model four times its size — and (vii) packages the research behind a production-grade, agentic demonstrator with a guided tour and one-click answer-plus-evidence.</w:t>
      </w:r>
    </w:p>
    <w:p>
      <w:pPr>
        <w:pStyle w:val="Heading1"/>
      </w:pPr>
      <w:r>
        <w:t>8. Discussion</w:t>
      </w:r>
    </w:p>
    <w:p>
      <w:pPr>
        <w:spacing w:after="80"/>
        <w:jc w:val="both"/>
      </w:pPr>
      <w:r>
        <w:rPr>
          <w:b w:val="0"/>
          <w:i w:val="0"/>
        </w:rPr>
        <w:t>The three experiments tell one coherent story. A detector bolted onto the pipeline hurt accuracy; a fine-tune applied without care broke a whole question type; yet a targeted consistency check and a carefully-configured fine-tune both improved reliability. The distinguishing factor is not the sophistication of the intervention but whether it respects the domain. Grounding failed because the detector’s training distribution does not match overhead imagery; fine-tune v1 failed because full-sequence loss at a high learning rate discards general knowledge. The interventions that worked did so by adding a conservative, high-precision safeguard, or by adapting the model without overwriting it. The actionable lesson is that auxiliary components in an RS-VLM system must be validated end-to-end against a held-out set, because plausible additions can silently reduce accuracy.</w:t>
      </w:r>
    </w:p>
    <w:p>
      <w:pPr>
        <w:pStyle w:val="Heading1"/>
      </w:pPr>
      <w:r>
        <w:t>9. Limitations</w:t>
      </w:r>
    </w:p>
    <w:p>
      <w:pPr>
        <w:spacing w:after="80"/>
        <w:jc w:val="both"/>
      </w:pPr>
      <w:r>
        <w:rPr>
          <w:b w:val="0"/>
          <w:i w:val="0"/>
        </w:rPr>
        <w:t>Three limitations bound the conclusions. First, evaluation uses a 1,000-question subset rather than the full 37,409-item split, so per-type figures for rare types (e.g. object direction, n=8) carry wide confidence intervals. Second, the primary metric is normalised exact-match, which under-credits semantically-correct paraphrases; the LLM judge mitigates this without changing rankings, but the judge is itself a model, not ground truth. Third, the confidence signal used for abstention — mean generated-token probability — was poorly calibrated, saturating near 1.0, which limited the calibration analysis and is why the abstention filter relies on the rule-based check rather than a confidence threshold.</w:t>
      </w:r>
    </w:p>
    <w:p>
      <w:pPr>
        <w:pStyle w:val="Heading1"/>
      </w:pPr>
      <w:r>
        <w:t>10. Future Work</w:t>
      </w:r>
    </w:p>
    <w:p>
      <w:pPr>
        <w:spacing w:after="80"/>
        <w:jc w:val="both"/>
      </w:pPr>
      <w:r>
        <w:rPr>
          <w:b w:val="0"/>
          <w:i w:val="0"/>
        </w:rPr>
        <w:t>The clearest next step is to replace the natural-image detector with a remote-sensing-trained one, which the RQ1 analysis predicts would turn grounding from a liability into an asset and raise the consistency check’s recall. A better-calibrated confidence signal (lowest-token probability or answer-token entropy) would enable a principled risk–coverage abstention curve. Finally, counting — the persistently hardest type — could be addressed by deriving the count directly from detector boxes for quantity questions only, a surgical use of grounding that avoids its general harm.</w:t>
      </w:r>
    </w:p>
    <w:p>
      <w:pPr>
        <w:pStyle w:val="Heading1"/>
      </w:pPr>
      <w:r>
        <w:t>11. Conclusion</w:t>
      </w:r>
    </w:p>
    <w:p>
      <w:pPr>
        <w:spacing w:after="80"/>
        <w:jc w:val="both"/>
      </w:pPr>
      <w:r>
        <w:rPr>
          <w:b w:val="0"/>
          <w:i w:val="0"/>
        </w:rPr>
        <w:t>This project asked which engineering interventions make a remote-sensing VLM more reliable. Against a 51.0% zero-shot baseline (60.8% judged), an off-the-shelf grounding stage hurt accuracy (−4.0) through a detector domain gap, a rule-based consistency check improved accuracy on retained answers at high precision, and domain fine-tuning helped once configured to avoid catastrophic forgetting — culminating in a best configuration of 7B fine-tuned at 56.7% exact-match / 66.7% judged, while naive fine-tuning broke the model (44.3%, counting 8%). An independent judge lifts every condition by ~9.5 points without changing their order. The unifying conclusion is that in this domain naive additions fail and targeted, domain-aware ones succeed, and every component must be measured end-to-end to tell the two apart.</w:t>
      </w:r>
    </w:p>
    <w:p>
      <w:pPr>
        <w:pStyle w:val="Heading1"/>
      </w:pPr>
      <w:r>
        <w:t>References</w:t>
      </w:r>
    </w:p>
    <w:p>
      <w:pPr>
        <w:spacing w:after="40"/>
        <w:jc w:val="left"/>
      </w:pPr>
      <w:r>
        <w:rPr>
          <w:b w:val="0"/>
          <w:i w:val="0"/>
          <w:sz w:val="19"/>
        </w:rPr>
        <w:t>Li, X. et al. (2024). VRSBench: A Versatile Vision-Language Benchmark Dataset for Remote Sensing Image Understanding. NeurIPS Datasets and Benchmarks.</w:t>
      </w:r>
    </w:p>
    <w:p>
      <w:pPr>
        <w:spacing w:after="40"/>
        <w:jc w:val="left"/>
      </w:pPr>
      <w:r>
        <w:rPr>
          <w:b w:val="0"/>
          <w:i w:val="0"/>
          <w:sz w:val="19"/>
        </w:rPr>
        <w:t>Liu, S. et al. (2023). Grounding DINO: Marrying DINO with Grounded Pre-Training for Open-Set Object Detection. arXiv:2303.05499.</w:t>
      </w:r>
    </w:p>
    <w:p>
      <w:pPr>
        <w:spacing w:after="40"/>
        <w:jc w:val="left"/>
      </w:pPr>
      <w:r>
        <w:rPr>
          <w:b w:val="0"/>
          <w:i w:val="0"/>
          <w:sz w:val="19"/>
        </w:rPr>
        <w:t>Kuckreja, K. et al. (2024). GeoChat: Grounded Large Vision-Language Model for Remote Sensing. CVPR.</w:t>
      </w:r>
    </w:p>
    <w:p>
      <w:pPr>
        <w:spacing w:after="40"/>
        <w:jc w:val="left"/>
      </w:pPr>
      <w:r>
        <w:rPr>
          <w:b w:val="0"/>
          <w:i w:val="0"/>
          <w:sz w:val="19"/>
        </w:rPr>
        <w:t>Bai, J. et al. (2025). Qwen2.5-VL Technical Report. arXiv:2502.13923.</w:t>
      </w:r>
    </w:p>
    <w:p>
      <w:pPr>
        <w:spacing w:after="40"/>
        <w:jc w:val="left"/>
      </w:pPr>
      <w:r>
        <w:rPr>
          <w:b w:val="0"/>
          <w:i w:val="0"/>
          <w:sz w:val="19"/>
        </w:rPr>
        <w:t>Hu, E. et al. (2022). LoRA: Low-Rank Adaptation of Large Language Models. ICLR.</w:t>
      </w:r>
    </w:p>
    <w:p>
      <w:r>
        <w:br w:type="page"/>
      </w:r>
    </w:p>
    <w:p>
      <w:pPr>
        <w:pStyle w:val="Heading1"/>
      </w:pPr>
      <w:r>
        <w:t>Appendix A — Full results tables</w:t>
      </w:r>
    </w:p>
    <w:p>
      <w:pPr>
        <w:spacing w:after="120"/>
        <w:jc w:val="center"/>
      </w:pPr>
      <w:r>
        <w:rPr>
          <w:i/>
          <w:color w:val="555F70"/>
          <w:sz w:val="18"/>
        </w:rPr>
        <w:t>Table A1. RQ1 — grounding vs zero-shot (3B), 1,000 questions.</w:t>
      </w:r>
    </w:p>
    <w:tbl>
      <w:tblPr>
        <w:tblStyle w:val="LightGrid-Accent1"/>
        <w:tblW w:type="auto" w:w="0"/>
        <w:jc w:val="center"/>
        <w:tblLook w:firstColumn="1" w:firstRow="1" w:lastColumn="0" w:lastRow="0" w:noHBand="0" w:noVBand="1" w:val="04A0"/>
      </w:tblPr>
      <w:tblGrid>
        <w:gridCol w:w="2578"/>
        <w:gridCol w:w="2578"/>
        <w:gridCol w:w="2578"/>
        <w:gridCol w:w="2578"/>
      </w:tblGrid>
      <w:tr>
        <w:tc>
          <w:tcPr>
            <w:tcW w:type="dxa" w:w="2578"/>
          </w:tcPr>
          <w:p>
            <w:pPr>
              <w:spacing w:after="0"/>
            </w:pPr>
            <w:r/>
            <w:r>
              <w:rPr>
                <w:b/>
                <w:sz w:val="19"/>
              </w:rPr>
              <w:t>Condition</w:t>
            </w:r>
          </w:p>
        </w:tc>
        <w:tc>
          <w:tcPr>
            <w:tcW w:type="dxa" w:w="2578"/>
          </w:tcPr>
          <w:p>
            <w:pPr>
              <w:spacing w:after="0"/>
            </w:pPr>
            <w:r/>
            <w:r>
              <w:rPr>
                <w:b/>
                <w:sz w:val="19"/>
              </w:rPr>
              <w:t>n</w:t>
            </w:r>
          </w:p>
        </w:tc>
        <w:tc>
          <w:tcPr>
            <w:tcW w:type="dxa" w:w="2578"/>
          </w:tcPr>
          <w:p>
            <w:pPr>
              <w:spacing w:after="0"/>
            </w:pPr>
            <w:r/>
            <w:r>
              <w:rPr>
                <w:b/>
                <w:sz w:val="19"/>
              </w:rPr>
              <w:t>Exact-match</w:t>
            </w:r>
          </w:p>
        </w:tc>
        <w:tc>
          <w:tcPr>
            <w:tcW w:type="dxa" w:w="2578"/>
          </w:tcPr>
          <w:p>
            <w:pPr>
              <w:spacing w:after="0"/>
            </w:pPr>
            <w:r/>
            <w:r>
              <w:rPr>
                <w:b/>
                <w:sz w:val="19"/>
              </w:rPr>
              <w:t>LLM-judge</w:t>
            </w:r>
          </w:p>
        </w:tc>
      </w:tr>
      <w:tr>
        <w:tc>
          <w:tcPr>
            <w:tcW w:type="dxa" w:w="2578"/>
          </w:tcPr>
          <w:p>
            <w:pPr>
              <w:spacing w:after="0"/>
            </w:pPr>
            <w:r/>
            <w:r>
              <w:rPr>
                <w:sz w:val="19"/>
              </w:rPr>
              <w:t>Majority-per-type baseline</w:t>
            </w:r>
          </w:p>
        </w:tc>
        <w:tc>
          <w:tcPr>
            <w:tcW w:type="dxa" w:w="2578"/>
          </w:tcPr>
          <w:p>
            <w:pPr>
              <w:spacing w:after="0"/>
            </w:pPr>
            <w:r/>
            <w:r>
              <w:rPr>
                <w:sz w:val="19"/>
              </w:rPr>
              <w:t>37,409</w:t>
            </w:r>
          </w:p>
        </w:tc>
        <w:tc>
          <w:tcPr>
            <w:tcW w:type="dxa" w:w="2578"/>
          </w:tcPr>
          <w:p>
            <w:pPr>
              <w:spacing w:after="0"/>
            </w:pPr>
            <w:r/>
            <w:r>
              <w:rPr>
                <w:sz w:val="19"/>
              </w:rPr>
              <w:t>34.5%</w:t>
            </w:r>
          </w:p>
        </w:tc>
        <w:tc>
          <w:tcPr>
            <w:tcW w:type="dxa" w:w="2578"/>
          </w:tcPr>
          <w:p>
            <w:pPr>
              <w:spacing w:after="0"/>
            </w:pPr>
            <w:r/>
            <w:r>
              <w:rPr>
                <w:sz w:val="19"/>
              </w:rPr>
              <w:t>—</w:t>
            </w:r>
          </w:p>
        </w:tc>
      </w:tr>
      <w:tr>
        <w:tc>
          <w:tcPr>
            <w:tcW w:type="dxa" w:w="2578"/>
          </w:tcPr>
          <w:p>
            <w:pPr>
              <w:spacing w:after="0"/>
            </w:pPr>
            <w:r/>
            <w:r>
              <w:rPr>
                <w:sz w:val="19"/>
              </w:rPr>
              <w:t>Zero-shot (control)</w:t>
            </w:r>
          </w:p>
        </w:tc>
        <w:tc>
          <w:tcPr>
            <w:tcW w:type="dxa" w:w="2578"/>
          </w:tcPr>
          <w:p>
            <w:pPr>
              <w:spacing w:after="0"/>
            </w:pPr>
            <w:r/>
            <w:r>
              <w:rPr>
                <w:sz w:val="19"/>
              </w:rPr>
              <w:t>1,000</w:t>
            </w:r>
          </w:p>
        </w:tc>
        <w:tc>
          <w:tcPr>
            <w:tcW w:type="dxa" w:w="2578"/>
          </w:tcPr>
          <w:p>
            <w:pPr>
              <w:spacing w:after="0"/>
            </w:pPr>
            <w:r/>
            <w:r>
              <w:rPr>
                <w:sz w:val="19"/>
              </w:rPr>
              <w:t>51.0%</w:t>
            </w:r>
          </w:p>
        </w:tc>
        <w:tc>
          <w:tcPr>
            <w:tcW w:type="dxa" w:w="2578"/>
          </w:tcPr>
          <w:p>
            <w:pPr>
              <w:spacing w:after="0"/>
            </w:pPr>
            <w:r/>
            <w:r>
              <w:rPr>
                <w:sz w:val="19"/>
              </w:rPr>
              <w:t>60.8%</w:t>
            </w:r>
          </w:p>
        </w:tc>
      </w:tr>
      <w:tr>
        <w:tc>
          <w:tcPr>
            <w:tcW w:type="dxa" w:w="2578"/>
          </w:tcPr>
          <w:p>
            <w:pPr>
              <w:spacing w:after="0"/>
            </w:pPr>
            <w:r/>
            <w:r>
              <w:rPr>
                <w:sz w:val="19"/>
              </w:rPr>
              <w:t>Grounded pipeline (treatment)</w:t>
            </w:r>
          </w:p>
        </w:tc>
        <w:tc>
          <w:tcPr>
            <w:tcW w:type="dxa" w:w="2578"/>
          </w:tcPr>
          <w:p>
            <w:pPr>
              <w:spacing w:after="0"/>
            </w:pPr>
            <w:r/>
            <w:r>
              <w:rPr>
                <w:sz w:val="19"/>
              </w:rPr>
              <w:t>1,000</w:t>
            </w:r>
          </w:p>
        </w:tc>
        <w:tc>
          <w:tcPr>
            <w:tcW w:type="dxa" w:w="2578"/>
          </w:tcPr>
          <w:p>
            <w:pPr>
              <w:spacing w:after="0"/>
            </w:pPr>
            <w:r/>
            <w:r>
              <w:rPr>
                <w:sz w:val="19"/>
              </w:rPr>
              <w:t>47.0%</w:t>
            </w:r>
          </w:p>
        </w:tc>
        <w:tc>
          <w:tcPr>
            <w:tcW w:type="dxa" w:w="2578"/>
          </w:tcPr>
          <w:p>
            <w:pPr>
              <w:spacing w:after="0"/>
            </w:pPr>
            <w:r/>
            <w:r>
              <w:rPr>
                <w:sz w:val="19"/>
              </w:rPr>
              <w:t>56.3%</w:t>
            </w:r>
          </w:p>
        </w:tc>
      </w:tr>
      <w:tr>
        <w:tc>
          <w:tcPr>
            <w:tcW w:type="dxa" w:w="2578"/>
          </w:tcPr>
          <w:p>
            <w:pPr>
              <w:spacing w:after="0"/>
            </w:pPr>
            <w:r/>
            <w:r>
              <w:rPr>
                <w:sz w:val="19"/>
              </w:rPr>
              <w:t>Difference</w:t>
            </w:r>
          </w:p>
        </w:tc>
        <w:tc>
          <w:tcPr>
            <w:tcW w:type="dxa" w:w="2578"/>
          </w:tcPr>
          <w:p>
            <w:pPr>
              <w:spacing w:after="0"/>
            </w:pPr>
            <w:r/>
            <w:r>
              <w:rPr>
                <w:sz w:val="19"/>
              </w:rPr>
              <w:t>1,000</w:t>
            </w:r>
          </w:p>
        </w:tc>
        <w:tc>
          <w:tcPr>
            <w:tcW w:type="dxa" w:w="2578"/>
          </w:tcPr>
          <w:p>
            <w:pPr>
              <w:spacing w:after="0"/>
            </w:pPr>
            <w:r/>
            <w:r>
              <w:rPr>
                <w:sz w:val="19"/>
              </w:rPr>
              <w:t>−4.0 pts</w:t>
            </w:r>
          </w:p>
        </w:tc>
        <w:tc>
          <w:tcPr>
            <w:tcW w:type="dxa" w:w="2578"/>
          </w:tcPr>
          <w:p>
            <w:pPr>
              <w:spacing w:after="0"/>
            </w:pPr>
            <w:r/>
            <w:r>
              <w:rPr>
                <w:sz w:val="19"/>
              </w:rPr>
              <w:t>−4.5 pts</w:t>
            </w:r>
          </w:p>
        </w:tc>
      </w:tr>
    </w:tbl>
    <w:p>
      <w:pPr>
        <w:spacing w:after="40"/>
      </w:pPr>
    </w:p>
    <w:p>
      <w:pPr>
        <w:spacing w:after="120"/>
        <w:jc w:val="center"/>
      </w:pPr>
      <w:r>
        <w:rPr>
          <w:i/>
          <w:color w:val="555F70"/>
          <w:sz w:val="18"/>
        </w:rPr>
        <w:t>Table A2. Fine-tuning diagnosis (3B), with 7B best for reference.</w:t>
      </w:r>
    </w:p>
    <w:tbl>
      <w:tblPr>
        <w:tblStyle w:val="LightGrid-Accent1"/>
        <w:tblW w:type="auto" w:w="0"/>
        <w:jc w:val="center"/>
        <w:tblLook w:firstColumn="1" w:firstRow="1" w:lastColumn="0" w:lastRow="0" w:noHBand="0" w:noVBand="1" w:val="04A0"/>
      </w:tblPr>
      <w:tblGrid>
        <w:gridCol w:w="2578"/>
        <w:gridCol w:w="2578"/>
        <w:gridCol w:w="2578"/>
        <w:gridCol w:w="2578"/>
      </w:tblGrid>
      <w:tr>
        <w:tc>
          <w:tcPr>
            <w:tcW w:type="dxa" w:w="2578"/>
          </w:tcPr>
          <w:p>
            <w:pPr>
              <w:spacing w:after="0"/>
            </w:pPr>
            <w:r/>
            <w:r>
              <w:rPr>
                <w:b/>
                <w:sz w:val="19"/>
              </w:rPr>
              <w:t>Configuration</w:t>
            </w:r>
          </w:p>
        </w:tc>
        <w:tc>
          <w:tcPr>
            <w:tcW w:type="dxa" w:w="2578"/>
          </w:tcPr>
          <w:p>
            <w:pPr>
              <w:spacing w:after="0"/>
            </w:pPr>
            <w:r/>
            <w:r>
              <w:rPr>
                <w:b/>
                <w:sz w:val="19"/>
              </w:rPr>
              <w:t>Exact-match</w:t>
            </w:r>
          </w:p>
        </w:tc>
        <w:tc>
          <w:tcPr>
            <w:tcW w:type="dxa" w:w="2578"/>
          </w:tcPr>
          <w:p>
            <w:pPr>
              <w:spacing w:after="0"/>
            </w:pPr>
            <w:r/>
            <w:r>
              <w:rPr>
                <w:b/>
                <w:sz w:val="19"/>
              </w:rPr>
              <w:t>LLM-judge</w:t>
            </w:r>
          </w:p>
        </w:tc>
        <w:tc>
          <w:tcPr>
            <w:tcW w:type="dxa" w:w="2578"/>
          </w:tcPr>
          <w:p>
            <w:pPr>
              <w:spacing w:after="0"/>
            </w:pPr>
            <w:r/>
            <w:r>
              <w:rPr>
                <w:b/>
                <w:sz w:val="19"/>
              </w:rPr>
              <w:t>Quantity (EM)</w:t>
            </w:r>
          </w:p>
        </w:tc>
      </w:tr>
      <w:tr>
        <w:tc>
          <w:tcPr>
            <w:tcW w:type="dxa" w:w="2578"/>
          </w:tcPr>
          <w:p>
            <w:pPr>
              <w:spacing w:after="0"/>
            </w:pPr>
            <w:r/>
            <w:r>
              <w:rPr>
                <w:sz w:val="19"/>
              </w:rPr>
              <w:t>Zero-shot baseline (3B)</w:t>
            </w:r>
          </w:p>
        </w:tc>
        <w:tc>
          <w:tcPr>
            <w:tcW w:type="dxa" w:w="2578"/>
          </w:tcPr>
          <w:p>
            <w:pPr>
              <w:spacing w:after="0"/>
            </w:pPr>
            <w:r/>
            <w:r>
              <w:rPr>
                <w:sz w:val="19"/>
              </w:rPr>
              <w:t>51.0%</w:t>
            </w:r>
          </w:p>
        </w:tc>
        <w:tc>
          <w:tcPr>
            <w:tcW w:type="dxa" w:w="2578"/>
          </w:tcPr>
          <w:p>
            <w:pPr>
              <w:spacing w:after="0"/>
            </w:pPr>
            <w:r/>
            <w:r>
              <w:rPr>
                <w:sz w:val="19"/>
              </w:rPr>
              <w:t>60.8%</w:t>
            </w:r>
          </w:p>
        </w:tc>
        <w:tc>
          <w:tcPr>
            <w:tcW w:type="dxa" w:w="2578"/>
          </w:tcPr>
          <w:p>
            <w:pPr>
              <w:spacing w:after="0"/>
            </w:pPr>
            <w:r/>
            <w:r>
              <w:rPr>
                <w:sz w:val="19"/>
              </w:rPr>
              <w:t>36.2%</w:t>
            </w:r>
          </w:p>
        </w:tc>
      </w:tr>
      <w:tr>
        <w:tc>
          <w:tcPr>
            <w:tcW w:type="dxa" w:w="2578"/>
          </w:tcPr>
          <w:p>
            <w:pPr>
              <w:spacing w:after="0"/>
            </w:pPr>
            <w:r/>
            <w:r>
              <w:rPr>
                <w:sz w:val="19"/>
              </w:rPr>
              <w:t>Fine-tune v1 (naive, full-seq loss)</w:t>
            </w:r>
          </w:p>
        </w:tc>
        <w:tc>
          <w:tcPr>
            <w:tcW w:type="dxa" w:w="2578"/>
          </w:tcPr>
          <w:p>
            <w:pPr>
              <w:spacing w:after="0"/>
            </w:pPr>
            <w:r/>
            <w:r>
              <w:rPr>
                <w:sz w:val="19"/>
              </w:rPr>
              <w:t>44.3%</w:t>
            </w:r>
          </w:p>
        </w:tc>
        <w:tc>
          <w:tcPr>
            <w:tcW w:type="dxa" w:w="2578"/>
          </w:tcPr>
          <w:p>
            <w:pPr>
              <w:spacing w:after="0"/>
            </w:pPr>
            <w:r/>
            <w:r>
              <w:rPr>
                <w:sz w:val="19"/>
              </w:rPr>
              <w:t>—</w:t>
            </w:r>
          </w:p>
        </w:tc>
        <w:tc>
          <w:tcPr>
            <w:tcW w:type="dxa" w:w="2578"/>
          </w:tcPr>
          <w:p>
            <w:pPr>
              <w:spacing w:after="0"/>
            </w:pPr>
            <w:r/>
            <w:r>
              <w:rPr>
                <w:sz w:val="19"/>
              </w:rPr>
              <w:t>8.0%</w:t>
            </w:r>
          </w:p>
        </w:tc>
      </w:tr>
      <w:tr>
        <w:tc>
          <w:tcPr>
            <w:tcW w:type="dxa" w:w="2578"/>
          </w:tcPr>
          <w:p>
            <w:pPr>
              <w:spacing w:after="0"/>
            </w:pPr>
            <w:r/>
            <w:r>
              <w:rPr>
                <w:sz w:val="19"/>
              </w:rPr>
              <w:t>Fine-tune v2 (answer-only, LR 2e-5)</w:t>
            </w:r>
          </w:p>
        </w:tc>
        <w:tc>
          <w:tcPr>
            <w:tcW w:type="dxa" w:w="2578"/>
          </w:tcPr>
          <w:p>
            <w:pPr>
              <w:spacing w:after="0"/>
            </w:pPr>
            <w:r/>
            <w:r>
              <w:rPr>
                <w:sz w:val="19"/>
              </w:rPr>
              <w:t>51.5%</w:t>
            </w:r>
          </w:p>
        </w:tc>
        <w:tc>
          <w:tcPr>
            <w:tcW w:type="dxa" w:w="2578"/>
          </w:tcPr>
          <w:p>
            <w:pPr>
              <w:spacing w:after="0"/>
            </w:pPr>
            <w:r/>
            <w:r>
              <w:rPr>
                <w:sz w:val="19"/>
              </w:rPr>
              <w:t>61.3%</w:t>
            </w:r>
          </w:p>
        </w:tc>
        <w:tc>
          <w:tcPr>
            <w:tcW w:type="dxa" w:w="2578"/>
          </w:tcPr>
          <w:p>
            <w:pPr>
              <w:spacing w:after="0"/>
            </w:pPr>
            <w:r/>
            <w:r>
              <w:rPr>
                <w:sz w:val="19"/>
              </w:rPr>
              <w:t>32.8%</w:t>
            </w:r>
          </w:p>
        </w:tc>
      </w:tr>
      <w:tr>
        <w:tc>
          <w:tcPr>
            <w:tcW w:type="dxa" w:w="2578"/>
          </w:tcPr>
          <w:p>
            <w:pPr>
              <w:spacing w:after="0"/>
            </w:pPr>
            <w:r/>
            <w:r>
              <w:rPr>
                <w:sz w:val="19"/>
              </w:rPr>
              <w:t>Fine-tune v2 — 7B (best)</w:t>
            </w:r>
          </w:p>
        </w:tc>
        <w:tc>
          <w:tcPr>
            <w:tcW w:type="dxa" w:w="2578"/>
          </w:tcPr>
          <w:p>
            <w:pPr>
              <w:spacing w:after="0"/>
            </w:pPr>
            <w:r/>
            <w:r>
              <w:rPr>
                <w:sz w:val="19"/>
              </w:rPr>
              <w:t>56.7%</w:t>
            </w:r>
          </w:p>
        </w:tc>
        <w:tc>
          <w:tcPr>
            <w:tcW w:type="dxa" w:w="2578"/>
          </w:tcPr>
          <w:p>
            <w:pPr>
              <w:spacing w:after="0"/>
            </w:pPr>
            <w:r/>
            <w:r>
              <w:rPr>
                <w:sz w:val="19"/>
              </w:rPr>
              <w:t>66.7%</w:t>
            </w:r>
          </w:p>
        </w:tc>
        <w:tc>
          <w:tcPr>
            <w:tcW w:type="dxa" w:w="2578"/>
          </w:tcPr>
          <w:p>
            <w:pPr>
              <w:spacing w:after="0"/>
            </w:pPr>
            <w:r/>
            <w:r>
              <w:rPr>
                <w:sz w:val="19"/>
              </w:rPr>
              <w:t>44.3%</w:t>
            </w:r>
          </w:p>
        </w:tc>
      </w:tr>
    </w:tbl>
    <w:p>
      <w:pPr>
        <w:spacing w:after="40"/>
      </w:pPr>
    </w:p>
    <w:p>
      <w:pPr>
        <w:spacing w:after="120"/>
        <w:jc w:val="center"/>
      </w:pPr>
      <w:r>
        <w:rPr>
          <w:i/>
          <w:color w:val="555F70"/>
          <w:sz w:val="18"/>
        </w:rPr>
        <w:t>Table A3. Metric agreement — LLM judge lifts every condition by ~9.5 without reordering.</w:t>
      </w:r>
    </w:p>
    <w:tbl>
      <w:tblPr>
        <w:tblStyle w:val="LightGrid-Accent1"/>
        <w:tblW w:type="auto" w:w="0"/>
        <w:jc w:val="center"/>
        <w:tblLook w:firstColumn="1" w:firstRow="1" w:lastColumn="0" w:lastRow="0" w:noHBand="0" w:noVBand="1" w:val="04A0"/>
      </w:tblPr>
      <w:tblGrid>
        <w:gridCol w:w="2578"/>
        <w:gridCol w:w="2578"/>
        <w:gridCol w:w="2578"/>
        <w:gridCol w:w="2578"/>
      </w:tblGrid>
      <w:tr>
        <w:tc>
          <w:tcPr>
            <w:tcW w:type="dxa" w:w="2578"/>
          </w:tcPr>
          <w:p>
            <w:pPr>
              <w:spacing w:after="0"/>
            </w:pPr>
            <w:r/>
            <w:r>
              <w:rPr>
                <w:b/>
                <w:sz w:val="19"/>
              </w:rPr>
              <w:t>Condition</w:t>
            </w:r>
          </w:p>
        </w:tc>
        <w:tc>
          <w:tcPr>
            <w:tcW w:type="dxa" w:w="2578"/>
          </w:tcPr>
          <w:p>
            <w:pPr>
              <w:spacing w:after="0"/>
            </w:pPr>
            <w:r/>
            <w:r>
              <w:rPr>
                <w:b/>
                <w:sz w:val="19"/>
              </w:rPr>
              <w:t>Exact-match</w:t>
            </w:r>
          </w:p>
        </w:tc>
        <w:tc>
          <w:tcPr>
            <w:tcW w:type="dxa" w:w="2578"/>
          </w:tcPr>
          <w:p>
            <w:pPr>
              <w:spacing w:after="0"/>
            </w:pPr>
            <w:r/>
            <w:r>
              <w:rPr>
                <w:b/>
                <w:sz w:val="19"/>
              </w:rPr>
              <w:t>LLM-judge</w:t>
            </w:r>
          </w:p>
        </w:tc>
        <w:tc>
          <w:tcPr>
            <w:tcW w:type="dxa" w:w="2578"/>
          </w:tcPr>
          <w:p>
            <w:pPr>
              <w:spacing w:after="0"/>
            </w:pPr>
            <w:r/>
            <w:r>
              <w:rPr>
                <w:b/>
                <w:sz w:val="19"/>
              </w:rPr>
              <w:t>Gain</w:t>
            </w:r>
          </w:p>
        </w:tc>
      </w:tr>
      <w:tr>
        <w:tc>
          <w:tcPr>
            <w:tcW w:type="dxa" w:w="2578"/>
          </w:tcPr>
          <w:p>
            <w:pPr>
              <w:spacing w:after="0"/>
            </w:pPr>
            <w:r/>
            <w:r>
              <w:rPr>
                <w:sz w:val="19"/>
              </w:rPr>
              <w:t>Zero-shot</w:t>
            </w:r>
          </w:p>
        </w:tc>
        <w:tc>
          <w:tcPr>
            <w:tcW w:type="dxa" w:w="2578"/>
          </w:tcPr>
          <w:p>
            <w:pPr>
              <w:spacing w:after="0"/>
            </w:pPr>
            <w:r/>
            <w:r>
              <w:rPr>
                <w:sz w:val="19"/>
              </w:rPr>
              <w:t>51.0%</w:t>
            </w:r>
          </w:p>
        </w:tc>
        <w:tc>
          <w:tcPr>
            <w:tcW w:type="dxa" w:w="2578"/>
          </w:tcPr>
          <w:p>
            <w:pPr>
              <w:spacing w:after="0"/>
            </w:pPr>
            <w:r/>
            <w:r>
              <w:rPr>
                <w:sz w:val="19"/>
              </w:rPr>
              <w:t>60.8%</w:t>
            </w:r>
          </w:p>
        </w:tc>
        <w:tc>
          <w:tcPr>
            <w:tcW w:type="dxa" w:w="2578"/>
          </w:tcPr>
          <w:p>
            <w:pPr>
              <w:spacing w:after="0"/>
            </w:pPr>
            <w:r/>
            <w:r>
              <w:rPr>
                <w:sz w:val="19"/>
              </w:rPr>
              <w:t>+9.8</w:t>
            </w:r>
          </w:p>
        </w:tc>
      </w:tr>
      <w:tr>
        <w:tc>
          <w:tcPr>
            <w:tcW w:type="dxa" w:w="2578"/>
          </w:tcPr>
          <w:p>
            <w:pPr>
              <w:spacing w:after="0"/>
            </w:pPr>
            <w:r/>
            <w:r>
              <w:rPr>
                <w:sz w:val="19"/>
              </w:rPr>
              <w:t>Grounded</w:t>
            </w:r>
          </w:p>
        </w:tc>
        <w:tc>
          <w:tcPr>
            <w:tcW w:type="dxa" w:w="2578"/>
          </w:tcPr>
          <w:p>
            <w:pPr>
              <w:spacing w:after="0"/>
            </w:pPr>
            <w:r/>
            <w:r>
              <w:rPr>
                <w:sz w:val="19"/>
              </w:rPr>
              <w:t>47.0%</w:t>
            </w:r>
          </w:p>
        </w:tc>
        <w:tc>
          <w:tcPr>
            <w:tcW w:type="dxa" w:w="2578"/>
          </w:tcPr>
          <w:p>
            <w:pPr>
              <w:spacing w:after="0"/>
            </w:pPr>
            <w:r/>
            <w:r>
              <w:rPr>
                <w:sz w:val="19"/>
              </w:rPr>
              <w:t>56.3%</w:t>
            </w:r>
          </w:p>
        </w:tc>
        <w:tc>
          <w:tcPr>
            <w:tcW w:type="dxa" w:w="2578"/>
          </w:tcPr>
          <w:p>
            <w:pPr>
              <w:spacing w:after="0"/>
            </w:pPr>
            <w:r/>
            <w:r>
              <w:rPr>
                <w:sz w:val="19"/>
              </w:rPr>
              <w:t>+9.3</w:t>
            </w:r>
          </w:p>
        </w:tc>
      </w:tr>
      <w:tr>
        <w:tc>
          <w:tcPr>
            <w:tcW w:type="dxa" w:w="2578"/>
          </w:tcPr>
          <w:p>
            <w:pPr>
              <w:spacing w:after="0"/>
            </w:pPr>
            <w:r/>
            <w:r>
              <w:rPr>
                <w:sz w:val="19"/>
              </w:rPr>
              <w:t>Fine-tuned v2 (3B)</w:t>
            </w:r>
          </w:p>
        </w:tc>
        <w:tc>
          <w:tcPr>
            <w:tcW w:type="dxa" w:w="2578"/>
          </w:tcPr>
          <w:p>
            <w:pPr>
              <w:spacing w:after="0"/>
            </w:pPr>
            <w:r/>
            <w:r>
              <w:rPr>
                <w:sz w:val="19"/>
              </w:rPr>
              <w:t>51.5%</w:t>
            </w:r>
          </w:p>
        </w:tc>
        <w:tc>
          <w:tcPr>
            <w:tcW w:type="dxa" w:w="2578"/>
          </w:tcPr>
          <w:p>
            <w:pPr>
              <w:spacing w:after="0"/>
            </w:pPr>
            <w:r/>
            <w:r>
              <w:rPr>
                <w:sz w:val="19"/>
              </w:rPr>
              <w:t>61.3%</w:t>
            </w:r>
          </w:p>
        </w:tc>
        <w:tc>
          <w:tcPr>
            <w:tcW w:type="dxa" w:w="2578"/>
          </w:tcPr>
          <w:p>
            <w:pPr>
              <w:spacing w:after="0"/>
            </w:pPr>
            <w:r/>
            <w:r>
              <w:rPr>
                <w:sz w:val="19"/>
              </w:rPr>
              <w:t>+9.8</w:t>
            </w:r>
          </w:p>
        </w:tc>
      </w:tr>
    </w:tbl>
    <w:p>
      <w:pPr>
        <w:spacing w:after="40"/>
      </w:pPr>
    </w:p>
    <w:p>
      <w:pPr>
        <w:spacing w:after="120"/>
        <w:jc w:val="center"/>
      </w:pPr>
      <w:r>
        <w:rPr>
          <w:i/>
          <w:color w:val="555F70"/>
          <w:sz w:val="18"/>
        </w:rPr>
        <w:t>Table A4. Model-scale comparison (zero-shot) and RQ1 replication.</w:t>
      </w:r>
    </w:p>
    <w:tbl>
      <w:tblPr>
        <w:tblStyle w:val="LightGrid-Accent1"/>
        <w:tblW w:type="auto" w:w="0"/>
        <w:jc w:val="center"/>
        <w:tblLook w:firstColumn="1" w:firstRow="1" w:lastColumn="0" w:lastRow="0" w:noHBand="0" w:noVBand="1" w:val="04A0"/>
      </w:tblPr>
      <w:tblGrid>
        <w:gridCol w:w="2578"/>
        <w:gridCol w:w="2578"/>
        <w:gridCol w:w="2578"/>
        <w:gridCol w:w="2578"/>
      </w:tblGrid>
      <w:tr>
        <w:tc>
          <w:tcPr>
            <w:tcW w:type="dxa" w:w="2578"/>
          </w:tcPr>
          <w:p>
            <w:pPr>
              <w:spacing w:after="0"/>
            </w:pPr>
            <w:r/>
            <w:r>
              <w:rPr>
                <w:b/>
                <w:sz w:val="19"/>
              </w:rPr>
              <w:t>Model</w:t>
            </w:r>
          </w:p>
        </w:tc>
        <w:tc>
          <w:tcPr>
            <w:tcW w:type="dxa" w:w="2578"/>
          </w:tcPr>
          <w:p>
            <w:pPr>
              <w:spacing w:after="0"/>
            </w:pPr>
            <w:r/>
            <w:r>
              <w:rPr>
                <w:b/>
                <w:sz w:val="19"/>
              </w:rPr>
              <w:t>Exact-match</w:t>
            </w:r>
          </w:p>
        </w:tc>
        <w:tc>
          <w:tcPr>
            <w:tcW w:type="dxa" w:w="2578"/>
          </w:tcPr>
          <w:p>
            <w:pPr>
              <w:spacing w:after="0"/>
            </w:pPr>
            <w:r/>
            <w:r>
              <w:rPr>
                <w:b/>
                <w:sz w:val="19"/>
              </w:rPr>
              <w:t>LLM-judge</w:t>
            </w:r>
          </w:p>
        </w:tc>
        <w:tc>
          <w:tcPr>
            <w:tcW w:type="dxa" w:w="2578"/>
          </w:tcPr>
          <w:p>
            <w:pPr>
              <w:spacing w:after="0"/>
            </w:pPr>
            <w:r/>
            <w:r>
              <w:rPr>
                <w:b/>
                <w:sz w:val="19"/>
              </w:rPr>
              <w:t>Grounded (exact)</w:t>
            </w:r>
          </w:p>
        </w:tc>
      </w:tr>
      <w:tr>
        <w:tc>
          <w:tcPr>
            <w:tcW w:type="dxa" w:w="2578"/>
          </w:tcPr>
          <w:p>
            <w:pPr>
              <w:spacing w:after="0"/>
            </w:pPr>
            <w:r/>
            <w:r>
              <w:rPr>
                <w:sz w:val="19"/>
              </w:rPr>
              <w:t>Qwen2.5-VL 3B</w:t>
            </w:r>
          </w:p>
        </w:tc>
        <w:tc>
          <w:tcPr>
            <w:tcW w:type="dxa" w:w="2578"/>
          </w:tcPr>
          <w:p>
            <w:pPr>
              <w:spacing w:after="0"/>
            </w:pPr>
            <w:r/>
            <w:r>
              <w:rPr>
                <w:sz w:val="19"/>
              </w:rPr>
              <w:t>51.0%</w:t>
            </w:r>
          </w:p>
        </w:tc>
        <w:tc>
          <w:tcPr>
            <w:tcW w:type="dxa" w:w="2578"/>
          </w:tcPr>
          <w:p>
            <w:pPr>
              <w:spacing w:after="0"/>
            </w:pPr>
            <w:r/>
            <w:r>
              <w:rPr>
                <w:sz w:val="19"/>
              </w:rPr>
              <w:t>60.8%</w:t>
            </w:r>
          </w:p>
        </w:tc>
        <w:tc>
          <w:tcPr>
            <w:tcW w:type="dxa" w:w="2578"/>
          </w:tcPr>
          <w:p>
            <w:pPr>
              <w:spacing w:after="0"/>
            </w:pPr>
            <w:r/>
            <w:r>
              <w:rPr>
                <w:sz w:val="19"/>
              </w:rPr>
              <w:t>47.0%</w:t>
            </w:r>
          </w:p>
        </w:tc>
      </w:tr>
      <w:tr>
        <w:tc>
          <w:tcPr>
            <w:tcW w:type="dxa" w:w="2578"/>
          </w:tcPr>
          <w:p>
            <w:pPr>
              <w:spacing w:after="0"/>
            </w:pPr>
            <w:r/>
            <w:r>
              <w:rPr>
                <w:sz w:val="19"/>
              </w:rPr>
              <w:t>Qwen2.5-VL 7B</w:t>
            </w:r>
          </w:p>
        </w:tc>
        <w:tc>
          <w:tcPr>
            <w:tcW w:type="dxa" w:w="2578"/>
          </w:tcPr>
          <w:p>
            <w:pPr>
              <w:spacing w:after="0"/>
            </w:pPr>
            <w:r/>
            <w:r>
              <w:rPr>
                <w:sz w:val="19"/>
              </w:rPr>
              <w:t>51.3%</w:t>
            </w:r>
          </w:p>
        </w:tc>
        <w:tc>
          <w:tcPr>
            <w:tcW w:type="dxa" w:w="2578"/>
          </w:tcPr>
          <w:p>
            <w:pPr>
              <w:spacing w:after="0"/>
            </w:pPr>
            <w:r/>
            <w:r>
              <w:rPr>
                <w:sz w:val="19"/>
              </w:rPr>
              <w:t>62.6%</w:t>
            </w:r>
          </w:p>
        </w:tc>
        <w:tc>
          <w:tcPr>
            <w:tcW w:type="dxa" w:w="2578"/>
          </w:tcPr>
          <w:p>
            <w:pPr>
              <w:spacing w:after="0"/>
            </w:pPr>
            <w:r/>
            <w:r>
              <w:rPr>
                <w:sz w:val="19"/>
              </w:rPr>
              <w:t>49.0%</w:t>
            </w:r>
          </w:p>
        </w:tc>
      </w:tr>
      <w:tr>
        <w:tc>
          <w:tcPr>
            <w:tcW w:type="dxa" w:w="2578"/>
          </w:tcPr>
          <w:p>
            <w:pPr>
              <w:spacing w:after="0"/>
            </w:pPr>
            <w:r/>
            <w:r>
              <w:rPr>
                <w:sz w:val="19"/>
              </w:rPr>
              <w:t>Qwen3.6-35B-A3B (API)</w:t>
            </w:r>
          </w:p>
        </w:tc>
        <w:tc>
          <w:tcPr>
            <w:tcW w:type="dxa" w:w="2578"/>
          </w:tcPr>
          <w:p>
            <w:pPr>
              <w:spacing w:after="0"/>
            </w:pPr>
            <w:r/>
            <w:r>
              <w:rPr>
                <w:sz w:val="19"/>
              </w:rPr>
              <w:t>42.8%</w:t>
            </w:r>
          </w:p>
        </w:tc>
        <w:tc>
          <w:tcPr>
            <w:tcW w:type="dxa" w:w="2578"/>
          </w:tcPr>
          <w:p>
            <w:pPr>
              <w:spacing w:after="0"/>
            </w:pPr>
            <w:r/>
            <w:r>
              <w:rPr>
                <w:sz w:val="19"/>
              </w:rPr>
              <w:t>53.5%</w:t>
            </w:r>
          </w:p>
        </w:tc>
        <w:tc>
          <w:tcPr>
            <w:tcW w:type="dxa" w:w="2578"/>
          </w:tcPr>
          <w:p>
            <w:pPr>
              <w:spacing w:after="0"/>
            </w:pPr>
            <w:r/>
            <w:r>
              <w:rPr>
                <w:sz w:val="19"/>
              </w:rPr>
              <w:t>30.8%</w:t>
            </w:r>
          </w:p>
        </w:tc>
      </w:tr>
    </w:tbl>
    <w:p>
      <w:pPr>
        <w:spacing w:after="40"/>
      </w:pPr>
    </w:p>
    <w:p>
      <w:pPr>
        <w:pStyle w:val="Heading1"/>
      </w:pPr>
      <w:r>
        <w:t>Appendix B — Fine-tuning hyperparameters (QLoRA)</w:t>
      </w:r>
    </w:p>
    <w:tbl>
      <w:tblPr>
        <w:tblStyle w:val="LightGrid-Accent1"/>
        <w:tblW w:type="auto" w:w="0"/>
        <w:jc w:val="center"/>
        <w:tblLook w:firstColumn="1" w:firstRow="1" w:lastColumn="0" w:lastRow="0" w:noHBand="0" w:noVBand="1" w:val="04A0"/>
      </w:tblPr>
      <w:tblGrid>
        <w:gridCol w:w="5156"/>
        <w:gridCol w:w="5156"/>
      </w:tblGrid>
      <w:tr>
        <w:tc>
          <w:tcPr>
            <w:tcW w:type="dxa" w:w="5156"/>
          </w:tcPr>
          <w:p>
            <w:pPr>
              <w:spacing w:after="0"/>
            </w:pPr>
            <w:r/>
            <w:r>
              <w:rPr>
                <w:b/>
                <w:sz w:val="19"/>
              </w:rPr>
              <w:t>Hyperparameter</w:t>
            </w:r>
          </w:p>
        </w:tc>
        <w:tc>
          <w:tcPr>
            <w:tcW w:type="dxa" w:w="5156"/>
          </w:tcPr>
          <w:p>
            <w:pPr>
              <w:spacing w:after="0"/>
            </w:pPr>
            <w:r/>
            <w:r>
              <w:rPr>
                <w:b/>
                <w:sz w:val="19"/>
              </w:rPr>
              <w:t>Value</w:t>
            </w:r>
          </w:p>
        </w:tc>
      </w:tr>
      <w:tr>
        <w:tc>
          <w:tcPr>
            <w:tcW w:type="dxa" w:w="5156"/>
          </w:tcPr>
          <w:p>
            <w:pPr>
              <w:spacing w:after="0"/>
            </w:pPr>
            <w:r/>
            <w:r>
              <w:rPr>
                <w:sz w:val="19"/>
              </w:rPr>
              <w:t>Base model</w:t>
            </w:r>
          </w:p>
        </w:tc>
        <w:tc>
          <w:tcPr>
            <w:tcW w:type="dxa" w:w="5156"/>
          </w:tcPr>
          <w:p>
            <w:pPr>
              <w:spacing w:after="0"/>
            </w:pPr>
            <w:r/>
            <w:r>
              <w:rPr>
                <w:sz w:val="19"/>
              </w:rPr>
              <w:t>Qwen2.5-VL-3B / 7B-Instruct</w:t>
            </w:r>
          </w:p>
        </w:tc>
      </w:tr>
      <w:tr>
        <w:tc>
          <w:tcPr>
            <w:tcW w:type="dxa" w:w="5156"/>
          </w:tcPr>
          <w:p>
            <w:pPr>
              <w:spacing w:after="0"/>
            </w:pPr>
            <w:r/>
            <w:r>
              <w:rPr>
                <w:sz w:val="19"/>
              </w:rPr>
              <w:t>Quantisation</w:t>
            </w:r>
          </w:p>
        </w:tc>
        <w:tc>
          <w:tcPr>
            <w:tcW w:type="dxa" w:w="5156"/>
          </w:tcPr>
          <w:p>
            <w:pPr>
              <w:spacing w:after="0"/>
            </w:pPr>
            <w:r/>
            <w:r>
              <w:rPr>
                <w:sz w:val="19"/>
              </w:rPr>
              <w:t>4-bit NF4 (bitsandbytes), compute dtype fp16</w:t>
            </w:r>
          </w:p>
        </w:tc>
      </w:tr>
      <w:tr>
        <w:tc>
          <w:tcPr>
            <w:tcW w:type="dxa" w:w="5156"/>
          </w:tcPr>
          <w:p>
            <w:pPr>
              <w:spacing w:after="0"/>
            </w:pPr>
            <w:r/>
            <w:r>
              <w:rPr>
                <w:sz w:val="19"/>
              </w:rPr>
              <w:t>Adapter</w:t>
            </w:r>
          </w:p>
        </w:tc>
        <w:tc>
          <w:tcPr>
            <w:tcW w:type="dxa" w:w="5156"/>
          </w:tcPr>
          <w:p>
            <w:pPr>
              <w:spacing w:after="0"/>
            </w:pPr>
            <w:r/>
            <w:r>
              <w:rPr>
                <w:sz w:val="19"/>
              </w:rPr>
              <w:t>LoRA — rank 8, α 16, dropout 0.05</w:t>
            </w:r>
          </w:p>
        </w:tc>
      </w:tr>
      <w:tr>
        <w:tc>
          <w:tcPr>
            <w:tcW w:type="dxa" w:w="5156"/>
          </w:tcPr>
          <w:p>
            <w:pPr>
              <w:spacing w:after="0"/>
            </w:pPr>
            <w:r/>
            <w:r>
              <w:rPr>
                <w:sz w:val="19"/>
              </w:rPr>
              <w:t>Target modules</w:t>
            </w:r>
          </w:p>
        </w:tc>
        <w:tc>
          <w:tcPr>
            <w:tcW w:type="dxa" w:w="5156"/>
          </w:tcPr>
          <w:p>
            <w:pPr>
              <w:spacing w:after="0"/>
            </w:pPr>
            <w:r/>
            <w:r>
              <w:rPr>
                <w:sz w:val="19"/>
              </w:rPr>
              <w:t>q_proj, k_proj, v_proj, o_proj</w:t>
            </w:r>
          </w:p>
        </w:tc>
      </w:tr>
      <w:tr>
        <w:tc>
          <w:tcPr>
            <w:tcW w:type="dxa" w:w="5156"/>
          </w:tcPr>
          <w:p>
            <w:pPr>
              <w:spacing w:after="0"/>
            </w:pPr>
            <w:r/>
            <w:r>
              <w:rPr>
                <w:sz w:val="19"/>
              </w:rPr>
              <w:t>Learning rate</w:t>
            </w:r>
          </w:p>
        </w:tc>
        <w:tc>
          <w:tcPr>
            <w:tcW w:type="dxa" w:w="5156"/>
          </w:tcPr>
          <w:p>
            <w:pPr>
              <w:spacing w:after="0"/>
            </w:pPr>
            <w:r/>
            <w:r>
              <w:rPr>
                <w:sz w:val="19"/>
              </w:rPr>
              <w:t>2×10⁻⁵ (v2)  |  1×10⁻⁴ (v1, failed)</w:t>
            </w:r>
          </w:p>
        </w:tc>
      </w:tr>
      <w:tr>
        <w:tc>
          <w:tcPr>
            <w:tcW w:type="dxa" w:w="5156"/>
          </w:tcPr>
          <w:p>
            <w:pPr>
              <w:spacing w:after="0"/>
            </w:pPr>
            <w:r/>
            <w:r>
              <w:rPr>
                <w:sz w:val="19"/>
              </w:rPr>
              <w:t>Loss masking</w:t>
            </w:r>
          </w:p>
        </w:tc>
        <w:tc>
          <w:tcPr>
            <w:tcW w:type="dxa" w:w="5156"/>
          </w:tcPr>
          <w:p>
            <w:pPr>
              <w:spacing w:after="0"/>
            </w:pPr>
            <w:r/>
            <w:r>
              <w:rPr>
                <w:sz w:val="19"/>
              </w:rPr>
              <w:t>answer-only (prompt tokens = −100)</w:t>
            </w:r>
          </w:p>
        </w:tc>
      </w:tr>
      <w:tr>
        <w:tc>
          <w:tcPr>
            <w:tcW w:type="dxa" w:w="5156"/>
          </w:tcPr>
          <w:p>
            <w:pPr>
              <w:spacing w:after="0"/>
            </w:pPr>
            <w:r/>
            <w:r>
              <w:rPr>
                <w:sz w:val="19"/>
              </w:rPr>
              <w:t>Optimiser</w:t>
            </w:r>
          </w:p>
        </w:tc>
        <w:tc>
          <w:tcPr>
            <w:tcW w:type="dxa" w:w="5156"/>
          </w:tcPr>
          <w:p>
            <w:pPr>
              <w:spacing w:after="0"/>
            </w:pPr>
            <w:r/>
            <w:r>
              <w:rPr>
                <w:sz w:val="19"/>
              </w:rPr>
              <w:t>AdamW</w:t>
            </w:r>
          </w:p>
        </w:tc>
      </w:tr>
      <w:tr>
        <w:tc>
          <w:tcPr>
            <w:tcW w:type="dxa" w:w="5156"/>
          </w:tcPr>
          <w:p>
            <w:pPr>
              <w:spacing w:after="0"/>
            </w:pPr>
            <w:r/>
            <w:r>
              <w:rPr>
                <w:sz w:val="19"/>
              </w:rPr>
              <w:t>Effective batch size</w:t>
            </w:r>
          </w:p>
        </w:tc>
        <w:tc>
          <w:tcPr>
            <w:tcW w:type="dxa" w:w="5156"/>
          </w:tcPr>
          <w:p>
            <w:pPr>
              <w:spacing w:after="0"/>
            </w:pPr>
            <w:r/>
            <w:r>
              <w:rPr>
                <w:sz w:val="19"/>
              </w:rPr>
              <w:t>8 (batch 1 × grad-accum 8)</w:t>
            </w:r>
          </w:p>
        </w:tc>
      </w:tr>
      <w:tr>
        <w:tc>
          <w:tcPr>
            <w:tcW w:type="dxa" w:w="5156"/>
          </w:tcPr>
          <w:p>
            <w:pPr>
              <w:spacing w:after="0"/>
            </w:pPr>
            <w:r/>
            <w:r>
              <w:rPr>
                <w:sz w:val="19"/>
              </w:rPr>
              <w:t>Training examples</w:t>
            </w:r>
          </w:p>
        </w:tc>
        <w:tc>
          <w:tcPr>
            <w:tcW w:type="dxa" w:w="5156"/>
          </w:tcPr>
          <w:p>
            <w:pPr>
              <w:spacing w:after="0"/>
            </w:pPr>
            <w:r/>
            <w:r>
              <w:rPr>
                <w:sz w:val="19"/>
              </w:rPr>
              <w:t>1,000 (VRSBench train, [vqa] only)</w:t>
            </w:r>
          </w:p>
        </w:tc>
      </w:tr>
      <w:tr>
        <w:tc>
          <w:tcPr>
            <w:tcW w:type="dxa" w:w="5156"/>
          </w:tcPr>
          <w:p>
            <w:pPr>
              <w:spacing w:after="0"/>
            </w:pPr>
            <w:r/>
            <w:r>
              <w:rPr>
                <w:sz w:val="19"/>
              </w:rPr>
              <w:t>Epochs</w:t>
            </w:r>
          </w:p>
        </w:tc>
        <w:tc>
          <w:tcPr>
            <w:tcW w:type="dxa" w:w="5156"/>
          </w:tcPr>
          <w:p>
            <w:pPr>
              <w:spacing w:after="0"/>
            </w:pPr>
            <w:r/>
            <w:r>
              <w:rPr>
                <w:sz w:val="19"/>
              </w:rPr>
              <w:t>1 (3B) / 2 (7B best)</w:t>
            </w:r>
          </w:p>
        </w:tc>
      </w:tr>
      <w:tr>
        <w:tc>
          <w:tcPr>
            <w:tcW w:type="dxa" w:w="5156"/>
          </w:tcPr>
          <w:p>
            <w:pPr>
              <w:spacing w:after="0"/>
            </w:pPr>
            <w:r/>
            <w:r>
              <w:rPr>
                <w:sz w:val="19"/>
              </w:rPr>
              <w:t>Image tokens</w:t>
            </w:r>
          </w:p>
        </w:tc>
        <w:tc>
          <w:tcPr>
            <w:tcW w:type="dxa" w:w="5156"/>
          </w:tcPr>
          <w:p>
            <w:pPr>
              <w:spacing w:after="0"/>
            </w:pPr>
            <w:r/>
            <w:r>
              <w:rPr>
                <w:sz w:val="19"/>
              </w:rPr>
              <w:t>max_pixels 256×28×28 (train)</w:t>
            </w:r>
          </w:p>
        </w:tc>
      </w:tr>
      <w:tr>
        <w:tc>
          <w:tcPr>
            <w:tcW w:type="dxa" w:w="5156"/>
          </w:tcPr>
          <w:p>
            <w:pPr>
              <w:spacing w:after="0"/>
            </w:pPr>
            <w:r/>
            <w:r>
              <w:rPr>
                <w:sz w:val="19"/>
              </w:rPr>
              <w:t>Trainable parameters</w:t>
            </w:r>
          </w:p>
        </w:tc>
        <w:tc>
          <w:tcPr>
            <w:tcW w:type="dxa" w:w="5156"/>
          </w:tcPr>
          <w:p>
            <w:pPr>
              <w:spacing w:after="0"/>
            </w:pPr>
            <w:r/>
            <w:r>
              <w:rPr>
                <w:sz w:val="19"/>
              </w:rPr>
              <w:t>≈0.1% of the model</w:t>
            </w:r>
          </w:p>
        </w:tc>
      </w:tr>
      <w:tr>
        <w:tc>
          <w:tcPr>
            <w:tcW w:type="dxa" w:w="5156"/>
          </w:tcPr>
          <w:p>
            <w:pPr>
              <w:spacing w:after="0"/>
            </w:pPr>
            <w:r/>
            <w:r>
              <w:rPr>
                <w:sz w:val="19"/>
              </w:rPr>
              <w:t>Adapter size / train time (7B)</w:t>
            </w:r>
          </w:p>
        </w:tc>
        <w:tc>
          <w:tcPr>
            <w:tcW w:type="dxa" w:w="5156"/>
          </w:tcPr>
          <w:p>
            <w:pPr>
              <w:spacing w:after="0"/>
            </w:pPr>
            <w:r/>
            <w:r>
              <w:rPr>
                <w:sz w:val="19"/>
              </w:rPr>
              <w:t>≈20 MB / ≈40–55 min on an 8 GB laptop GPU</w:t>
            </w:r>
          </w:p>
        </w:tc>
      </w:tr>
    </w:tbl>
    <w:p>
      <w:pPr>
        <w:spacing w:after="40"/>
      </w:pPr>
    </w:p>
    <w:p>
      <w:pPr>
        <w:pStyle w:val="Heading1"/>
      </w:pPr>
      <w:r>
        <w:t>Appendix C — Per-type accuracy (illustrative, 7B fine-tuned)</w:t>
      </w:r>
    </w:p>
    <w:tbl>
      <w:tblPr>
        <w:tblStyle w:val="LightGrid-Accent1"/>
        <w:tblW w:type="auto" w:w="0"/>
        <w:jc w:val="center"/>
        <w:tblLook w:firstColumn="1" w:firstRow="1" w:lastColumn="0" w:lastRow="0" w:noHBand="0" w:noVBand="1" w:val="04A0"/>
      </w:tblPr>
      <w:tblGrid>
        <w:gridCol w:w="2578"/>
        <w:gridCol w:w="2578"/>
        <w:gridCol w:w="2578"/>
        <w:gridCol w:w="2578"/>
      </w:tblGrid>
      <w:tr>
        <w:tc>
          <w:tcPr>
            <w:tcW w:type="dxa" w:w="2578"/>
          </w:tcPr>
          <w:p>
            <w:pPr>
              <w:spacing w:after="0"/>
            </w:pPr>
            <w:r/>
            <w:r>
              <w:rPr>
                <w:b/>
                <w:sz w:val="19"/>
              </w:rPr>
              <w:t>Question type</w:t>
            </w:r>
          </w:p>
        </w:tc>
        <w:tc>
          <w:tcPr>
            <w:tcW w:type="dxa" w:w="2578"/>
          </w:tcPr>
          <w:p>
            <w:pPr>
              <w:spacing w:after="0"/>
            </w:pPr>
            <w:r/>
            <w:r>
              <w:rPr>
                <w:b/>
                <w:sz w:val="19"/>
              </w:rPr>
              <w:t>Exact / Judge</w:t>
            </w:r>
          </w:p>
        </w:tc>
        <w:tc>
          <w:tcPr>
            <w:tcW w:type="dxa" w:w="2578"/>
          </w:tcPr>
          <w:p>
            <w:pPr>
              <w:spacing w:after="0"/>
            </w:pPr>
            <w:r/>
            <w:r>
              <w:rPr>
                <w:b/>
                <w:sz w:val="19"/>
              </w:rPr>
              <w:t>Question type</w:t>
            </w:r>
          </w:p>
        </w:tc>
        <w:tc>
          <w:tcPr>
            <w:tcW w:type="dxa" w:w="2578"/>
          </w:tcPr>
          <w:p>
            <w:pPr>
              <w:spacing w:after="0"/>
            </w:pPr>
            <w:r/>
            <w:r>
              <w:rPr>
                <w:b/>
                <w:sz w:val="19"/>
              </w:rPr>
              <w:t>Exact / Judge</w:t>
            </w:r>
          </w:p>
        </w:tc>
      </w:tr>
      <w:tr>
        <w:tc>
          <w:tcPr>
            <w:tcW w:type="dxa" w:w="2578"/>
          </w:tcPr>
          <w:p>
            <w:pPr>
              <w:spacing w:after="0"/>
            </w:pPr>
            <w:r/>
            <w:r>
              <w:rPr>
                <w:sz w:val="19"/>
              </w:rPr>
              <w:t>Object existence</w:t>
            </w:r>
          </w:p>
        </w:tc>
        <w:tc>
          <w:tcPr>
            <w:tcW w:type="dxa" w:w="2578"/>
          </w:tcPr>
          <w:p>
            <w:pPr>
              <w:spacing w:after="0"/>
            </w:pPr>
            <w:r/>
            <w:r>
              <w:rPr>
                <w:sz w:val="19"/>
              </w:rPr>
              <w:t>88.5 / 88.9</w:t>
            </w:r>
          </w:p>
        </w:tc>
        <w:tc>
          <w:tcPr>
            <w:tcW w:type="dxa" w:w="2578"/>
          </w:tcPr>
          <w:p>
            <w:pPr>
              <w:spacing w:after="0"/>
            </w:pPr>
            <w:r/>
            <w:r>
              <w:rPr>
                <w:sz w:val="19"/>
              </w:rPr>
              <w:t>Object shape</w:t>
            </w:r>
          </w:p>
        </w:tc>
        <w:tc>
          <w:tcPr>
            <w:tcW w:type="dxa" w:w="2578"/>
          </w:tcPr>
          <w:p>
            <w:pPr>
              <w:spacing w:after="0"/>
            </w:pPr>
            <w:r/>
            <w:r>
              <w:rPr>
                <w:sz w:val="19"/>
              </w:rPr>
              <w:t>42.5 / 50.0</w:t>
            </w:r>
          </w:p>
        </w:tc>
      </w:tr>
      <w:tr>
        <w:tc>
          <w:tcPr>
            <w:tcW w:type="dxa" w:w="2578"/>
          </w:tcPr>
          <w:p>
            <w:pPr>
              <w:spacing w:after="0"/>
            </w:pPr>
            <w:r/>
            <w:r>
              <w:rPr>
                <w:sz w:val="19"/>
              </w:rPr>
              <w:t>Object colour</w:t>
            </w:r>
          </w:p>
        </w:tc>
        <w:tc>
          <w:tcPr>
            <w:tcW w:type="dxa" w:w="2578"/>
          </w:tcPr>
          <w:p>
            <w:pPr>
              <w:spacing w:after="0"/>
            </w:pPr>
            <w:r/>
            <w:r>
              <w:rPr>
                <w:sz w:val="19"/>
              </w:rPr>
              <w:t>66.3 / 74.2</w:t>
            </w:r>
          </w:p>
        </w:tc>
        <w:tc>
          <w:tcPr>
            <w:tcW w:type="dxa" w:w="2578"/>
          </w:tcPr>
          <w:p>
            <w:pPr>
              <w:spacing w:after="0"/>
            </w:pPr>
            <w:r/>
            <w:r>
              <w:rPr>
                <w:sz w:val="19"/>
              </w:rPr>
              <w:t>Object size</w:t>
            </w:r>
          </w:p>
        </w:tc>
        <w:tc>
          <w:tcPr>
            <w:tcW w:type="dxa" w:w="2578"/>
          </w:tcPr>
          <w:p>
            <w:pPr>
              <w:spacing w:after="0"/>
            </w:pPr>
            <w:r/>
            <w:r>
              <w:rPr>
                <w:sz w:val="19"/>
              </w:rPr>
              <w:t>38.5 / 42.3</w:t>
            </w:r>
          </w:p>
        </w:tc>
      </w:tr>
      <w:tr>
        <w:tc>
          <w:tcPr>
            <w:tcW w:type="dxa" w:w="2578"/>
          </w:tcPr>
          <w:p>
            <w:pPr>
              <w:spacing w:after="0"/>
            </w:pPr>
            <w:r/>
            <w:r>
              <w:rPr>
                <w:sz w:val="19"/>
              </w:rPr>
              <w:t>Reasoning</w:t>
            </w:r>
          </w:p>
        </w:tc>
        <w:tc>
          <w:tcPr>
            <w:tcW w:type="dxa" w:w="2578"/>
          </w:tcPr>
          <w:p>
            <w:pPr>
              <w:spacing w:after="0"/>
            </w:pPr>
            <w:r/>
            <w:r>
              <w:rPr>
                <w:sz w:val="19"/>
              </w:rPr>
              <w:t>67.7 / 74.2</w:t>
            </w:r>
          </w:p>
        </w:tc>
        <w:tc>
          <w:tcPr>
            <w:tcW w:type="dxa" w:w="2578"/>
          </w:tcPr>
          <w:p>
            <w:pPr>
              <w:spacing w:after="0"/>
            </w:pPr>
            <w:r/>
            <w:r>
              <w:rPr>
                <w:sz w:val="19"/>
              </w:rPr>
              <w:t>Object category</w:t>
            </w:r>
          </w:p>
        </w:tc>
        <w:tc>
          <w:tcPr>
            <w:tcW w:type="dxa" w:w="2578"/>
          </w:tcPr>
          <w:p>
            <w:pPr>
              <w:spacing w:after="0"/>
            </w:pPr>
            <w:r/>
            <w:r>
              <w:rPr>
                <w:sz w:val="19"/>
              </w:rPr>
              <w:t>32.1 / 60.3</w:t>
            </w:r>
          </w:p>
        </w:tc>
      </w:tr>
      <w:tr>
        <w:tc>
          <w:tcPr>
            <w:tcW w:type="dxa" w:w="2578"/>
          </w:tcPr>
          <w:p>
            <w:pPr>
              <w:spacing w:after="0"/>
            </w:pPr>
            <w:r/>
            <w:r>
              <w:rPr>
                <w:sz w:val="19"/>
              </w:rPr>
              <w:t>Rural / urban</w:t>
            </w:r>
          </w:p>
        </w:tc>
        <w:tc>
          <w:tcPr>
            <w:tcW w:type="dxa" w:w="2578"/>
          </w:tcPr>
          <w:p>
            <w:pPr>
              <w:spacing w:after="0"/>
            </w:pPr>
            <w:r/>
            <w:r>
              <w:rPr>
                <w:sz w:val="19"/>
              </w:rPr>
              <w:t>80.0 / 60.0</w:t>
            </w:r>
          </w:p>
        </w:tc>
        <w:tc>
          <w:tcPr>
            <w:tcW w:type="dxa" w:w="2578"/>
          </w:tcPr>
          <w:p>
            <w:pPr>
              <w:spacing w:after="0"/>
            </w:pPr>
            <w:r/>
            <w:r>
              <w:rPr>
                <w:sz w:val="19"/>
              </w:rPr>
              <w:t>Object quantity</w:t>
            </w:r>
          </w:p>
        </w:tc>
        <w:tc>
          <w:tcPr>
            <w:tcW w:type="dxa" w:w="2578"/>
          </w:tcPr>
          <w:p>
            <w:pPr>
              <w:spacing w:after="0"/>
            </w:pPr>
            <w:r/>
            <w:r>
              <w:rPr>
                <w:sz w:val="19"/>
              </w:rPr>
              <w:t>44.3 / 46.6</w:t>
            </w:r>
          </w:p>
        </w:tc>
      </w:tr>
      <w:tr>
        <w:tc>
          <w:tcPr>
            <w:tcW w:type="dxa" w:w="2578"/>
          </w:tcPr>
          <w:p>
            <w:pPr>
              <w:spacing w:after="0"/>
            </w:pPr>
            <w:r/>
            <w:r>
              <w:rPr>
                <w:sz w:val="19"/>
              </w:rPr>
              <w:t>Object position</w:t>
            </w:r>
          </w:p>
        </w:tc>
        <w:tc>
          <w:tcPr>
            <w:tcW w:type="dxa" w:w="2578"/>
          </w:tcPr>
          <w:p>
            <w:pPr>
              <w:spacing w:after="0"/>
            </w:pPr>
            <w:r/>
            <w:r>
              <w:rPr>
                <w:sz w:val="19"/>
              </w:rPr>
              <w:t>52.1 / 65.5</w:t>
            </w:r>
          </w:p>
        </w:tc>
        <w:tc>
          <w:tcPr>
            <w:tcW w:type="dxa" w:w="2578"/>
          </w:tcPr>
          <w:p>
            <w:pPr>
              <w:spacing w:after="0"/>
            </w:pPr>
            <w:r/>
            <w:r>
              <w:rPr>
                <w:sz w:val="19"/>
              </w:rPr>
              <w:t>Object direction</w:t>
            </w:r>
          </w:p>
        </w:tc>
        <w:tc>
          <w:tcPr>
            <w:tcW w:type="dxa" w:w="2578"/>
          </w:tcPr>
          <w:p>
            <w:pPr>
              <w:spacing w:after="0"/>
            </w:pPr>
            <w:r/>
            <w:r>
              <w:rPr>
                <w:sz w:val="19"/>
              </w:rPr>
              <w:t>50.0 / 50.0</w:t>
            </w:r>
          </w:p>
        </w:tc>
      </w:tr>
      <w:tr>
        <w:tc>
          <w:tcPr>
            <w:tcW w:type="dxa" w:w="2578"/>
          </w:tcPr>
          <w:p>
            <w:pPr>
              <w:spacing w:after="0"/>
            </w:pPr>
            <w:r/>
            <w:r>
              <w:rPr>
                <w:sz w:val="19"/>
              </w:rPr>
              <w:t>Scene type</w:t>
            </w:r>
          </w:p>
        </w:tc>
        <w:tc>
          <w:tcPr>
            <w:tcW w:type="dxa" w:w="2578"/>
          </w:tcPr>
          <w:p>
            <w:pPr>
              <w:spacing w:after="0"/>
            </w:pPr>
            <w:r/>
            <w:r>
              <w:rPr>
                <w:sz w:val="19"/>
              </w:rPr>
              <w:t>47.1 / 68.2</w:t>
            </w:r>
          </w:p>
        </w:tc>
        <w:tc>
          <w:tcPr>
            <w:tcW w:type="dxa" w:w="2578"/>
          </w:tcPr>
          <w:p>
            <w:pPr>
              <w:spacing w:after="0"/>
            </w:pPr>
            <w:r/>
            <w:r>
              <w:rPr>
                <w:sz w:val="19"/>
              </w:rPr>
              <w:t>Image-level</w:t>
            </w:r>
          </w:p>
        </w:tc>
        <w:tc>
          <w:tcPr>
            <w:tcW w:type="dxa" w:w="2578"/>
          </w:tcPr>
          <w:p>
            <w:pPr>
              <w:spacing w:after="0"/>
            </w:pPr>
            <w:r/>
            <w:r>
              <w:rPr>
                <w:sz w:val="19"/>
              </w:rPr>
              <w:t>74.2 / 83.9</w:t>
            </w:r>
          </w:p>
        </w:tc>
      </w:tr>
    </w:tbl>
    <w:p>
      <w:pPr>
        <w:spacing w:after="40"/>
      </w:pPr>
    </w:p>
    <w:p>
      <w:pPr>
        <w:pStyle w:val="Heading1"/>
      </w:pPr>
      <w:r>
        <w:t>Appendix D — Dashboard feature list</w:t>
      </w:r>
    </w:p>
    <w:p>
      <w:pPr>
        <w:pStyle w:val="ListBullet"/>
        <w:spacing w:after="40"/>
      </w:pPr>
      <w:r>
        <w:rPr>
          <w:sz w:val="20"/>
        </w:rPr>
        <w:t>Dark, professional theme with custom CSS, a gradient hero banner and glowing result badge.</w:t>
      </w:r>
    </w:p>
    <w:p>
      <w:pPr>
        <w:pStyle w:val="ListBullet"/>
        <w:spacing w:after="40"/>
      </w:pPr>
      <w:r>
        <w:rPr>
          <w:sz w:val="20"/>
        </w:rPr>
        <w:t>Tabbed layout: Demo, About (RQ cards), Results (styled table + accuracy chart).</w:t>
      </w:r>
    </w:p>
    <w:p>
      <w:pPr>
        <w:pStyle w:val="ListBullet"/>
        <w:spacing w:after="40"/>
      </w:pPr>
      <w:r>
        <w:rPr>
          <w:sz w:val="20"/>
        </w:rPr>
        <w:t>Interactive step-by-step coach tour — spotlights each control (upload → ask → answer), manual Next button, congratulatory finish.</w:t>
      </w:r>
    </w:p>
    <w:p>
      <w:pPr>
        <w:pStyle w:val="ListBullet"/>
        <w:spacing w:after="40"/>
      </w:pPr>
      <w:r>
        <w:rPr>
          <w:sz w:val="20"/>
        </w:rPr>
        <w:t>Example-question chips (existence / colour / scene / object / counting) that fill the question box on click.</w:t>
      </w:r>
    </w:p>
    <w:p>
      <w:pPr>
        <w:pStyle w:val="ListBullet"/>
        <w:spacing w:after="40"/>
      </w:pPr>
      <w:r>
        <w:rPr>
          <w:sz w:val="20"/>
        </w:rPr>
        <w:t>Single Answer action returns a concise answer AND draws the detected-object bounding boxes together.</w:t>
      </w:r>
    </w:p>
    <w:p>
      <w:pPr>
        <w:pStyle w:val="ListBullet"/>
        <w:spacing w:after="40"/>
      </w:pPr>
      <w:r>
        <w:rPr>
          <w:sz w:val="20"/>
        </w:rPr>
        <w:t>Detector (Grounding DINO tiny) lazily loaded on CPU, so it never starves the VLM of GPU memory.</w:t>
      </w:r>
    </w:p>
    <w:p>
      <w:pPr>
        <w:pStyle w:val="ListBullet"/>
        <w:spacing w:after="40"/>
      </w:pPr>
      <w:r>
        <w:rPr>
          <w:sz w:val="20"/>
        </w:rPr>
        <w:t>Version-robust box post-processing (handles transformers API changes) that never crashes the UI.</w:t>
      </w:r>
    </w:p>
    <w:p>
      <w:pPr>
        <w:pStyle w:val="ListBullet"/>
        <w:spacing w:after="40"/>
      </w:pPr>
      <w:r>
        <w:rPr>
          <w:sz w:val="20"/>
        </w:rPr>
        <w:t>Comparison app: choose 3B / 7B and Before / After / Compare-both; one model in GPU, LoRA adapter toggled instantly.</w:t>
      </w:r>
    </w:p>
    <w:p>
      <w:pPr>
        <w:pStyle w:val="ListBullet"/>
        <w:spacing w:after="40"/>
      </w:pPr>
      <w:r>
        <w:rPr>
          <w:sz w:val="20"/>
        </w:rPr>
        <w:t>One-command launcher (run_all.py): library setup → dataset check → choose app → launch in 4-bit; Ctrl+C safe.</w:t>
      </w:r>
    </w:p>
    <w:p>
      <w:pPr>
        <w:pStyle w:val="ListBullet"/>
        <w:spacing w:after="40"/>
      </w:pPr>
      <w:r>
        <w:rPr>
          <w:sz w:val="20"/>
        </w:rPr>
        <w:t>Optional public share link; local-only by default; a mock mode for UI testing without a model.</w:t>
      </w:r>
    </w:p>
    <w:p>
      <w:pPr>
        <w:pStyle w:val="ListBullet"/>
        <w:spacing w:after="40"/>
      </w:pPr>
      <w:r>
        <w:rPr>
          <w:sz w:val="20"/>
        </w:rPr>
        <w:t>Readability and accessibility fixes: high-contrast labels, aligned image-source controls, black-on-cyan example chips.</w:t>
      </w:r>
    </w:p>
    <w:p>
      <w:pPr>
        <w:pStyle w:val="ListBullet"/>
        <w:spacing w:after="40"/>
      </w:pPr>
      <w:r>
        <w:rPr>
          <w:sz w:val="20"/>
        </w:rPr>
        <w:t>Optional sentence-form (detailed) answer mode covering presence, colour, count and position.</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libri" w:hAnsi="Calibri"/>
      <w:b/>
      <w:bCs/>
      <w:color w:val="1F3964"/>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Calibri" w:hAnsi="Calibri"/>
      <w:b/>
      <w:bCs/>
      <w:color w:val="1F39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