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Quality-Aware, Physics-Informed Measurement of Oral Epithelial Thickness from Optical Coherence Tomography with Calibrated Uncertainty</w:t>
      </w:r>
    </w:p>
    <w:p>
      <w:pPr>
        <w:pStyle w:val="Heading2"/>
      </w:pPr>
      <w:r>
        <w:t xml:space="preserve">1. Introduction</w:t>
      </w:r>
    </w:p>
    <w:p>
      <w:pPr/>
      <w:r>
        <w:t xml:space="preserve">Cancer of the lip and oral cavity accounted for an estimated 398,485 new cases and 188,230 deaths worldwide in 2022 [1]. Most oral squamous cell carcinomas arise within the surface epithelium and are preceded by visible or subclinical changes in the layered architecture of the mucosa, including epithelial thickening and loss of a well-defined epithelial–stromal boundary (ESB) [2,4]. In current practice these changes are assessed by visual examination and confirmed by biopsy and histopathology. Biopsy remains the diagnostic reference standard, but it is invasive, samples a small region, and is difficult to repeat for monitoring. Objective, non-invasive measurement of the mucosal layers would support documentation, site selection, and longitudinal comparison.</w:t>
      </w:r>
    </w:p>
    <w:p>
      <w:pPr/>
      <w:r>
        <w:t xml:space="preserve">Optical coherence tomography (OCT) provides depth-resolved, micrometre-scale cross-sections of the superficial 1–2 mm of tissue without ionising radiation. In oral mucosa, the low-scattering epithelium appears as a darker band above the more strongly scattering lamina propria, so that the tissue surface and the ESB can be identified in vivo [2,3,4]. Early clinical studies reported good agreement between OCT interpretation and histopathology in patients with oral dysplasia and malignancy [2]. Normative studies in healthy volunteers have established that epithelial thickness varies several-fold between intraoral sites, from roughly 100–130 µm in sublingual and floor-of-mouth mucosa to more than 300 µm in buccal mucosa [3,4]. Thickness is therefore only interpretable relative to anatomical site.</w:t>
      </w:r>
    </w:p>
    <w:p>
      <w:pPr/>
      <w:r>
        <w:t xml:space="preserve">Automated analysis is needed because manual interpretation of OCT volumes is time-consuming and observer-dependent [4]. Deep-learning pipelines have been developed that detect the imaging field and artefacts, segment the tissue surface and ESB, and map epithelial depth across healthy, precancerous and cancerous oral tissue [5]. Segmentation-assisted biomarkers derived from morphology, ESB visibility and signal attenuation have been associated with dysplasia and carcinoma [6], and earlier work used signal-decay and signal-variability indicators for oral precancer [9,26]. Semi-supervised learning, including label transfer from skin OCT, has been applied to oral OCT segmentation and denoising [7], and deep networks have been used for OCT-based diagnosis of oral squamous cell carcinoma [8]. Automated oral OCT segmentation, attenuation-derived biomarkers and reduced-label learning have therefore each been reported.</w:t>
      </w:r>
    </w:p>
    <w:p>
      <w:pPr/>
      <w:r>
        <w:t xml:space="preserve">Three problems nevertheless limit the use of such measurements in clinical decision support. First, </w:t>
      </w:r>
      <w:r>
        <w:rPr>
          <w:b/>
        </w:rPr>
        <w:t xml:space="preserve">data are scarce and access-constrained.</w:t>
      </w:r>
      <w:r>
        <w:t xml:space="preserve"> We did not identify an openly downloadable, reusable in vivo oral soft-tissue OCT dataset with clinical labels; contemporary cohorts are held by individual groups [5,6,7], and public oral image resources are dominated by photographs [10,11]. Methods must therefore learn from few labelled patients. Second, </w:t>
      </w:r>
      <w:r>
        <w:rPr>
          <w:b/>
        </w:rPr>
        <w:t xml:space="preserve">the boundary is often not measurable.</w:t>
      </w:r>
      <w:r>
        <w:t xml:space="preserve"> In healthy volunteers, the basement membrane was not assessable in 22.4% of buccal OCT images because of limited imaging depth, and was unsharp in 34.5% of hard-palate images because of keratinisation [4]. Signal loss, shadowing, motion, saliva and probe contact produce similar failures. A system that always outputs a thickness will report numbers where none can be trusted. Third, </w:t>
      </w:r>
      <w:r>
        <w:rPr>
          <w:b/>
        </w:rPr>
        <w:t xml:space="preserve">measurements are rarely reported with calibrated uncertainty or with evaluation units that prevent leakage.</w:t>
      </w:r>
      <w:r>
        <w:t xml:space="preserve"> Signal-decay estimates depend on the device and acquisition as well as the tissue [12,13], and correlated B-scans from the same patient can inflate apparent performance when split across training and test sets [21].</w:t>
      </w:r>
    </w:p>
    <w:p>
      <w:pPr/>
      <w:r>
        <w:t xml:space="preserve">Physics offers a route to label efficiency. The OCT signal in a layered medium is well described by a single-scattering model in which intensity decays with depth at a rate set by each layer [12,13]. Physics-informed networks have been used to recover attenuation in intravascular OCT [14] and to regularise retinal OCT models under dataset shift [15]. Embedding such a model in training allows unlabelled scans to contribute supervision, which is attractive when labelled oral data are scarce. Separately, split conformal prediction provides distribution-free, finite-sample marginal coverage for any trained model using a small calibration set [16], and Bayesian uncertainty has been explored for oral image classification [18]; however, to our knowledge calibrated intervals on oral epithelial thickness measurements have not been reported.</w:t>
      </w:r>
    </w:p>
    <w:p>
      <w:pPr/>
      <w:r>
        <w:t xml:space="preserve">In this work we develop and evaluate a </w:t>
      </w:r>
      <w:r>
        <w:rPr>
          <w:b/>
        </w:rPr>
        <w:t xml:space="preserve">measurement layer</w:t>
      </w:r>
      <w:r>
        <w:t xml:space="preserve"> for a future OCT-based clinical decision support system (CDSS). It is not a diagnostic tool. The system (i) locates the tissue surface and the visible ESB as ordered boundaries, (ii) returns an explicit </w:t>
      </w:r>
      <w:r>
        <w:rPr>
          <w:i/>
        </w:rPr>
        <w:t xml:space="preserve">measured</w:t>
      </w:r>
      <w:r>
        <w:t xml:space="preserve">, </w:t>
      </w:r>
      <w:r>
        <w:rPr>
          <w:i/>
        </w:rPr>
        <w:t xml:space="preserve">uncertain</w:t>
      </w:r>
      <w:r>
        <w:t xml:space="preserve"> or </w:t>
      </w:r>
      <w:r>
        <w:rPr>
          <w:i/>
        </w:rPr>
        <w:t xml:space="preserve">cannot measure</w:t>
      </w:r>
      <w:r>
        <w:t xml:space="preserve"> status, (iii) reports epithelial thickness in physical units under a stated refractive-index convention, (iv) learns from few labelled patients through physics-informed training, and (v) attaches split-conformal uncertainty intervals calibrated on held-out patients. We test the following hypotheses against matched baselines using patient-level evaluation:</w:t>
      </w:r>
    </w:p>
    <w:p>
      <w:pPr>
        <w:pStyle w:val="ListParagraph"/>
        <w:numPr>
          <w:ilvl w:val="0"/>
          <w:numId w:val="2"/>
        </w:numPr>
      </w:pPr>
      <w:r>
        <w:rPr>
          <w:b/>
        </w:rPr>
        <w:t xml:space="preserve">H1 (quality-aware measurement).</w:t>
      </w:r>
      <w:r>
        <w:t xml:space="preserve"> Conditioning the model on acquisition and signal-quality information and allowing a </w:t>
      </w:r>
      <w:r>
        <w:rPr>
          <w:i/>
        </w:rPr>
        <w:t xml:space="preserve">cannot measure</w:t>
      </w:r>
      <w:r>
        <w:t xml:space="preserve"> output reduces ESB position error and false measurements in predefined difficult strata, without worsening performance on ordinary scans.</w:t>
      </w:r>
    </w:p>
    <w:p>
      <w:pPr>
        <w:pStyle w:val="ListParagraph"/>
        <w:numPr>
          <w:ilvl w:val="0"/>
          <w:numId w:val="2"/>
        </w:numPr>
      </w:pPr>
      <w:r>
        <w:rPr>
          <w:b/>
        </w:rPr>
        <w:t xml:space="preserve">H2 (label efficiency).</w:t>
      </w:r>
      <w:r>
        <w:t xml:space="preserve"> Physics-informed training, in which the network re-renders each scan through a differentiable OCT forward model, improves measurement accuracy at small patient-level label budgets compared with a supervised baseline and a target-only semi-supervised baseline.</w:t>
      </w:r>
    </w:p>
    <w:p>
      <w:pPr>
        <w:pStyle w:val="ListParagraph"/>
        <w:numPr>
          <w:ilvl w:val="0"/>
          <w:numId w:val="2"/>
        </w:numPr>
      </w:pPr>
      <w:r>
        <w:rPr>
          <w:b/>
        </w:rPr>
        <w:t xml:space="preserve">H3 (calibrated uncertainty).</w:t>
      </w:r>
      <w:r>
        <w:t xml:space="preserve"> Split-conformal intervals calibrated on held-out patients achieve the nominal marginal coverage for reference thickness within the tested acquisition setting, with widths small enough to meet a prespecified utility criterion.</w:t>
      </w:r>
    </w:p>
    <w:p>
      <w:pPr>
        <w:pStyle w:val="ListParagraph"/>
        <w:numPr>
          <w:ilvl w:val="0"/>
          <w:numId w:val="2"/>
        </w:numPr>
      </w:pPr>
      <w:r>
        <w:rPr>
          <w:b/>
        </w:rPr>
        <w:t xml:space="preserve">H4 (optional, subject to data access).</w:t>
      </w:r>
      <w:r>
        <w:t xml:space="preserve"> Pretraining on OCT of other epithelial tissues improves performance at small label budgets relative to training from scratch.</w:t>
      </w:r>
    </w:p>
    <w:p>
      <w:pPr/>
      <w:r>
        <w:t xml:space="preserve">The novelty lies in the integration of these elements for access-constrained in vivo oral OCT — an explicit unmeasurable-boundary state, quality conditioning, physics-informed label efficiency, and patient-level calibrated uncertainty — rather than in any single component.</w:t>
      </w:r>
    </w:p>
    <w:p>
      <w:pPr>
        <w:pStyle w:val="Heading2"/>
      </w:pPr>
      <w:r>
        <w:t xml:space="preserve">2. Methods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Quality-Aware, Physics-Informed Measurement of Oral Epithelial Thickness from Op</dc:title>
  <dc:description>Claude Docs node/94ef65be-a4f3@5 docx-w6</dc:description>
  <cp:revision>5</cp:revision>
</cp:coreProperties>
</file>