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-279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Complaint Management – Customer Retention Policy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4946015</wp:posOffset>
            </wp:positionH>
            <wp:positionV relativeFrom="paragraph">
              <wp:posOffset>-565149</wp:posOffset>
            </wp:positionV>
            <wp:extent cx="1429200" cy="1666800"/>
            <wp:effectExtent b="0" l="0" r="0" t="0"/>
            <wp:wrapNone/>
            <wp:docPr id="2166586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200" cy="16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279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79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-279"/>
        <w:rPr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Home Insurance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Upsell rule (AC-HOME-CONT-UP)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An upsell to the home policy should be proposed to customers in the following situation: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Their policy covers only house structure, not the content;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They recently said they are not satisfied with the applied coverage;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customer’s propensity to upgrade is at least 0.4.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Thanks to this upsell, the customer will avoid similar problems next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right="-279"/>
        <w:rPr>
          <w:sz w:val="32"/>
          <w:szCs w:val="32"/>
        </w:rPr>
      </w:pPr>
      <w:bookmarkStart w:colFirst="0" w:colLast="0" w:name="_heading=h.3dy6vkm" w:id="4"/>
      <w:bookmarkEnd w:id="4"/>
      <w:r w:rsidDel="00000000" w:rsidR="00000000" w:rsidRPr="00000000">
        <w:rPr>
          <w:sz w:val="32"/>
          <w:szCs w:val="32"/>
          <w:rtl w:val="0"/>
        </w:rPr>
        <w:t xml:space="preserve">Home Insurance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88900</wp:posOffset>
                </wp:positionV>
                <wp:extent cx="6589619" cy="2698937"/>
                <wp:effectExtent b="0" l="0" r="0" t="0"/>
                <wp:wrapNone/>
                <wp:docPr id="2166586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55953" y="2435294"/>
                          <a:ext cx="6580094" cy="268941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88900</wp:posOffset>
                </wp:positionV>
                <wp:extent cx="6589619" cy="2698937"/>
                <wp:effectExtent b="0" l="0" r="0" t="0"/>
                <wp:wrapNone/>
                <wp:docPr id="21665869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9619" cy="26989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ind w:right="-279"/>
        <w:rPr>
          <w:b w:val="1"/>
        </w:rPr>
      </w:pPr>
      <w:bookmarkStart w:colFirst="0" w:colLast="0" w:name="_heading=h.1t3h5sf" w:id="5"/>
      <w:bookmarkEnd w:id="5"/>
      <w:r w:rsidDel="00000000" w:rsidR="00000000" w:rsidRPr="00000000">
        <w:rPr>
          <w:b w:val="1"/>
          <w:rtl w:val="0"/>
        </w:rPr>
        <w:t xml:space="preserve">Voucher rule (AC-HOME-CONT-VOUCHER)</w:t>
      </w:r>
    </w:p>
    <w:p w:rsidR="00000000" w:rsidDel="00000000" w:rsidP="00000000" w:rsidRDefault="00000000" w:rsidRPr="00000000" w14:paraId="00000010">
      <w:pPr>
        <w:ind w:right="-27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279"/>
        <w:rPr>
          <w:b w:val="1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voucher</w:t>
      </w:r>
      <w:r w:rsidDel="00000000" w:rsidR="00000000" w:rsidRPr="00000000">
        <w:rPr>
          <w:rtl w:val="0"/>
        </w:rPr>
        <w:t xml:space="preserve"> should be offered to customers in the following situation: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right="-279" w:hanging="360"/>
        <w:rPr/>
      </w:pPr>
      <w:r w:rsidDel="00000000" w:rsidR="00000000" w:rsidRPr="00000000">
        <w:rPr>
          <w:rtl w:val="0"/>
        </w:rPr>
        <w:t xml:space="preserve">Their policy </w:t>
      </w:r>
      <w:r w:rsidDel="00000000" w:rsidR="00000000" w:rsidRPr="00000000">
        <w:rPr>
          <w:b w:val="1"/>
          <w:rtl w:val="0"/>
        </w:rPr>
        <w:t xml:space="preserve">does not cover the content</w:t>
      </w:r>
      <w:r w:rsidDel="00000000" w:rsidR="00000000" w:rsidRPr="00000000">
        <w:rPr>
          <w:rtl w:val="0"/>
        </w:rPr>
        <w:t xml:space="preserve">, only home structures;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right="-279" w:hanging="360"/>
        <w:rPr/>
      </w:pPr>
      <w:r w:rsidDel="00000000" w:rsidR="00000000" w:rsidRPr="00000000">
        <w:rPr>
          <w:rtl w:val="0"/>
        </w:rPr>
        <w:t xml:space="preserve">The reason of their interaction is that they are </w:t>
      </w:r>
      <w:r w:rsidDel="00000000" w:rsidR="00000000" w:rsidRPr="00000000">
        <w:rPr>
          <w:b w:val="1"/>
          <w:rtl w:val="0"/>
        </w:rPr>
        <w:t xml:space="preserve">not satisfied</w:t>
      </w:r>
      <w:r w:rsidDel="00000000" w:rsidR="00000000" w:rsidRPr="00000000">
        <w:rPr>
          <w:rtl w:val="0"/>
        </w:rPr>
        <w:t xml:space="preserve"> with the applied coverages;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right="-279" w:hanging="360"/>
        <w:rPr/>
      </w:pPr>
      <w:r w:rsidDel="00000000" w:rsidR="00000000" w:rsidRPr="00000000">
        <w:rPr>
          <w:rtl w:val="0"/>
        </w:rPr>
        <w:t xml:space="preserve">Their </w:t>
      </w:r>
      <w:r w:rsidDel="00000000" w:rsidR="00000000" w:rsidRPr="00000000">
        <w:rPr>
          <w:b w:val="1"/>
          <w:rtl w:val="0"/>
        </w:rPr>
        <w:t xml:space="preserve">CLTV percentile is at least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right="-2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279"/>
        <w:rPr/>
      </w:pPr>
      <w:r w:rsidDel="00000000" w:rsidR="00000000" w:rsidRPr="00000000">
        <w:rPr>
          <w:rtl w:val="0"/>
        </w:rPr>
        <w:t xml:space="preserve">The market value of the voucher should be up to 200€ and can be used with one of our affiliate providers.</w:t>
      </w:r>
    </w:p>
    <w:p w:rsidR="00000000" w:rsidDel="00000000" w:rsidP="00000000" w:rsidRDefault="00000000" w:rsidRPr="00000000" w14:paraId="00000017">
      <w:pPr>
        <w:ind w:right="-2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279"/>
        <w:rPr/>
      </w:pPr>
      <w:r w:rsidDel="00000000" w:rsidR="00000000" w:rsidRPr="00000000">
        <w:rPr>
          <w:rtl w:val="0"/>
        </w:rPr>
        <w:t xml:space="preserve">This can be applied to cleaning, repair services, etc.</w:t>
      </w:r>
    </w:p>
    <w:p w:rsidR="00000000" w:rsidDel="00000000" w:rsidP="00000000" w:rsidRDefault="00000000" w:rsidRPr="00000000" w14:paraId="00000019">
      <w:pPr>
        <w:ind w:right="-2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7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application of the voucher rule - water damage scenario: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Water damage inside an individual house due to a broken pipe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Insurance expert has established that the insurance policy does not cover damaged carpets (stains)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customer is unsatisfied with the coverages and explains that these carpets have sentimental value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 is highly profitable so it is worth making an effort with a voucher providing good value to the customer.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>
        <w:color w:val="808080"/>
      </w:rPr>
    </w:pPr>
    <w:r w:rsidDel="00000000" w:rsidR="00000000" w:rsidRPr="00000000">
      <w:rPr>
        <w:color w:val="808080"/>
        <w:rtl w:val="0"/>
      </w:rPr>
      <w:t xml:space="preserve">Updated rules (as of October 1</w:t>
    </w:r>
    <w:r w:rsidDel="00000000" w:rsidR="00000000" w:rsidRPr="00000000">
      <w:rPr>
        <w:color w:val="808080"/>
        <w:vertAlign w:val="superscript"/>
        <w:rtl w:val="0"/>
      </w:rPr>
      <w:t xml:space="preserve">st</w:t>
    </w:r>
    <w:r w:rsidDel="00000000" w:rsidR="00000000" w:rsidRPr="00000000">
      <w:rPr>
        <w:color w:val="808080"/>
        <w:rtl w:val="0"/>
      </w:rPr>
      <w:t xml:space="preserve">, 2024)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Style w:val="Title"/>
      <w:rPr>
        <w:color w:val="808080"/>
        <w:sz w:val="32"/>
        <w:szCs w:val="32"/>
      </w:rPr>
    </w:pPr>
    <w:r w:rsidDel="00000000" w:rsidR="00000000" w:rsidRPr="00000000">
      <w:rPr>
        <w:color w:val="808080"/>
        <w:sz w:val="32"/>
        <w:szCs w:val="32"/>
        <w:rtl w:val="0"/>
      </w:rPr>
      <w:t xml:space="preserve">Property and Casualty Insurance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-tte">
    <w:name w:val="header"/>
    <w:basedOn w:val="Normal"/>
    <w:link w:val="En-tteCar"/>
    <w:uiPriority w:val="99"/>
    <w:unhideWhenUsed w:val="1"/>
    <w:rsid w:val="001456DD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56DD"/>
  </w:style>
  <w:style w:type="paragraph" w:styleId="Pieddepage">
    <w:name w:val="footer"/>
    <w:basedOn w:val="Normal"/>
    <w:link w:val="PieddepageCar"/>
    <w:uiPriority w:val="99"/>
    <w:unhideWhenUsed w:val="1"/>
    <w:rsid w:val="001456DD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56D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7fpNBo2Bg2lac8sExUgLGcSAQ==">CgMxLjAyCGguZ2pkZ3hzMgloLjMwajB6bGwyCWguMWZvYjl0ZTIJaC4zem55c2g3MgloLjNkeTZ2a20yCWguMXQzaDVzZjgAciExQTExTW43dm85clVNcmRId2c5N2IyZlRTVnpIMEMxeVQ=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2024-10-08T12:20:00Z</dcterms:created>
</cp:coreProperties>
</file>