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1052E8CE" w:rsidR="004D07B9" w:rsidRDefault="004D07B9" w:rsidP="004D07B9">
      <w:pPr>
        <w:pStyle w:val="Subtitle"/>
      </w:pPr>
      <w:r>
        <w:t>Athena S&amp;RO Simulation, V</w:t>
      </w:r>
      <w:r w:rsidR="00BB4EC0">
        <w:t>7</w:t>
      </w:r>
    </w:p>
    <w:p w14:paraId="65BE32DE" w14:textId="77777777" w:rsidR="004D07B9" w:rsidRDefault="00825F9D" w:rsidP="004D07B9">
      <w:pPr>
        <w:pStyle w:val="Subtitle"/>
        <w:rPr>
          <w:i w:val="0"/>
          <w:iCs w:val="0"/>
        </w:rPr>
      </w:pPr>
      <w:r>
        <w:rPr>
          <w:i w:val="0"/>
          <w:iCs w:val="0"/>
        </w:rPr>
        <w:t>February</w:t>
      </w:r>
      <w:r w:rsidR="00490243">
        <w:rPr>
          <w:i w:val="0"/>
          <w:iCs w:val="0"/>
        </w:rPr>
        <w:t>, 201</w:t>
      </w:r>
      <w:r>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5D900EEF" w:rsidR="004D07B9" w:rsidRPr="007F1C14" w:rsidRDefault="004D07B9" w:rsidP="00490243">
      <w:pPr>
        <w:jc w:val="center"/>
        <w:rPr>
          <w:i/>
          <w:sz w:val="20"/>
          <w:szCs w:val="20"/>
        </w:rPr>
      </w:pPr>
      <w:r w:rsidRPr="007F1C14">
        <w:rPr>
          <w:i/>
          <w:sz w:val="20"/>
          <w:szCs w:val="20"/>
        </w:rPr>
        <w:t>Copyright 2008-201</w:t>
      </w:r>
      <w:r w:rsidR="00B93326">
        <w:rPr>
          <w:i/>
          <w:sz w:val="20"/>
          <w:szCs w:val="20"/>
        </w:rPr>
        <w:t>4</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34B79C93" w14:textId="77777777" w:rsidR="0001425C" w:rsidRDefault="001F15B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01425C">
        <w:rPr>
          <w:noProof/>
        </w:rPr>
        <w:t>Models</w:t>
      </w:r>
      <w:r w:rsidR="0001425C">
        <w:rPr>
          <w:noProof/>
        </w:rPr>
        <w:tab/>
      </w:r>
      <w:r w:rsidR="0001425C">
        <w:rPr>
          <w:noProof/>
        </w:rPr>
        <w:fldChar w:fldCharType="begin"/>
      </w:r>
      <w:r w:rsidR="0001425C">
        <w:rPr>
          <w:noProof/>
        </w:rPr>
        <w:instrText xml:space="preserve"> PAGEREF _Toc381098035 \h </w:instrText>
      </w:r>
      <w:r w:rsidR="0001425C">
        <w:rPr>
          <w:noProof/>
        </w:rPr>
      </w:r>
      <w:r w:rsidR="0001425C">
        <w:rPr>
          <w:noProof/>
        </w:rPr>
        <w:fldChar w:fldCharType="separate"/>
      </w:r>
      <w:r w:rsidR="0001425C">
        <w:rPr>
          <w:noProof/>
        </w:rPr>
        <w:t>6</w:t>
      </w:r>
      <w:r w:rsidR="0001425C">
        <w:rPr>
          <w:noProof/>
        </w:rPr>
        <w:fldChar w:fldCharType="end"/>
      </w:r>
    </w:p>
    <w:p w14:paraId="02FE9111" w14:textId="77777777" w:rsidR="0001425C" w:rsidRDefault="0001425C">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_Toc381098036 \h </w:instrText>
      </w:r>
      <w:r>
        <w:fldChar w:fldCharType="separate"/>
      </w:r>
      <w:r>
        <w:t>7</w:t>
      </w:r>
      <w:r>
        <w:fldChar w:fldCharType="end"/>
      </w:r>
    </w:p>
    <w:p w14:paraId="7B0FEE99" w14:textId="77777777" w:rsidR="0001425C" w:rsidRDefault="0001425C">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_Toc381098037 \h </w:instrText>
      </w:r>
      <w:r>
        <w:fldChar w:fldCharType="separate"/>
      </w:r>
      <w:r>
        <w:t>7</w:t>
      </w:r>
      <w:r>
        <w:fldChar w:fldCharType="end"/>
      </w:r>
    </w:p>
    <w:p w14:paraId="2D4150FB" w14:textId="77777777" w:rsidR="0001425C" w:rsidRDefault="0001425C">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_Toc381098038 \h </w:instrText>
      </w:r>
      <w:r>
        <w:fldChar w:fldCharType="separate"/>
      </w:r>
      <w:r>
        <w:t>7</w:t>
      </w:r>
      <w:r>
        <w:fldChar w:fldCharType="end"/>
      </w:r>
    </w:p>
    <w:p w14:paraId="3DCC7F15" w14:textId="77777777" w:rsidR="0001425C" w:rsidRDefault="0001425C">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_Toc381098039 \h </w:instrText>
      </w:r>
      <w:r>
        <w:fldChar w:fldCharType="separate"/>
      </w:r>
      <w:r>
        <w:t>8</w:t>
      </w:r>
      <w:r>
        <w:fldChar w:fldCharType="end"/>
      </w:r>
    </w:p>
    <w:p w14:paraId="6934108F" w14:textId="77777777" w:rsidR="0001425C" w:rsidRDefault="0001425C">
      <w:pPr>
        <w:pStyle w:val="TOC3"/>
        <w:rPr>
          <w:rFonts w:eastAsiaTheme="minorEastAsia" w:cstheme="minorBidi"/>
          <w:sz w:val="22"/>
          <w:szCs w:val="22"/>
        </w:rPr>
      </w:pPr>
      <w:r>
        <w:t>1.4</w:t>
      </w:r>
      <w:r>
        <w:rPr>
          <w:rFonts w:eastAsiaTheme="minorEastAsia" w:cstheme="minorBidi"/>
          <w:sz w:val="22"/>
          <w:szCs w:val="22"/>
        </w:rPr>
        <w:tab/>
      </w:r>
      <w:r>
        <w:t>Changes for Athena 5</w:t>
      </w:r>
      <w:r>
        <w:tab/>
      </w:r>
      <w:r>
        <w:fldChar w:fldCharType="begin"/>
      </w:r>
      <w:r>
        <w:instrText xml:space="preserve"> PAGEREF _Toc381098040 \h </w:instrText>
      </w:r>
      <w:r>
        <w:fldChar w:fldCharType="separate"/>
      </w:r>
      <w:r>
        <w:t>8</w:t>
      </w:r>
      <w:r>
        <w:fldChar w:fldCharType="end"/>
      </w:r>
    </w:p>
    <w:p w14:paraId="0D6C262E" w14:textId="77777777" w:rsidR="0001425C" w:rsidRDefault="0001425C">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_Toc381098041 \h </w:instrText>
      </w:r>
      <w:r>
        <w:fldChar w:fldCharType="separate"/>
      </w:r>
      <w:r>
        <w:t>10</w:t>
      </w:r>
      <w:r>
        <w:fldChar w:fldCharType="end"/>
      </w:r>
    </w:p>
    <w:p w14:paraId="0901593A" w14:textId="77777777" w:rsidR="0001425C" w:rsidRDefault="0001425C">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_Toc381098042 \h </w:instrText>
      </w:r>
      <w:r>
        <w:fldChar w:fldCharType="separate"/>
      </w:r>
      <w:r>
        <w:t>10</w:t>
      </w:r>
      <w:r>
        <w:fldChar w:fldCharType="end"/>
      </w:r>
    </w:p>
    <w:p w14:paraId="13C8C77C" w14:textId="77777777" w:rsidR="0001425C" w:rsidRDefault="0001425C">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_Toc381098043 \h </w:instrText>
      </w:r>
      <w:r>
        <w:fldChar w:fldCharType="separate"/>
      </w:r>
      <w:r>
        <w:t>10</w:t>
      </w:r>
      <w:r>
        <w:fldChar w:fldCharType="end"/>
      </w:r>
    </w:p>
    <w:p w14:paraId="1899A97B" w14:textId="77777777" w:rsidR="0001425C" w:rsidRDefault="0001425C">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_Toc381098044 \h </w:instrText>
      </w:r>
      <w:r>
        <w:fldChar w:fldCharType="separate"/>
      </w:r>
      <w:r>
        <w:t>10</w:t>
      </w:r>
      <w:r>
        <w:fldChar w:fldCharType="end"/>
      </w:r>
    </w:p>
    <w:p w14:paraId="5A078775" w14:textId="77777777" w:rsidR="0001425C" w:rsidRDefault="0001425C">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_Toc381098045 \h </w:instrText>
      </w:r>
      <w:r>
        <w:rPr>
          <w:noProof/>
        </w:rPr>
      </w:r>
      <w:r>
        <w:rPr>
          <w:noProof/>
        </w:rPr>
        <w:fldChar w:fldCharType="separate"/>
      </w:r>
      <w:r>
        <w:rPr>
          <w:noProof/>
        </w:rPr>
        <w:t>11</w:t>
      </w:r>
      <w:r>
        <w:rPr>
          <w:noProof/>
        </w:rPr>
        <w:fldChar w:fldCharType="end"/>
      </w:r>
    </w:p>
    <w:p w14:paraId="6DE4810C" w14:textId="77777777" w:rsidR="0001425C" w:rsidRDefault="0001425C">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_Toc381098046 \h </w:instrText>
      </w:r>
      <w:r>
        <w:rPr>
          <w:noProof/>
        </w:rPr>
      </w:r>
      <w:r>
        <w:rPr>
          <w:noProof/>
        </w:rPr>
        <w:fldChar w:fldCharType="separate"/>
      </w:r>
      <w:r>
        <w:rPr>
          <w:noProof/>
        </w:rPr>
        <w:t>12</w:t>
      </w:r>
      <w:r>
        <w:rPr>
          <w:noProof/>
        </w:rPr>
        <w:fldChar w:fldCharType="end"/>
      </w:r>
    </w:p>
    <w:p w14:paraId="723798A0" w14:textId="77777777" w:rsidR="0001425C" w:rsidRDefault="0001425C">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_Toc381098047 \h </w:instrText>
      </w:r>
      <w:r>
        <w:rPr>
          <w:noProof/>
        </w:rPr>
      </w:r>
      <w:r>
        <w:rPr>
          <w:noProof/>
        </w:rPr>
        <w:fldChar w:fldCharType="separate"/>
      </w:r>
      <w:r>
        <w:rPr>
          <w:noProof/>
        </w:rPr>
        <w:t>12</w:t>
      </w:r>
      <w:r>
        <w:rPr>
          <w:noProof/>
        </w:rPr>
        <w:fldChar w:fldCharType="end"/>
      </w:r>
    </w:p>
    <w:p w14:paraId="59E72849" w14:textId="77777777" w:rsidR="0001425C" w:rsidRDefault="0001425C">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_Toc381098048 \h </w:instrText>
      </w:r>
      <w:r>
        <w:fldChar w:fldCharType="separate"/>
      </w:r>
      <w:r>
        <w:t>13</w:t>
      </w:r>
      <w:r>
        <w:fldChar w:fldCharType="end"/>
      </w:r>
    </w:p>
    <w:p w14:paraId="14016398" w14:textId="77777777" w:rsidR="0001425C" w:rsidRDefault="0001425C">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_Toc381098049 \h </w:instrText>
      </w:r>
      <w:r>
        <w:rPr>
          <w:noProof/>
        </w:rPr>
      </w:r>
      <w:r>
        <w:rPr>
          <w:noProof/>
        </w:rPr>
        <w:fldChar w:fldCharType="separate"/>
      </w:r>
      <w:r>
        <w:rPr>
          <w:noProof/>
        </w:rPr>
        <w:t>13</w:t>
      </w:r>
      <w:r>
        <w:rPr>
          <w:noProof/>
        </w:rPr>
        <w:fldChar w:fldCharType="end"/>
      </w:r>
    </w:p>
    <w:p w14:paraId="1456875A" w14:textId="77777777" w:rsidR="0001425C" w:rsidRDefault="0001425C">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_Toc381098050 \h </w:instrText>
      </w:r>
      <w:r>
        <w:rPr>
          <w:noProof/>
        </w:rPr>
      </w:r>
      <w:r>
        <w:rPr>
          <w:noProof/>
        </w:rPr>
        <w:fldChar w:fldCharType="separate"/>
      </w:r>
      <w:r>
        <w:rPr>
          <w:noProof/>
        </w:rPr>
        <w:t>13</w:t>
      </w:r>
      <w:r>
        <w:rPr>
          <w:noProof/>
        </w:rPr>
        <w:fldChar w:fldCharType="end"/>
      </w:r>
    </w:p>
    <w:p w14:paraId="569345F6" w14:textId="77777777" w:rsidR="0001425C" w:rsidRDefault="0001425C">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_Toc381098051 \h </w:instrText>
      </w:r>
      <w:r>
        <w:rPr>
          <w:noProof/>
        </w:rPr>
      </w:r>
      <w:r>
        <w:rPr>
          <w:noProof/>
        </w:rPr>
        <w:fldChar w:fldCharType="separate"/>
      </w:r>
      <w:r>
        <w:rPr>
          <w:noProof/>
        </w:rPr>
        <w:t>13</w:t>
      </w:r>
      <w:r>
        <w:rPr>
          <w:noProof/>
        </w:rPr>
        <w:fldChar w:fldCharType="end"/>
      </w:r>
    </w:p>
    <w:p w14:paraId="6AEFC608" w14:textId="77777777" w:rsidR="0001425C" w:rsidRDefault="0001425C">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_Toc381098052 \h </w:instrText>
      </w:r>
      <w:r>
        <w:rPr>
          <w:noProof/>
        </w:rPr>
      </w:r>
      <w:r>
        <w:rPr>
          <w:noProof/>
        </w:rPr>
        <w:fldChar w:fldCharType="separate"/>
      </w:r>
      <w:r>
        <w:rPr>
          <w:noProof/>
        </w:rPr>
        <w:t>14</w:t>
      </w:r>
      <w:r>
        <w:rPr>
          <w:noProof/>
        </w:rPr>
        <w:fldChar w:fldCharType="end"/>
      </w:r>
    </w:p>
    <w:p w14:paraId="0B8D0EAE" w14:textId="77777777" w:rsidR="0001425C" w:rsidRDefault="0001425C">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_Toc381098053 \h </w:instrText>
      </w:r>
      <w:r>
        <w:fldChar w:fldCharType="separate"/>
      </w:r>
      <w:r>
        <w:t>14</w:t>
      </w:r>
      <w:r>
        <w:fldChar w:fldCharType="end"/>
      </w:r>
    </w:p>
    <w:p w14:paraId="3D78E0BC" w14:textId="77777777" w:rsidR="0001425C" w:rsidRDefault="0001425C">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_Toc381098054 \h </w:instrText>
      </w:r>
      <w:r>
        <w:rPr>
          <w:noProof/>
        </w:rPr>
      </w:r>
      <w:r>
        <w:rPr>
          <w:noProof/>
        </w:rPr>
        <w:fldChar w:fldCharType="separate"/>
      </w:r>
      <w:r>
        <w:rPr>
          <w:noProof/>
        </w:rPr>
        <w:t>14</w:t>
      </w:r>
      <w:r>
        <w:rPr>
          <w:noProof/>
        </w:rPr>
        <w:fldChar w:fldCharType="end"/>
      </w:r>
    </w:p>
    <w:p w14:paraId="615256A0" w14:textId="77777777" w:rsidR="0001425C" w:rsidRDefault="0001425C">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_Toc381098055 \h </w:instrText>
      </w:r>
      <w:r>
        <w:rPr>
          <w:noProof/>
        </w:rPr>
      </w:r>
      <w:r>
        <w:rPr>
          <w:noProof/>
        </w:rPr>
        <w:fldChar w:fldCharType="separate"/>
      </w:r>
      <w:r>
        <w:rPr>
          <w:noProof/>
        </w:rPr>
        <w:t>15</w:t>
      </w:r>
      <w:r>
        <w:rPr>
          <w:noProof/>
        </w:rPr>
        <w:fldChar w:fldCharType="end"/>
      </w:r>
    </w:p>
    <w:p w14:paraId="2ED21929" w14:textId="77777777" w:rsidR="0001425C" w:rsidRDefault="0001425C">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_Toc381098056 \h </w:instrText>
      </w:r>
      <w:r>
        <w:rPr>
          <w:noProof/>
        </w:rPr>
      </w:r>
      <w:r>
        <w:rPr>
          <w:noProof/>
        </w:rPr>
        <w:fldChar w:fldCharType="separate"/>
      </w:r>
      <w:r>
        <w:rPr>
          <w:noProof/>
        </w:rPr>
        <w:t>15</w:t>
      </w:r>
      <w:r>
        <w:rPr>
          <w:noProof/>
        </w:rPr>
        <w:fldChar w:fldCharType="end"/>
      </w:r>
    </w:p>
    <w:p w14:paraId="4D1BF5FD" w14:textId="77777777" w:rsidR="0001425C" w:rsidRDefault="0001425C">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_Toc381098057 \h </w:instrText>
      </w:r>
      <w:r>
        <w:rPr>
          <w:noProof/>
        </w:rPr>
      </w:r>
      <w:r>
        <w:rPr>
          <w:noProof/>
        </w:rPr>
        <w:fldChar w:fldCharType="separate"/>
      </w:r>
      <w:r>
        <w:rPr>
          <w:noProof/>
        </w:rPr>
        <w:t>15</w:t>
      </w:r>
      <w:r>
        <w:rPr>
          <w:noProof/>
        </w:rPr>
        <w:fldChar w:fldCharType="end"/>
      </w:r>
    </w:p>
    <w:p w14:paraId="44B8B850" w14:textId="77777777" w:rsidR="0001425C" w:rsidRDefault="0001425C">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_Toc381098058 \h </w:instrText>
      </w:r>
      <w:r>
        <w:rPr>
          <w:noProof/>
        </w:rPr>
      </w:r>
      <w:r>
        <w:rPr>
          <w:noProof/>
        </w:rPr>
        <w:fldChar w:fldCharType="separate"/>
      </w:r>
      <w:r>
        <w:rPr>
          <w:noProof/>
        </w:rPr>
        <w:t>16</w:t>
      </w:r>
      <w:r>
        <w:rPr>
          <w:noProof/>
        </w:rPr>
        <w:fldChar w:fldCharType="end"/>
      </w:r>
    </w:p>
    <w:p w14:paraId="7D83A0E3" w14:textId="77777777" w:rsidR="0001425C" w:rsidRDefault="0001425C">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_Toc381098059 \h </w:instrText>
      </w:r>
      <w:r>
        <w:fldChar w:fldCharType="separate"/>
      </w:r>
      <w:r>
        <w:t>16</w:t>
      </w:r>
      <w:r>
        <w:fldChar w:fldCharType="end"/>
      </w:r>
    </w:p>
    <w:p w14:paraId="3DC01DC6" w14:textId="77777777" w:rsidR="0001425C" w:rsidRDefault="0001425C">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_Toc381098060 \h </w:instrText>
      </w:r>
      <w:r>
        <w:rPr>
          <w:noProof/>
        </w:rPr>
      </w:r>
      <w:r>
        <w:rPr>
          <w:noProof/>
        </w:rPr>
        <w:fldChar w:fldCharType="separate"/>
      </w:r>
      <w:r>
        <w:rPr>
          <w:noProof/>
        </w:rPr>
        <w:t>16</w:t>
      </w:r>
      <w:r>
        <w:rPr>
          <w:noProof/>
        </w:rPr>
        <w:fldChar w:fldCharType="end"/>
      </w:r>
    </w:p>
    <w:p w14:paraId="0E4311C5" w14:textId="77777777" w:rsidR="0001425C" w:rsidRDefault="0001425C">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_Toc381098061 \h </w:instrText>
      </w:r>
      <w:r>
        <w:rPr>
          <w:noProof/>
        </w:rPr>
      </w:r>
      <w:r>
        <w:rPr>
          <w:noProof/>
        </w:rPr>
        <w:fldChar w:fldCharType="separate"/>
      </w:r>
      <w:r>
        <w:rPr>
          <w:noProof/>
        </w:rPr>
        <w:t>17</w:t>
      </w:r>
      <w:r>
        <w:rPr>
          <w:noProof/>
        </w:rPr>
        <w:fldChar w:fldCharType="end"/>
      </w:r>
    </w:p>
    <w:p w14:paraId="3E0D6811" w14:textId="77777777" w:rsidR="0001425C" w:rsidRDefault="0001425C">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_Toc381098062 \h </w:instrText>
      </w:r>
      <w:r>
        <w:rPr>
          <w:noProof/>
        </w:rPr>
      </w:r>
      <w:r>
        <w:rPr>
          <w:noProof/>
        </w:rPr>
        <w:fldChar w:fldCharType="separate"/>
      </w:r>
      <w:r>
        <w:rPr>
          <w:noProof/>
        </w:rPr>
        <w:t>17</w:t>
      </w:r>
      <w:r>
        <w:rPr>
          <w:noProof/>
        </w:rPr>
        <w:fldChar w:fldCharType="end"/>
      </w:r>
    </w:p>
    <w:p w14:paraId="235E222E" w14:textId="77777777" w:rsidR="0001425C" w:rsidRDefault="0001425C">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_Toc381098063 \h </w:instrText>
      </w:r>
      <w:r>
        <w:rPr>
          <w:noProof/>
        </w:rPr>
      </w:r>
      <w:r>
        <w:rPr>
          <w:noProof/>
        </w:rPr>
        <w:fldChar w:fldCharType="separate"/>
      </w:r>
      <w:r>
        <w:rPr>
          <w:noProof/>
        </w:rPr>
        <w:t>17</w:t>
      </w:r>
      <w:r>
        <w:rPr>
          <w:noProof/>
        </w:rPr>
        <w:fldChar w:fldCharType="end"/>
      </w:r>
    </w:p>
    <w:p w14:paraId="6D51F58E" w14:textId="77777777" w:rsidR="0001425C" w:rsidRDefault="0001425C">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_Toc381098064 \h </w:instrText>
      </w:r>
      <w:r>
        <w:rPr>
          <w:noProof/>
        </w:rPr>
      </w:r>
      <w:r>
        <w:rPr>
          <w:noProof/>
        </w:rPr>
        <w:fldChar w:fldCharType="separate"/>
      </w:r>
      <w:r>
        <w:rPr>
          <w:noProof/>
        </w:rPr>
        <w:t>17</w:t>
      </w:r>
      <w:r>
        <w:rPr>
          <w:noProof/>
        </w:rPr>
        <w:fldChar w:fldCharType="end"/>
      </w:r>
    </w:p>
    <w:p w14:paraId="7C464749" w14:textId="77777777" w:rsidR="0001425C" w:rsidRDefault="0001425C">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_Toc381098065 \h </w:instrText>
      </w:r>
      <w:r>
        <w:rPr>
          <w:noProof/>
        </w:rPr>
      </w:r>
      <w:r>
        <w:rPr>
          <w:noProof/>
        </w:rPr>
        <w:fldChar w:fldCharType="separate"/>
      </w:r>
      <w:r>
        <w:rPr>
          <w:noProof/>
        </w:rPr>
        <w:t>17</w:t>
      </w:r>
      <w:r>
        <w:rPr>
          <w:noProof/>
        </w:rPr>
        <w:fldChar w:fldCharType="end"/>
      </w:r>
    </w:p>
    <w:p w14:paraId="2F29C1B8" w14:textId="77777777" w:rsidR="0001425C" w:rsidRDefault="0001425C">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_Toc381098066 \h </w:instrText>
      </w:r>
      <w:r>
        <w:rPr>
          <w:noProof/>
        </w:rPr>
      </w:r>
      <w:r>
        <w:rPr>
          <w:noProof/>
        </w:rPr>
        <w:fldChar w:fldCharType="separate"/>
      </w:r>
      <w:r>
        <w:rPr>
          <w:noProof/>
        </w:rPr>
        <w:t>18</w:t>
      </w:r>
      <w:r>
        <w:rPr>
          <w:noProof/>
        </w:rPr>
        <w:fldChar w:fldCharType="end"/>
      </w:r>
    </w:p>
    <w:p w14:paraId="6FF96F9B" w14:textId="77777777" w:rsidR="0001425C" w:rsidRDefault="0001425C">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_Toc381098067 \h </w:instrText>
      </w:r>
      <w:r>
        <w:rPr>
          <w:noProof/>
        </w:rPr>
      </w:r>
      <w:r>
        <w:rPr>
          <w:noProof/>
        </w:rPr>
        <w:fldChar w:fldCharType="separate"/>
      </w:r>
      <w:r>
        <w:rPr>
          <w:noProof/>
        </w:rPr>
        <w:t>18</w:t>
      </w:r>
      <w:r>
        <w:rPr>
          <w:noProof/>
        </w:rPr>
        <w:fldChar w:fldCharType="end"/>
      </w:r>
    </w:p>
    <w:p w14:paraId="4F3B7D40" w14:textId="77777777" w:rsidR="0001425C" w:rsidRDefault="0001425C">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_Toc381098068 \h </w:instrText>
      </w:r>
      <w:r>
        <w:fldChar w:fldCharType="separate"/>
      </w:r>
      <w:r>
        <w:t>18</w:t>
      </w:r>
      <w:r>
        <w:fldChar w:fldCharType="end"/>
      </w:r>
    </w:p>
    <w:p w14:paraId="3840E854" w14:textId="77777777" w:rsidR="0001425C" w:rsidRDefault="0001425C">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_Toc381098069 \h </w:instrText>
      </w:r>
      <w:r>
        <w:fldChar w:fldCharType="separate"/>
      </w:r>
      <w:r>
        <w:t>20</w:t>
      </w:r>
      <w:r>
        <w:fldChar w:fldCharType="end"/>
      </w:r>
    </w:p>
    <w:p w14:paraId="2D1D9D75" w14:textId="77777777" w:rsidR="0001425C" w:rsidRDefault="0001425C">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_Toc381098070 \h </w:instrText>
      </w:r>
      <w:r>
        <w:fldChar w:fldCharType="separate"/>
      </w:r>
      <w:r>
        <w:t>20</w:t>
      </w:r>
      <w:r>
        <w:fldChar w:fldCharType="end"/>
      </w:r>
    </w:p>
    <w:p w14:paraId="642E5B28" w14:textId="77777777" w:rsidR="0001425C" w:rsidRDefault="0001425C">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_Toc381098071 \h </w:instrText>
      </w:r>
      <w:r>
        <w:fldChar w:fldCharType="separate"/>
      </w:r>
      <w:r>
        <w:t>21</w:t>
      </w:r>
      <w:r>
        <w:fldChar w:fldCharType="end"/>
      </w:r>
    </w:p>
    <w:p w14:paraId="616BFC93" w14:textId="77777777" w:rsidR="0001425C" w:rsidRDefault="0001425C">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_Toc381098072 \h </w:instrText>
      </w:r>
      <w:r>
        <w:rPr>
          <w:noProof/>
        </w:rPr>
      </w:r>
      <w:r>
        <w:rPr>
          <w:noProof/>
        </w:rPr>
        <w:fldChar w:fldCharType="separate"/>
      </w:r>
      <w:r>
        <w:rPr>
          <w:noProof/>
        </w:rPr>
        <w:t>21</w:t>
      </w:r>
      <w:r>
        <w:rPr>
          <w:noProof/>
        </w:rPr>
        <w:fldChar w:fldCharType="end"/>
      </w:r>
    </w:p>
    <w:p w14:paraId="06C57497" w14:textId="77777777" w:rsidR="0001425C" w:rsidRDefault="0001425C">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_Toc381098073 \h </w:instrText>
      </w:r>
      <w:r>
        <w:rPr>
          <w:noProof/>
        </w:rPr>
      </w:r>
      <w:r>
        <w:rPr>
          <w:noProof/>
        </w:rPr>
        <w:fldChar w:fldCharType="separate"/>
      </w:r>
      <w:r>
        <w:rPr>
          <w:noProof/>
        </w:rPr>
        <w:t>21</w:t>
      </w:r>
      <w:r>
        <w:rPr>
          <w:noProof/>
        </w:rPr>
        <w:fldChar w:fldCharType="end"/>
      </w:r>
    </w:p>
    <w:p w14:paraId="60166885" w14:textId="77777777" w:rsidR="0001425C" w:rsidRDefault="0001425C">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_Toc381098074 \h </w:instrText>
      </w:r>
      <w:r>
        <w:fldChar w:fldCharType="separate"/>
      </w:r>
      <w:r>
        <w:t>21</w:t>
      </w:r>
      <w:r>
        <w:fldChar w:fldCharType="end"/>
      </w:r>
    </w:p>
    <w:p w14:paraId="56B4A1D6" w14:textId="77777777" w:rsidR="0001425C" w:rsidRDefault="0001425C">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_Toc381098075 \h </w:instrText>
      </w:r>
      <w:r>
        <w:rPr>
          <w:noProof/>
        </w:rPr>
      </w:r>
      <w:r>
        <w:rPr>
          <w:noProof/>
        </w:rPr>
        <w:fldChar w:fldCharType="separate"/>
      </w:r>
      <w:r>
        <w:rPr>
          <w:noProof/>
        </w:rPr>
        <w:t>22</w:t>
      </w:r>
      <w:r>
        <w:rPr>
          <w:noProof/>
        </w:rPr>
        <w:fldChar w:fldCharType="end"/>
      </w:r>
    </w:p>
    <w:p w14:paraId="6AB181AE" w14:textId="77777777" w:rsidR="0001425C" w:rsidRDefault="0001425C">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_Toc381098076 \h </w:instrText>
      </w:r>
      <w:r>
        <w:fldChar w:fldCharType="separate"/>
      </w:r>
      <w:r>
        <w:t>22</w:t>
      </w:r>
      <w:r>
        <w:fldChar w:fldCharType="end"/>
      </w:r>
    </w:p>
    <w:p w14:paraId="36C8E27A" w14:textId="77777777" w:rsidR="0001425C" w:rsidRDefault="0001425C">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_Toc381098077 \h </w:instrText>
      </w:r>
      <w:r>
        <w:rPr>
          <w:noProof/>
        </w:rPr>
      </w:r>
      <w:r>
        <w:rPr>
          <w:noProof/>
        </w:rPr>
        <w:fldChar w:fldCharType="separate"/>
      </w:r>
      <w:r>
        <w:rPr>
          <w:noProof/>
        </w:rPr>
        <w:t>23</w:t>
      </w:r>
      <w:r>
        <w:rPr>
          <w:noProof/>
        </w:rPr>
        <w:fldChar w:fldCharType="end"/>
      </w:r>
    </w:p>
    <w:p w14:paraId="53A53C3C" w14:textId="77777777" w:rsidR="0001425C" w:rsidRDefault="0001425C">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_Toc381098078 \h </w:instrText>
      </w:r>
      <w:r>
        <w:rPr>
          <w:noProof/>
        </w:rPr>
      </w:r>
      <w:r>
        <w:rPr>
          <w:noProof/>
        </w:rPr>
        <w:fldChar w:fldCharType="separate"/>
      </w:r>
      <w:r>
        <w:rPr>
          <w:noProof/>
        </w:rPr>
        <w:t>23</w:t>
      </w:r>
      <w:r>
        <w:rPr>
          <w:noProof/>
        </w:rPr>
        <w:fldChar w:fldCharType="end"/>
      </w:r>
    </w:p>
    <w:p w14:paraId="0504A271" w14:textId="77777777" w:rsidR="0001425C" w:rsidRDefault="0001425C">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_Toc381098079 \h </w:instrText>
      </w:r>
      <w:r>
        <w:rPr>
          <w:noProof/>
        </w:rPr>
      </w:r>
      <w:r>
        <w:rPr>
          <w:noProof/>
        </w:rPr>
        <w:fldChar w:fldCharType="separate"/>
      </w:r>
      <w:r>
        <w:rPr>
          <w:noProof/>
        </w:rPr>
        <w:t>24</w:t>
      </w:r>
      <w:r>
        <w:rPr>
          <w:noProof/>
        </w:rPr>
        <w:fldChar w:fldCharType="end"/>
      </w:r>
    </w:p>
    <w:p w14:paraId="1DD877F5" w14:textId="77777777" w:rsidR="0001425C" w:rsidRDefault="0001425C">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_Toc381098080 \h </w:instrText>
      </w:r>
      <w:r>
        <w:rPr>
          <w:noProof/>
        </w:rPr>
      </w:r>
      <w:r>
        <w:rPr>
          <w:noProof/>
        </w:rPr>
        <w:fldChar w:fldCharType="separate"/>
      </w:r>
      <w:r>
        <w:rPr>
          <w:noProof/>
        </w:rPr>
        <w:t>25</w:t>
      </w:r>
      <w:r>
        <w:rPr>
          <w:noProof/>
        </w:rPr>
        <w:fldChar w:fldCharType="end"/>
      </w:r>
    </w:p>
    <w:p w14:paraId="147EC09B" w14:textId="77777777" w:rsidR="0001425C" w:rsidRDefault="0001425C">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_Toc381098081 \h </w:instrText>
      </w:r>
      <w:r>
        <w:rPr>
          <w:noProof/>
        </w:rPr>
      </w:r>
      <w:r>
        <w:rPr>
          <w:noProof/>
        </w:rPr>
        <w:fldChar w:fldCharType="separate"/>
      </w:r>
      <w:r>
        <w:rPr>
          <w:noProof/>
        </w:rPr>
        <w:t>26</w:t>
      </w:r>
      <w:r>
        <w:rPr>
          <w:noProof/>
        </w:rPr>
        <w:fldChar w:fldCharType="end"/>
      </w:r>
    </w:p>
    <w:p w14:paraId="5DAFC28A" w14:textId="77777777" w:rsidR="0001425C" w:rsidRDefault="0001425C">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_Toc381098082 \h </w:instrText>
      </w:r>
      <w:r>
        <w:fldChar w:fldCharType="separate"/>
      </w:r>
      <w:r>
        <w:t>26</w:t>
      </w:r>
      <w:r>
        <w:fldChar w:fldCharType="end"/>
      </w:r>
    </w:p>
    <w:p w14:paraId="3AC705DE" w14:textId="77777777" w:rsidR="0001425C" w:rsidRDefault="0001425C">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_Toc381098083 \h </w:instrText>
      </w:r>
      <w:r>
        <w:rPr>
          <w:noProof/>
        </w:rPr>
      </w:r>
      <w:r>
        <w:rPr>
          <w:noProof/>
        </w:rPr>
        <w:fldChar w:fldCharType="separate"/>
      </w:r>
      <w:r>
        <w:rPr>
          <w:noProof/>
        </w:rPr>
        <w:t>27</w:t>
      </w:r>
      <w:r>
        <w:rPr>
          <w:noProof/>
        </w:rPr>
        <w:fldChar w:fldCharType="end"/>
      </w:r>
    </w:p>
    <w:p w14:paraId="0038F868" w14:textId="77777777" w:rsidR="0001425C" w:rsidRDefault="0001425C">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_Toc381098084 \h </w:instrText>
      </w:r>
      <w:r>
        <w:fldChar w:fldCharType="separate"/>
      </w:r>
      <w:r>
        <w:t>29</w:t>
      </w:r>
      <w:r>
        <w:fldChar w:fldCharType="end"/>
      </w:r>
    </w:p>
    <w:p w14:paraId="249E70B2" w14:textId="77777777" w:rsidR="0001425C" w:rsidRDefault="0001425C">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_Toc381098085 \h </w:instrText>
      </w:r>
      <w:r>
        <w:fldChar w:fldCharType="separate"/>
      </w:r>
      <w:r>
        <w:t>29</w:t>
      </w:r>
      <w:r>
        <w:fldChar w:fldCharType="end"/>
      </w:r>
    </w:p>
    <w:p w14:paraId="6D561802" w14:textId="77777777" w:rsidR="0001425C" w:rsidRDefault="0001425C">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_Toc381098086 \h </w:instrText>
      </w:r>
      <w:r>
        <w:rPr>
          <w:noProof/>
        </w:rPr>
      </w:r>
      <w:r>
        <w:rPr>
          <w:noProof/>
        </w:rPr>
        <w:fldChar w:fldCharType="separate"/>
      </w:r>
      <w:r>
        <w:rPr>
          <w:noProof/>
        </w:rPr>
        <w:t>30</w:t>
      </w:r>
      <w:r>
        <w:rPr>
          <w:noProof/>
        </w:rPr>
        <w:fldChar w:fldCharType="end"/>
      </w:r>
    </w:p>
    <w:p w14:paraId="1AE3E78F" w14:textId="77777777" w:rsidR="0001425C" w:rsidRDefault="0001425C">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_Toc381098087 \h </w:instrText>
      </w:r>
      <w:r>
        <w:fldChar w:fldCharType="separate"/>
      </w:r>
      <w:r>
        <w:t>30</w:t>
      </w:r>
      <w:r>
        <w:fldChar w:fldCharType="end"/>
      </w:r>
    </w:p>
    <w:p w14:paraId="343722E8"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_Toc381098088 \h </w:instrText>
      </w:r>
      <w:r>
        <w:rPr>
          <w:noProof/>
        </w:rPr>
      </w:r>
      <w:r>
        <w:rPr>
          <w:noProof/>
        </w:rPr>
        <w:fldChar w:fldCharType="separate"/>
      </w:r>
      <w:r>
        <w:rPr>
          <w:noProof/>
        </w:rPr>
        <w:t>31</w:t>
      </w:r>
      <w:r>
        <w:rPr>
          <w:noProof/>
        </w:rPr>
        <w:fldChar w:fldCharType="end"/>
      </w:r>
    </w:p>
    <w:p w14:paraId="4242DC79" w14:textId="77777777" w:rsidR="0001425C" w:rsidRDefault="0001425C">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_Toc381098089 \h </w:instrText>
      </w:r>
      <w:r>
        <w:rPr>
          <w:noProof/>
        </w:rPr>
      </w:r>
      <w:r>
        <w:rPr>
          <w:noProof/>
        </w:rPr>
        <w:fldChar w:fldCharType="separate"/>
      </w:r>
      <w:r>
        <w:rPr>
          <w:noProof/>
        </w:rPr>
        <w:t>31</w:t>
      </w:r>
      <w:r>
        <w:rPr>
          <w:noProof/>
        </w:rPr>
        <w:fldChar w:fldCharType="end"/>
      </w:r>
    </w:p>
    <w:p w14:paraId="1A10DEA8" w14:textId="77777777" w:rsidR="0001425C" w:rsidRDefault="0001425C">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_Toc381098090 \h </w:instrText>
      </w:r>
      <w:r>
        <w:rPr>
          <w:noProof/>
        </w:rPr>
      </w:r>
      <w:r>
        <w:rPr>
          <w:noProof/>
        </w:rPr>
        <w:fldChar w:fldCharType="separate"/>
      </w:r>
      <w:r>
        <w:rPr>
          <w:noProof/>
        </w:rPr>
        <w:t>31</w:t>
      </w:r>
      <w:r>
        <w:rPr>
          <w:noProof/>
        </w:rPr>
        <w:fldChar w:fldCharType="end"/>
      </w:r>
    </w:p>
    <w:p w14:paraId="143A9E90" w14:textId="77777777" w:rsidR="0001425C" w:rsidRDefault="0001425C">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_Toc381098091 \h </w:instrText>
      </w:r>
      <w:r>
        <w:rPr>
          <w:noProof/>
        </w:rPr>
      </w:r>
      <w:r>
        <w:rPr>
          <w:noProof/>
        </w:rPr>
        <w:fldChar w:fldCharType="separate"/>
      </w:r>
      <w:r>
        <w:rPr>
          <w:noProof/>
        </w:rPr>
        <w:t>32</w:t>
      </w:r>
      <w:r>
        <w:rPr>
          <w:noProof/>
        </w:rPr>
        <w:fldChar w:fldCharType="end"/>
      </w:r>
    </w:p>
    <w:p w14:paraId="27E1B163" w14:textId="77777777" w:rsidR="0001425C" w:rsidRDefault="0001425C">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_Toc381098092 \h </w:instrText>
      </w:r>
      <w:r>
        <w:fldChar w:fldCharType="separate"/>
      </w:r>
      <w:r>
        <w:t>33</w:t>
      </w:r>
      <w:r>
        <w:fldChar w:fldCharType="end"/>
      </w:r>
    </w:p>
    <w:p w14:paraId="185EE9DA" w14:textId="77777777" w:rsidR="0001425C" w:rsidRDefault="0001425C">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_Toc381098093 \h </w:instrText>
      </w:r>
      <w:r>
        <w:rPr>
          <w:noProof/>
        </w:rPr>
      </w:r>
      <w:r>
        <w:rPr>
          <w:noProof/>
        </w:rPr>
        <w:fldChar w:fldCharType="separate"/>
      </w:r>
      <w:r>
        <w:rPr>
          <w:noProof/>
        </w:rPr>
        <w:t>33</w:t>
      </w:r>
      <w:r>
        <w:rPr>
          <w:noProof/>
        </w:rPr>
        <w:fldChar w:fldCharType="end"/>
      </w:r>
    </w:p>
    <w:p w14:paraId="0C3DFD3B" w14:textId="77777777" w:rsidR="0001425C" w:rsidRDefault="0001425C">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_Toc381098094 \h </w:instrText>
      </w:r>
      <w:r>
        <w:rPr>
          <w:noProof/>
        </w:rPr>
      </w:r>
      <w:r>
        <w:rPr>
          <w:noProof/>
        </w:rPr>
        <w:fldChar w:fldCharType="separate"/>
      </w:r>
      <w:r>
        <w:rPr>
          <w:noProof/>
        </w:rPr>
        <w:t>34</w:t>
      </w:r>
      <w:r>
        <w:rPr>
          <w:noProof/>
        </w:rPr>
        <w:fldChar w:fldCharType="end"/>
      </w:r>
    </w:p>
    <w:p w14:paraId="41287A47" w14:textId="77777777" w:rsidR="0001425C" w:rsidRDefault="0001425C">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_Toc381098095 \h </w:instrText>
      </w:r>
      <w:r>
        <w:rPr>
          <w:noProof/>
        </w:rPr>
      </w:r>
      <w:r>
        <w:rPr>
          <w:noProof/>
        </w:rPr>
        <w:fldChar w:fldCharType="separate"/>
      </w:r>
      <w:r>
        <w:rPr>
          <w:noProof/>
        </w:rPr>
        <w:t>35</w:t>
      </w:r>
      <w:r>
        <w:rPr>
          <w:noProof/>
        </w:rPr>
        <w:fldChar w:fldCharType="end"/>
      </w:r>
    </w:p>
    <w:p w14:paraId="48E7D853" w14:textId="77777777" w:rsidR="0001425C" w:rsidRDefault="0001425C">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_Toc381098096 \h </w:instrText>
      </w:r>
      <w:r>
        <w:rPr>
          <w:noProof/>
        </w:rPr>
      </w:r>
      <w:r>
        <w:rPr>
          <w:noProof/>
        </w:rPr>
        <w:fldChar w:fldCharType="separate"/>
      </w:r>
      <w:r>
        <w:rPr>
          <w:noProof/>
        </w:rPr>
        <w:t>36</w:t>
      </w:r>
      <w:r>
        <w:rPr>
          <w:noProof/>
        </w:rPr>
        <w:fldChar w:fldCharType="end"/>
      </w:r>
    </w:p>
    <w:p w14:paraId="0162BC87" w14:textId="77777777" w:rsidR="0001425C" w:rsidRDefault="0001425C">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_Toc381098097 \h </w:instrText>
      </w:r>
      <w:r>
        <w:fldChar w:fldCharType="separate"/>
      </w:r>
      <w:r>
        <w:t>37</w:t>
      </w:r>
      <w:r>
        <w:fldChar w:fldCharType="end"/>
      </w:r>
    </w:p>
    <w:p w14:paraId="43E72863" w14:textId="77777777" w:rsidR="0001425C" w:rsidRDefault="0001425C">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_Toc381098098 \h </w:instrText>
      </w:r>
      <w:r>
        <w:rPr>
          <w:noProof/>
        </w:rPr>
      </w:r>
      <w:r>
        <w:rPr>
          <w:noProof/>
        </w:rPr>
        <w:fldChar w:fldCharType="separate"/>
      </w:r>
      <w:r>
        <w:rPr>
          <w:noProof/>
        </w:rPr>
        <w:t>37</w:t>
      </w:r>
      <w:r>
        <w:rPr>
          <w:noProof/>
        </w:rPr>
        <w:fldChar w:fldCharType="end"/>
      </w:r>
    </w:p>
    <w:p w14:paraId="1605314A" w14:textId="77777777" w:rsidR="0001425C" w:rsidRDefault="0001425C">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_Toc381098099 \h </w:instrText>
      </w:r>
      <w:r>
        <w:rPr>
          <w:noProof/>
        </w:rPr>
      </w:r>
      <w:r>
        <w:rPr>
          <w:noProof/>
        </w:rPr>
        <w:fldChar w:fldCharType="separate"/>
      </w:r>
      <w:r>
        <w:rPr>
          <w:noProof/>
        </w:rPr>
        <w:t>37</w:t>
      </w:r>
      <w:r>
        <w:rPr>
          <w:noProof/>
        </w:rPr>
        <w:fldChar w:fldCharType="end"/>
      </w:r>
    </w:p>
    <w:p w14:paraId="6040A239" w14:textId="77777777" w:rsidR="0001425C" w:rsidRDefault="0001425C">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_Toc381098100 \h </w:instrText>
      </w:r>
      <w:r>
        <w:rPr>
          <w:noProof/>
        </w:rPr>
      </w:r>
      <w:r>
        <w:rPr>
          <w:noProof/>
        </w:rPr>
        <w:fldChar w:fldCharType="separate"/>
      </w:r>
      <w:r>
        <w:rPr>
          <w:noProof/>
        </w:rPr>
        <w:t>38</w:t>
      </w:r>
      <w:r>
        <w:rPr>
          <w:noProof/>
        </w:rPr>
        <w:fldChar w:fldCharType="end"/>
      </w:r>
    </w:p>
    <w:p w14:paraId="2A9C4358" w14:textId="77777777" w:rsidR="0001425C" w:rsidRDefault="0001425C">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_Toc381098101 \h </w:instrText>
      </w:r>
      <w:r>
        <w:rPr>
          <w:noProof/>
        </w:rPr>
      </w:r>
      <w:r>
        <w:rPr>
          <w:noProof/>
        </w:rPr>
        <w:fldChar w:fldCharType="separate"/>
      </w:r>
      <w:r>
        <w:rPr>
          <w:noProof/>
        </w:rPr>
        <w:t>39</w:t>
      </w:r>
      <w:r>
        <w:rPr>
          <w:noProof/>
        </w:rPr>
        <w:fldChar w:fldCharType="end"/>
      </w:r>
    </w:p>
    <w:p w14:paraId="47D04A41" w14:textId="77777777" w:rsidR="0001425C" w:rsidRDefault="0001425C">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_Toc381098102 \h </w:instrText>
      </w:r>
      <w:r>
        <w:rPr>
          <w:noProof/>
        </w:rPr>
      </w:r>
      <w:r>
        <w:rPr>
          <w:noProof/>
        </w:rPr>
        <w:fldChar w:fldCharType="separate"/>
      </w:r>
      <w:r>
        <w:rPr>
          <w:noProof/>
        </w:rPr>
        <w:t>40</w:t>
      </w:r>
      <w:r>
        <w:rPr>
          <w:noProof/>
        </w:rPr>
        <w:fldChar w:fldCharType="end"/>
      </w:r>
    </w:p>
    <w:p w14:paraId="1CBD7DCD" w14:textId="77777777" w:rsidR="0001425C" w:rsidRDefault="0001425C">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_Toc381098103 \h </w:instrText>
      </w:r>
      <w:r>
        <w:fldChar w:fldCharType="separate"/>
      </w:r>
      <w:r>
        <w:t>40</w:t>
      </w:r>
      <w:r>
        <w:fldChar w:fldCharType="end"/>
      </w:r>
    </w:p>
    <w:p w14:paraId="2C8FE150" w14:textId="77777777" w:rsidR="0001425C" w:rsidRDefault="0001425C">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_Toc381098104 \h </w:instrText>
      </w:r>
      <w:r>
        <w:fldChar w:fldCharType="separate"/>
      </w:r>
      <w:r>
        <w:t>42</w:t>
      </w:r>
      <w:r>
        <w:fldChar w:fldCharType="end"/>
      </w:r>
    </w:p>
    <w:p w14:paraId="26C38A9D" w14:textId="77777777" w:rsidR="0001425C" w:rsidRDefault="0001425C">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_Toc381098105 \h </w:instrText>
      </w:r>
      <w:r>
        <w:fldChar w:fldCharType="separate"/>
      </w:r>
      <w:r>
        <w:t>42</w:t>
      </w:r>
      <w:r>
        <w:fldChar w:fldCharType="end"/>
      </w:r>
    </w:p>
    <w:p w14:paraId="36A966A1" w14:textId="77777777" w:rsidR="0001425C" w:rsidRDefault="0001425C">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_Toc381098106 \h </w:instrText>
      </w:r>
      <w:r>
        <w:rPr>
          <w:noProof/>
        </w:rPr>
      </w:r>
      <w:r>
        <w:rPr>
          <w:noProof/>
        </w:rPr>
        <w:fldChar w:fldCharType="separate"/>
      </w:r>
      <w:r>
        <w:rPr>
          <w:noProof/>
        </w:rPr>
        <w:t>43</w:t>
      </w:r>
      <w:r>
        <w:rPr>
          <w:noProof/>
        </w:rPr>
        <w:fldChar w:fldCharType="end"/>
      </w:r>
    </w:p>
    <w:p w14:paraId="1BD2EDCE" w14:textId="77777777" w:rsidR="0001425C" w:rsidRDefault="0001425C">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_Toc381098107 \h </w:instrText>
      </w:r>
      <w:r>
        <w:fldChar w:fldCharType="separate"/>
      </w:r>
      <w:r>
        <w:t>44</w:t>
      </w:r>
      <w:r>
        <w:fldChar w:fldCharType="end"/>
      </w:r>
    </w:p>
    <w:p w14:paraId="05F9BDF9" w14:textId="77777777" w:rsidR="0001425C" w:rsidRDefault="0001425C">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_Toc381098108 \h </w:instrText>
      </w:r>
      <w:r>
        <w:fldChar w:fldCharType="separate"/>
      </w:r>
      <w:r>
        <w:t>44</w:t>
      </w:r>
      <w:r>
        <w:fldChar w:fldCharType="end"/>
      </w:r>
    </w:p>
    <w:p w14:paraId="58F9AD88" w14:textId="77777777" w:rsidR="0001425C" w:rsidRDefault="0001425C">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_Toc381098109 \h </w:instrText>
      </w:r>
      <w:r>
        <w:fldChar w:fldCharType="separate"/>
      </w:r>
      <w:r>
        <w:t>47</w:t>
      </w:r>
      <w:r>
        <w:fldChar w:fldCharType="end"/>
      </w:r>
    </w:p>
    <w:p w14:paraId="7D831D75" w14:textId="77777777" w:rsidR="0001425C" w:rsidRDefault="0001425C">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_Toc381098110 \h </w:instrText>
      </w:r>
      <w:r>
        <w:fldChar w:fldCharType="separate"/>
      </w:r>
      <w:r>
        <w:t>47</w:t>
      </w:r>
      <w:r>
        <w:fldChar w:fldCharType="end"/>
      </w:r>
    </w:p>
    <w:p w14:paraId="2A0E16A7" w14:textId="77777777" w:rsidR="0001425C" w:rsidRDefault="0001425C">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_Toc381098111 \h </w:instrText>
      </w:r>
      <w:r>
        <w:fldChar w:fldCharType="separate"/>
      </w:r>
      <w:r>
        <w:t>48</w:t>
      </w:r>
      <w:r>
        <w:fldChar w:fldCharType="end"/>
      </w:r>
    </w:p>
    <w:p w14:paraId="7987D5F6" w14:textId="77777777" w:rsidR="0001425C" w:rsidRDefault="0001425C">
      <w:pPr>
        <w:pStyle w:val="TOC2"/>
        <w:rPr>
          <w:rFonts w:eastAsiaTheme="minorEastAsia" w:cstheme="minorBidi"/>
          <w:sz w:val="22"/>
          <w:szCs w:val="22"/>
        </w:rPr>
      </w:pPr>
      <w:r>
        <w:t>6.</w:t>
      </w:r>
      <w:r>
        <w:rPr>
          <w:rFonts w:eastAsiaTheme="minorEastAsia" w:cstheme="minorBidi"/>
          <w:sz w:val="22"/>
          <w:szCs w:val="22"/>
        </w:rPr>
        <w:tab/>
      </w:r>
      <w:r>
        <w:t>Environmental Situations</w:t>
      </w:r>
      <w:r>
        <w:tab/>
      </w:r>
      <w:r>
        <w:fldChar w:fldCharType="begin"/>
      </w:r>
      <w:r>
        <w:instrText xml:space="preserve"> PAGEREF _Toc381098112 \h </w:instrText>
      </w:r>
      <w:r>
        <w:fldChar w:fldCharType="separate"/>
      </w:r>
      <w:r>
        <w:t>49</w:t>
      </w:r>
      <w:r>
        <w:fldChar w:fldCharType="end"/>
      </w:r>
    </w:p>
    <w:p w14:paraId="6B2841A4" w14:textId="77777777" w:rsidR="0001425C" w:rsidRDefault="0001425C">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_Toc381098113 \h </w:instrText>
      </w:r>
      <w:r>
        <w:fldChar w:fldCharType="separate"/>
      </w:r>
      <w:r>
        <w:t>49</w:t>
      </w:r>
      <w:r>
        <w:fldChar w:fldCharType="end"/>
      </w:r>
    </w:p>
    <w:p w14:paraId="026B136A" w14:textId="77777777" w:rsidR="0001425C" w:rsidRDefault="0001425C">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_Toc381098114 \h </w:instrText>
      </w:r>
      <w:r>
        <w:fldChar w:fldCharType="separate"/>
      </w:r>
      <w:r>
        <w:t>50</w:t>
      </w:r>
      <w:r>
        <w:fldChar w:fldCharType="end"/>
      </w:r>
    </w:p>
    <w:p w14:paraId="60D46D19" w14:textId="77777777" w:rsidR="0001425C" w:rsidRDefault="0001425C">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_Toc381098115 \h </w:instrText>
      </w:r>
      <w:r>
        <w:fldChar w:fldCharType="separate"/>
      </w:r>
      <w:r>
        <w:t>50</w:t>
      </w:r>
      <w:r>
        <w:fldChar w:fldCharType="end"/>
      </w:r>
    </w:p>
    <w:p w14:paraId="506A3CA3" w14:textId="77777777" w:rsidR="0001425C" w:rsidRDefault="0001425C">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_Toc381098116 \h </w:instrText>
      </w:r>
      <w:r>
        <w:rPr>
          <w:noProof/>
        </w:rPr>
      </w:r>
      <w:r>
        <w:rPr>
          <w:noProof/>
        </w:rPr>
        <w:fldChar w:fldCharType="separate"/>
      </w:r>
      <w:r>
        <w:rPr>
          <w:noProof/>
        </w:rPr>
        <w:t>50</w:t>
      </w:r>
      <w:r>
        <w:rPr>
          <w:noProof/>
        </w:rPr>
        <w:fldChar w:fldCharType="end"/>
      </w:r>
    </w:p>
    <w:p w14:paraId="16A520EB" w14:textId="77777777" w:rsidR="0001425C" w:rsidRDefault="0001425C">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_Toc381098117 \h </w:instrText>
      </w:r>
      <w:r>
        <w:rPr>
          <w:noProof/>
        </w:rPr>
      </w:r>
      <w:r>
        <w:rPr>
          <w:noProof/>
        </w:rPr>
        <w:fldChar w:fldCharType="separate"/>
      </w:r>
      <w:r>
        <w:rPr>
          <w:noProof/>
        </w:rPr>
        <w:t>50</w:t>
      </w:r>
      <w:r>
        <w:rPr>
          <w:noProof/>
        </w:rPr>
        <w:fldChar w:fldCharType="end"/>
      </w:r>
    </w:p>
    <w:p w14:paraId="57EC99D5" w14:textId="77777777" w:rsidR="0001425C" w:rsidRDefault="0001425C">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_Toc381098118 \h </w:instrText>
      </w:r>
      <w:r>
        <w:rPr>
          <w:noProof/>
        </w:rPr>
      </w:r>
      <w:r>
        <w:rPr>
          <w:noProof/>
        </w:rPr>
        <w:fldChar w:fldCharType="separate"/>
      </w:r>
      <w:r>
        <w:rPr>
          <w:noProof/>
        </w:rPr>
        <w:t>51</w:t>
      </w:r>
      <w:r>
        <w:rPr>
          <w:noProof/>
        </w:rPr>
        <w:fldChar w:fldCharType="end"/>
      </w:r>
    </w:p>
    <w:p w14:paraId="2AD65EA4" w14:textId="77777777" w:rsidR="0001425C" w:rsidRDefault="0001425C">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_Toc381098119 \h </w:instrText>
      </w:r>
      <w:r>
        <w:fldChar w:fldCharType="separate"/>
      </w:r>
      <w:r>
        <w:t>51</w:t>
      </w:r>
      <w:r>
        <w:fldChar w:fldCharType="end"/>
      </w:r>
    </w:p>
    <w:p w14:paraId="7CF98062" w14:textId="77777777" w:rsidR="0001425C" w:rsidRDefault="0001425C">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_Toc381098120 \h </w:instrText>
      </w:r>
      <w:r>
        <w:rPr>
          <w:noProof/>
        </w:rPr>
      </w:r>
      <w:r>
        <w:rPr>
          <w:noProof/>
        </w:rPr>
        <w:fldChar w:fldCharType="separate"/>
      </w:r>
      <w:r>
        <w:rPr>
          <w:noProof/>
        </w:rPr>
        <w:t>52</w:t>
      </w:r>
      <w:r>
        <w:rPr>
          <w:noProof/>
        </w:rPr>
        <w:fldChar w:fldCharType="end"/>
      </w:r>
    </w:p>
    <w:p w14:paraId="0ABF2265" w14:textId="77777777" w:rsidR="0001425C" w:rsidRDefault="0001425C">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_Toc381098121 \h </w:instrText>
      </w:r>
      <w:r>
        <w:rPr>
          <w:noProof/>
        </w:rPr>
      </w:r>
      <w:r>
        <w:rPr>
          <w:noProof/>
        </w:rPr>
        <w:fldChar w:fldCharType="separate"/>
      </w:r>
      <w:r>
        <w:rPr>
          <w:noProof/>
        </w:rPr>
        <w:t>54</w:t>
      </w:r>
      <w:r>
        <w:rPr>
          <w:noProof/>
        </w:rPr>
        <w:fldChar w:fldCharType="end"/>
      </w:r>
    </w:p>
    <w:p w14:paraId="61973AA8" w14:textId="77777777" w:rsidR="0001425C" w:rsidRDefault="0001425C">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_Toc381098122 \h </w:instrText>
      </w:r>
      <w:r>
        <w:rPr>
          <w:noProof/>
        </w:rPr>
      </w:r>
      <w:r>
        <w:rPr>
          <w:noProof/>
        </w:rPr>
        <w:fldChar w:fldCharType="separate"/>
      </w:r>
      <w:r>
        <w:rPr>
          <w:noProof/>
        </w:rPr>
        <w:t>54</w:t>
      </w:r>
      <w:r>
        <w:rPr>
          <w:noProof/>
        </w:rPr>
        <w:fldChar w:fldCharType="end"/>
      </w:r>
    </w:p>
    <w:p w14:paraId="01B22131" w14:textId="77777777" w:rsidR="0001425C" w:rsidRDefault="0001425C">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_Toc381098123 \h </w:instrText>
      </w:r>
      <w:r>
        <w:rPr>
          <w:noProof/>
        </w:rPr>
      </w:r>
      <w:r>
        <w:rPr>
          <w:noProof/>
        </w:rPr>
        <w:fldChar w:fldCharType="separate"/>
      </w:r>
      <w:r>
        <w:rPr>
          <w:noProof/>
        </w:rPr>
        <w:t>55</w:t>
      </w:r>
      <w:r>
        <w:rPr>
          <w:noProof/>
        </w:rPr>
        <w:fldChar w:fldCharType="end"/>
      </w:r>
    </w:p>
    <w:p w14:paraId="29B00654" w14:textId="77777777" w:rsidR="0001425C" w:rsidRDefault="0001425C">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_Toc381098124 \h </w:instrText>
      </w:r>
      <w:r>
        <w:rPr>
          <w:noProof/>
        </w:rPr>
      </w:r>
      <w:r>
        <w:rPr>
          <w:noProof/>
        </w:rPr>
        <w:fldChar w:fldCharType="separate"/>
      </w:r>
      <w:r>
        <w:rPr>
          <w:noProof/>
        </w:rPr>
        <w:t>56</w:t>
      </w:r>
      <w:r>
        <w:rPr>
          <w:noProof/>
        </w:rPr>
        <w:fldChar w:fldCharType="end"/>
      </w:r>
    </w:p>
    <w:p w14:paraId="60EFA0D4" w14:textId="77777777" w:rsidR="0001425C" w:rsidRDefault="0001425C">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_Toc381098125 \h </w:instrText>
      </w:r>
      <w:r>
        <w:rPr>
          <w:noProof/>
        </w:rPr>
      </w:r>
      <w:r>
        <w:rPr>
          <w:noProof/>
        </w:rPr>
        <w:fldChar w:fldCharType="separate"/>
      </w:r>
      <w:r>
        <w:rPr>
          <w:noProof/>
        </w:rPr>
        <w:t>56</w:t>
      </w:r>
      <w:r>
        <w:rPr>
          <w:noProof/>
        </w:rPr>
        <w:fldChar w:fldCharType="end"/>
      </w:r>
    </w:p>
    <w:p w14:paraId="63F9CD77" w14:textId="77777777" w:rsidR="0001425C" w:rsidRDefault="0001425C">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_Toc381098126 \h </w:instrText>
      </w:r>
      <w:r>
        <w:rPr>
          <w:noProof/>
        </w:rPr>
      </w:r>
      <w:r>
        <w:rPr>
          <w:noProof/>
        </w:rPr>
        <w:fldChar w:fldCharType="separate"/>
      </w:r>
      <w:r>
        <w:rPr>
          <w:noProof/>
        </w:rPr>
        <w:t>58</w:t>
      </w:r>
      <w:r>
        <w:rPr>
          <w:noProof/>
        </w:rPr>
        <w:fldChar w:fldCharType="end"/>
      </w:r>
    </w:p>
    <w:p w14:paraId="014C3004" w14:textId="77777777" w:rsidR="0001425C" w:rsidRDefault="0001425C">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_Toc381098127 \h </w:instrText>
      </w:r>
      <w:r>
        <w:rPr>
          <w:noProof/>
        </w:rPr>
      </w:r>
      <w:r>
        <w:rPr>
          <w:noProof/>
        </w:rPr>
        <w:fldChar w:fldCharType="separate"/>
      </w:r>
      <w:r>
        <w:rPr>
          <w:noProof/>
        </w:rPr>
        <w:t>59</w:t>
      </w:r>
      <w:r>
        <w:rPr>
          <w:noProof/>
        </w:rPr>
        <w:fldChar w:fldCharType="end"/>
      </w:r>
    </w:p>
    <w:p w14:paraId="62DABE80" w14:textId="77777777" w:rsidR="0001425C" w:rsidRDefault="0001425C">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_Toc381098128 \h </w:instrText>
      </w:r>
      <w:r>
        <w:rPr>
          <w:noProof/>
        </w:rPr>
      </w:r>
      <w:r>
        <w:rPr>
          <w:noProof/>
        </w:rPr>
        <w:fldChar w:fldCharType="separate"/>
      </w:r>
      <w:r>
        <w:rPr>
          <w:noProof/>
        </w:rPr>
        <w:t>60</w:t>
      </w:r>
      <w:r>
        <w:rPr>
          <w:noProof/>
        </w:rPr>
        <w:fldChar w:fldCharType="end"/>
      </w:r>
    </w:p>
    <w:p w14:paraId="7CCB256A" w14:textId="77777777" w:rsidR="0001425C" w:rsidRDefault="0001425C">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_Toc381098129 \h </w:instrText>
      </w:r>
      <w:r>
        <w:fldChar w:fldCharType="separate"/>
      </w:r>
      <w:r>
        <w:t>61</w:t>
      </w:r>
      <w:r>
        <w:fldChar w:fldCharType="end"/>
      </w:r>
    </w:p>
    <w:p w14:paraId="186754E9" w14:textId="77777777" w:rsidR="0001425C" w:rsidRDefault="0001425C">
      <w:pPr>
        <w:pStyle w:val="TOC3"/>
        <w:rPr>
          <w:rFonts w:eastAsiaTheme="minorEastAsia" w:cstheme="minorBidi"/>
          <w:sz w:val="22"/>
          <w:szCs w:val="22"/>
        </w:rPr>
      </w:pPr>
      <w:r>
        <w:t>8.1</w:t>
      </w:r>
      <w:r>
        <w:rPr>
          <w:rFonts w:eastAsiaTheme="minorEastAsia" w:cstheme="minorBidi"/>
          <w:sz w:val="22"/>
          <w:szCs w:val="22"/>
        </w:rPr>
        <w:tab/>
      </w:r>
      <w:r>
        <w:t>Magic Attrition</w:t>
      </w:r>
      <w:r>
        <w:tab/>
      </w:r>
      <w:r>
        <w:fldChar w:fldCharType="begin"/>
      </w:r>
      <w:r>
        <w:instrText xml:space="preserve"> PAGEREF _Toc381098130 \h </w:instrText>
      </w:r>
      <w:r>
        <w:fldChar w:fldCharType="separate"/>
      </w:r>
      <w:r>
        <w:t>61</w:t>
      </w:r>
      <w:r>
        <w:fldChar w:fldCharType="end"/>
      </w:r>
    </w:p>
    <w:p w14:paraId="4F313CCB" w14:textId="77777777" w:rsidR="0001425C" w:rsidRDefault="0001425C">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_Toc381098131 \h </w:instrText>
      </w:r>
      <w:r>
        <w:rPr>
          <w:noProof/>
        </w:rPr>
      </w:r>
      <w:r>
        <w:rPr>
          <w:noProof/>
        </w:rPr>
        <w:fldChar w:fldCharType="separate"/>
      </w:r>
      <w:r>
        <w:rPr>
          <w:noProof/>
        </w:rPr>
        <w:t>61</w:t>
      </w:r>
      <w:r>
        <w:rPr>
          <w:noProof/>
        </w:rPr>
        <w:fldChar w:fldCharType="end"/>
      </w:r>
    </w:p>
    <w:p w14:paraId="2EF622E5" w14:textId="77777777" w:rsidR="0001425C" w:rsidRDefault="0001425C">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_Toc381098132 \h </w:instrText>
      </w:r>
      <w:r>
        <w:rPr>
          <w:noProof/>
        </w:rPr>
      </w:r>
      <w:r>
        <w:rPr>
          <w:noProof/>
        </w:rPr>
        <w:fldChar w:fldCharType="separate"/>
      </w:r>
      <w:r>
        <w:rPr>
          <w:noProof/>
        </w:rPr>
        <w:t>61</w:t>
      </w:r>
      <w:r>
        <w:rPr>
          <w:noProof/>
        </w:rPr>
        <w:fldChar w:fldCharType="end"/>
      </w:r>
    </w:p>
    <w:p w14:paraId="33A57B4A" w14:textId="77777777" w:rsidR="0001425C" w:rsidRDefault="0001425C">
      <w:pPr>
        <w:pStyle w:val="TOC3"/>
        <w:rPr>
          <w:rFonts w:eastAsiaTheme="minorEastAsia" w:cstheme="minorBidi"/>
          <w:sz w:val="22"/>
          <w:szCs w:val="22"/>
        </w:rPr>
      </w:pPr>
      <w:r>
        <w:t>8.2</w:t>
      </w:r>
      <w:r>
        <w:rPr>
          <w:rFonts w:eastAsiaTheme="minorEastAsia" w:cstheme="minorBidi"/>
          <w:sz w:val="22"/>
          <w:szCs w:val="22"/>
        </w:rPr>
        <w:tab/>
      </w:r>
      <w:r>
        <w:t>Applying Attrition</w:t>
      </w:r>
      <w:r>
        <w:tab/>
      </w:r>
      <w:r>
        <w:fldChar w:fldCharType="begin"/>
      </w:r>
      <w:r>
        <w:instrText xml:space="preserve"> PAGEREF _Toc381098133 \h </w:instrText>
      </w:r>
      <w:r>
        <w:fldChar w:fldCharType="separate"/>
      </w:r>
      <w:r>
        <w:t>61</w:t>
      </w:r>
      <w:r>
        <w:fldChar w:fldCharType="end"/>
      </w:r>
    </w:p>
    <w:p w14:paraId="6E77A663" w14:textId="77777777" w:rsidR="0001425C" w:rsidRDefault="0001425C">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fldChar w:fldCharType="begin"/>
      </w:r>
      <w:r>
        <w:instrText xml:space="preserve"> PAGEREF _Toc381098134 \h </w:instrText>
      </w:r>
      <w:r>
        <w:fldChar w:fldCharType="separate"/>
      </w:r>
      <w:r>
        <w:t>62</w:t>
      </w:r>
      <w:r>
        <w:fldChar w:fldCharType="end"/>
      </w:r>
    </w:p>
    <w:p w14:paraId="7F37225E" w14:textId="77777777" w:rsidR="0001425C" w:rsidRDefault="0001425C">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_Toc381098135 \h </w:instrText>
      </w:r>
      <w:r>
        <w:rPr>
          <w:noProof/>
        </w:rPr>
      </w:r>
      <w:r>
        <w:rPr>
          <w:noProof/>
        </w:rPr>
        <w:fldChar w:fldCharType="separate"/>
      </w:r>
      <w:r>
        <w:rPr>
          <w:noProof/>
        </w:rPr>
        <w:t>62</w:t>
      </w:r>
      <w:r>
        <w:rPr>
          <w:noProof/>
        </w:rPr>
        <w:fldChar w:fldCharType="end"/>
      </w:r>
    </w:p>
    <w:p w14:paraId="012E5A7A" w14:textId="77777777" w:rsidR="0001425C" w:rsidRDefault="0001425C">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_Toc381098136 \h </w:instrText>
      </w:r>
      <w:r>
        <w:rPr>
          <w:noProof/>
        </w:rPr>
      </w:r>
      <w:r>
        <w:rPr>
          <w:noProof/>
        </w:rPr>
        <w:fldChar w:fldCharType="separate"/>
      </w:r>
      <w:r>
        <w:rPr>
          <w:noProof/>
        </w:rPr>
        <w:t>63</w:t>
      </w:r>
      <w:r>
        <w:rPr>
          <w:noProof/>
        </w:rPr>
        <w:fldChar w:fldCharType="end"/>
      </w:r>
    </w:p>
    <w:p w14:paraId="6A51A434" w14:textId="77777777" w:rsidR="0001425C" w:rsidRDefault="0001425C">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_Toc381098137 \h </w:instrText>
      </w:r>
      <w:r>
        <w:fldChar w:fldCharType="separate"/>
      </w:r>
      <w:r>
        <w:t>65</w:t>
      </w:r>
      <w:r>
        <w:fldChar w:fldCharType="end"/>
      </w:r>
    </w:p>
    <w:p w14:paraId="59154D56" w14:textId="77777777" w:rsidR="0001425C" w:rsidRDefault="0001425C">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_Toc381098138 \h </w:instrText>
      </w:r>
      <w:r>
        <w:fldChar w:fldCharType="separate"/>
      </w:r>
      <w:r>
        <w:t>65</w:t>
      </w:r>
      <w:r>
        <w:fldChar w:fldCharType="end"/>
      </w:r>
    </w:p>
    <w:p w14:paraId="2144B782" w14:textId="77777777" w:rsidR="0001425C" w:rsidRDefault="0001425C">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_Toc381098139 \h </w:instrText>
      </w:r>
      <w:r>
        <w:fldChar w:fldCharType="separate"/>
      </w:r>
      <w:r>
        <w:t>65</w:t>
      </w:r>
      <w:r>
        <w:fldChar w:fldCharType="end"/>
      </w:r>
    </w:p>
    <w:p w14:paraId="6440B2D7" w14:textId="77777777" w:rsidR="0001425C" w:rsidRDefault="0001425C">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_Toc381098140 \h </w:instrText>
      </w:r>
      <w:r>
        <w:fldChar w:fldCharType="separate"/>
      </w:r>
      <w:r>
        <w:t>66</w:t>
      </w:r>
      <w:r>
        <w:fldChar w:fldCharType="end"/>
      </w:r>
    </w:p>
    <w:p w14:paraId="2119E049" w14:textId="77777777" w:rsidR="0001425C" w:rsidRDefault="0001425C">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_Toc381098141 \h </w:instrText>
      </w:r>
      <w:r>
        <w:fldChar w:fldCharType="separate"/>
      </w:r>
      <w:r>
        <w:t>66</w:t>
      </w:r>
      <w:r>
        <w:fldChar w:fldCharType="end"/>
      </w:r>
    </w:p>
    <w:p w14:paraId="78BE25DC" w14:textId="77777777" w:rsidR="0001425C" w:rsidRDefault="0001425C">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_Toc381098142 \h </w:instrText>
      </w:r>
      <w:r>
        <w:rPr>
          <w:noProof/>
        </w:rPr>
      </w:r>
      <w:r>
        <w:rPr>
          <w:noProof/>
        </w:rPr>
        <w:fldChar w:fldCharType="separate"/>
      </w:r>
      <w:r>
        <w:rPr>
          <w:noProof/>
        </w:rPr>
        <w:t>66</w:t>
      </w:r>
      <w:r>
        <w:rPr>
          <w:noProof/>
        </w:rPr>
        <w:fldChar w:fldCharType="end"/>
      </w:r>
    </w:p>
    <w:p w14:paraId="31BF64DB" w14:textId="77777777" w:rsidR="0001425C" w:rsidRDefault="0001425C">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_Toc381098143 \h </w:instrText>
      </w:r>
      <w:r>
        <w:rPr>
          <w:noProof/>
        </w:rPr>
      </w:r>
      <w:r>
        <w:rPr>
          <w:noProof/>
        </w:rPr>
        <w:fldChar w:fldCharType="separate"/>
      </w:r>
      <w:r>
        <w:rPr>
          <w:noProof/>
        </w:rPr>
        <w:t>67</w:t>
      </w:r>
      <w:r>
        <w:rPr>
          <w:noProof/>
        </w:rPr>
        <w:fldChar w:fldCharType="end"/>
      </w:r>
    </w:p>
    <w:p w14:paraId="168CE9AC" w14:textId="77777777" w:rsidR="0001425C" w:rsidRDefault="0001425C">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_Toc381098144 \h </w:instrText>
      </w:r>
      <w:r>
        <w:fldChar w:fldCharType="separate"/>
      </w:r>
      <w:r>
        <w:t>67</w:t>
      </w:r>
      <w:r>
        <w:fldChar w:fldCharType="end"/>
      </w:r>
    </w:p>
    <w:p w14:paraId="36ED233B"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_Toc381098145 \h </w:instrText>
      </w:r>
      <w:r>
        <w:rPr>
          <w:noProof/>
        </w:rPr>
      </w:r>
      <w:r>
        <w:rPr>
          <w:noProof/>
        </w:rPr>
        <w:fldChar w:fldCharType="separate"/>
      </w:r>
      <w:r>
        <w:rPr>
          <w:noProof/>
        </w:rPr>
        <w:t>68</w:t>
      </w:r>
      <w:r>
        <w:rPr>
          <w:noProof/>
        </w:rPr>
        <w:fldChar w:fldCharType="end"/>
      </w:r>
    </w:p>
    <w:p w14:paraId="426D6DAB" w14:textId="77777777" w:rsidR="0001425C" w:rsidRDefault="0001425C">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_Toc381098146 \h </w:instrText>
      </w:r>
      <w:r>
        <w:rPr>
          <w:noProof/>
        </w:rPr>
      </w:r>
      <w:r>
        <w:rPr>
          <w:noProof/>
        </w:rPr>
        <w:fldChar w:fldCharType="separate"/>
      </w:r>
      <w:r>
        <w:rPr>
          <w:noProof/>
        </w:rPr>
        <w:t>68</w:t>
      </w:r>
      <w:r>
        <w:rPr>
          <w:noProof/>
        </w:rPr>
        <w:fldChar w:fldCharType="end"/>
      </w:r>
    </w:p>
    <w:p w14:paraId="7B150DC9" w14:textId="77777777" w:rsidR="0001425C" w:rsidRDefault="0001425C">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_Toc381098147 \h </w:instrText>
      </w:r>
      <w:r>
        <w:rPr>
          <w:noProof/>
        </w:rPr>
      </w:r>
      <w:r>
        <w:rPr>
          <w:noProof/>
        </w:rPr>
        <w:fldChar w:fldCharType="separate"/>
      </w:r>
      <w:r>
        <w:rPr>
          <w:noProof/>
        </w:rPr>
        <w:t>68</w:t>
      </w:r>
      <w:r>
        <w:rPr>
          <w:noProof/>
        </w:rPr>
        <w:fldChar w:fldCharType="end"/>
      </w:r>
    </w:p>
    <w:p w14:paraId="71BEE1F6" w14:textId="77777777" w:rsidR="0001425C" w:rsidRDefault="0001425C">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_Toc381098148 \h </w:instrText>
      </w:r>
      <w:r>
        <w:fldChar w:fldCharType="separate"/>
      </w:r>
      <w:r>
        <w:t>69</w:t>
      </w:r>
      <w:r>
        <w:fldChar w:fldCharType="end"/>
      </w:r>
    </w:p>
    <w:p w14:paraId="42EF83A4" w14:textId="77777777" w:rsidR="0001425C" w:rsidRDefault="0001425C">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_Toc381098149 \h </w:instrText>
      </w:r>
      <w:r>
        <w:rPr>
          <w:noProof/>
        </w:rPr>
      </w:r>
      <w:r>
        <w:rPr>
          <w:noProof/>
        </w:rPr>
        <w:fldChar w:fldCharType="separate"/>
      </w:r>
      <w:r>
        <w:rPr>
          <w:noProof/>
        </w:rPr>
        <w:t>69</w:t>
      </w:r>
      <w:r>
        <w:rPr>
          <w:noProof/>
        </w:rPr>
        <w:fldChar w:fldCharType="end"/>
      </w:r>
    </w:p>
    <w:p w14:paraId="799A0C5B" w14:textId="77777777" w:rsidR="0001425C" w:rsidRDefault="0001425C">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_Toc381098150 \h </w:instrText>
      </w:r>
      <w:r>
        <w:rPr>
          <w:noProof/>
        </w:rPr>
      </w:r>
      <w:r>
        <w:rPr>
          <w:noProof/>
        </w:rPr>
        <w:fldChar w:fldCharType="separate"/>
      </w:r>
      <w:r>
        <w:rPr>
          <w:noProof/>
        </w:rPr>
        <w:t>69</w:t>
      </w:r>
      <w:r>
        <w:rPr>
          <w:noProof/>
        </w:rPr>
        <w:fldChar w:fldCharType="end"/>
      </w:r>
    </w:p>
    <w:p w14:paraId="25D900D6" w14:textId="77777777" w:rsidR="0001425C" w:rsidRDefault="0001425C">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_Toc381098151 \h </w:instrText>
      </w:r>
      <w:r>
        <w:rPr>
          <w:noProof/>
        </w:rPr>
      </w:r>
      <w:r>
        <w:rPr>
          <w:noProof/>
        </w:rPr>
        <w:fldChar w:fldCharType="separate"/>
      </w:r>
      <w:r>
        <w:rPr>
          <w:noProof/>
        </w:rPr>
        <w:t>69</w:t>
      </w:r>
      <w:r>
        <w:rPr>
          <w:noProof/>
        </w:rPr>
        <w:fldChar w:fldCharType="end"/>
      </w:r>
    </w:p>
    <w:p w14:paraId="1101DC4D" w14:textId="77777777" w:rsidR="0001425C" w:rsidRDefault="0001425C">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_Toc381098152 \h </w:instrText>
      </w:r>
      <w:r>
        <w:rPr>
          <w:noProof/>
        </w:rPr>
      </w:r>
      <w:r>
        <w:rPr>
          <w:noProof/>
        </w:rPr>
        <w:fldChar w:fldCharType="separate"/>
      </w:r>
      <w:r>
        <w:rPr>
          <w:noProof/>
        </w:rPr>
        <w:t>70</w:t>
      </w:r>
      <w:r>
        <w:rPr>
          <w:noProof/>
        </w:rPr>
        <w:fldChar w:fldCharType="end"/>
      </w:r>
    </w:p>
    <w:p w14:paraId="0F6D1F30" w14:textId="77777777" w:rsidR="0001425C" w:rsidRDefault="0001425C">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_Toc381098153 \h </w:instrText>
      </w:r>
      <w:r>
        <w:fldChar w:fldCharType="separate"/>
      </w:r>
      <w:r>
        <w:t>70</w:t>
      </w:r>
      <w:r>
        <w:fldChar w:fldCharType="end"/>
      </w:r>
    </w:p>
    <w:p w14:paraId="6852242A" w14:textId="77777777" w:rsidR="0001425C" w:rsidRDefault="0001425C">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_Toc381098154 \h </w:instrText>
      </w:r>
      <w:r>
        <w:rPr>
          <w:noProof/>
        </w:rPr>
      </w:r>
      <w:r>
        <w:rPr>
          <w:noProof/>
        </w:rPr>
        <w:fldChar w:fldCharType="separate"/>
      </w:r>
      <w:r>
        <w:rPr>
          <w:noProof/>
        </w:rPr>
        <w:t>71</w:t>
      </w:r>
      <w:r>
        <w:rPr>
          <w:noProof/>
        </w:rPr>
        <w:fldChar w:fldCharType="end"/>
      </w:r>
    </w:p>
    <w:p w14:paraId="32425426" w14:textId="77777777" w:rsidR="0001425C" w:rsidRDefault="0001425C">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_Toc381098155 \h </w:instrText>
      </w:r>
      <w:r>
        <w:rPr>
          <w:noProof/>
        </w:rPr>
      </w:r>
      <w:r>
        <w:rPr>
          <w:noProof/>
        </w:rPr>
        <w:fldChar w:fldCharType="separate"/>
      </w:r>
      <w:r>
        <w:rPr>
          <w:noProof/>
        </w:rPr>
        <w:t>73</w:t>
      </w:r>
      <w:r>
        <w:rPr>
          <w:noProof/>
        </w:rPr>
        <w:fldChar w:fldCharType="end"/>
      </w:r>
    </w:p>
    <w:p w14:paraId="35A2F711" w14:textId="77777777" w:rsidR="0001425C" w:rsidRDefault="0001425C">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_Toc381098156 \h </w:instrText>
      </w:r>
      <w:r>
        <w:rPr>
          <w:noProof/>
        </w:rPr>
      </w:r>
      <w:r>
        <w:rPr>
          <w:noProof/>
        </w:rPr>
        <w:fldChar w:fldCharType="separate"/>
      </w:r>
      <w:r>
        <w:rPr>
          <w:noProof/>
        </w:rPr>
        <w:t>73</w:t>
      </w:r>
      <w:r>
        <w:rPr>
          <w:noProof/>
        </w:rPr>
        <w:fldChar w:fldCharType="end"/>
      </w:r>
    </w:p>
    <w:p w14:paraId="47ED2908" w14:textId="77777777" w:rsidR="0001425C" w:rsidRDefault="0001425C">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_Toc381098157 \h </w:instrText>
      </w:r>
      <w:r>
        <w:rPr>
          <w:noProof/>
        </w:rPr>
      </w:r>
      <w:r>
        <w:rPr>
          <w:noProof/>
        </w:rPr>
        <w:fldChar w:fldCharType="separate"/>
      </w:r>
      <w:r>
        <w:rPr>
          <w:noProof/>
        </w:rPr>
        <w:t>74</w:t>
      </w:r>
      <w:r>
        <w:rPr>
          <w:noProof/>
        </w:rPr>
        <w:fldChar w:fldCharType="end"/>
      </w:r>
    </w:p>
    <w:p w14:paraId="704BFA49" w14:textId="77777777" w:rsidR="0001425C" w:rsidRDefault="0001425C">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_Toc381098158 \h </w:instrText>
      </w:r>
      <w:r>
        <w:fldChar w:fldCharType="separate"/>
      </w:r>
      <w:r>
        <w:t>75</w:t>
      </w:r>
      <w:r>
        <w:fldChar w:fldCharType="end"/>
      </w:r>
    </w:p>
    <w:p w14:paraId="2DCDAF51" w14:textId="77777777" w:rsidR="0001425C" w:rsidRDefault="0001425C">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_Toc381098159 \h </w:instrText>
      </w:r>
      <w:r>
        <w:rPr>
          <w:noProof/>
        </w:rPr>
      </w:r>
      <w:r>
        <w:rPr>
          <w:noProof/>
        </w:rPr>
        <w:fldChar w:fldCharType="separate"/>
      </w:r>
      <w:r>
        <w:rPr>
          <w:noProof/>
        </w:rPr>
        <w:t>76</w:t>
      </w:r>
      <w:r>
        <w:rPr>
          <w:noProof/>
        </w:rPr>
        <w:fldChar w:fldCharType="end"/>
      </w:r>
    </w:p>
    <w:p w14:paraId="46CB8660" w14:textId="77777777" w:rsidR="0001425C" w:rsidRDefault="0001425C">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_Toc381098160 \h </w:instrText>
      </w:r>
      <w:r>
        <w:rPr>
          <w:noProof/>
        </w:rPr>
      </w:r>
      <w:r>
        <w:rPr>
          <w:noProof/>
        </w:rPr>
        <w:fldChar w:fldCharType="separate"/>
      </w:r>
      <w:r>
        <w:rPr>
          <w:noProof/>
        </w:rPr>
        <w:t>77</w:t>
      </w:r>
      <w:r>
        <w:rPr>
          <w:noProof/>
        </w:rPr>
        <w:fldChar w:fldCharType="end"/>
      </w:r>
    </w:p>
    <w:p w14:paraId="08EEE373" w14:textId="77777777" w:rsidR="0001425C" w:rsidRDefault="0001425C">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_Toc381098161 \h </w:instrText>
      </w:r>
      <w:r>
        <w:rPr>
          <w:noProof/>
        </w:rPr>
      </w:r>
      <w:r>
        <w:rPr>
          <w:noProof/>
        </w:rPr>
        <w:fldChar w:fldCharType="separate"/>
      </w:r>
      <w:r>
        <w:rPr>
          <w:noProof/>
        </w:rPr>
        <w:t>77</w:t>
      </w:r>
      <w:r>
        <w:rPr>
          <w:noProof/>
        </w:rPr>
        <w:fldChar w:fldCharType="end"/>
      </w:r>
    </w:p>
    <w:p w14:paraId="4F986CB2" w14:textId="77777777" w:rsidR="0001425C" w:rsidRDefault="0001425C">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_Toc381098162 \h </w:instrText>
      </w:r>
      <w:r>
        <w:rPr>
          <w:noProof/>
        </w:rPr>
      </w:r>
      <w:r>
        <w:rPr>
          <w:noProof/>
        </w:rPr>
        <w:fldChar w:fldCharType="separate"/>
      </w:r>
      <w:r>
        <w:rPr>
          <w:noProof/>
        </w:rPr>
        <w:t>78</w:t>
      </w:r>
      <w:r>
        <w:rPr>
          <w:noProof/>
        </w:rPr>
        <w:fldChar w:fldCharType="end"/>
      </w:r>
    </w:p>
    <w:p w14:paraId="258ED22A" w14:textId="77777777" w:rsidR="0001425C" w:rsidRDefault="0001425C">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_Toc381098163 \h </w:instrText>
      </w:r>
      <w:r>
        <w:rPr>
          <w:noProof/>
        </w:rPr>
      </w:r>
      <w:r>
        <w:rPr>
          <w:noProof/>
        </w:rPr>
        <w:fldChar w:fldCharType="separate"/>
      </w:r>
      <w:r>
        <w:rPr>
          <w:noProof/>
        </w:rPr>
        <w:t>79</w:t>
      </w:r>
      <w:r>
        <w:rPr>
          <w:noProof/>
        </w:rPr>
        <w:fldChar w:fldCharType="end"/>
      </w:r>
    </w:p>
    <w:p w14:paraId="73216581" w14:textId="77777777" w:rsidR="0001425C" w:rsidRDefault="0001425C">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_Toc381098164 \h </w:instrText>
      </w:r>
      <w:r>
        <w:rPr>
          <w:noProof/>
        </w:rPr>
      </w:r>
      <w:r>
        <w:rPr>
          <w:noProof/>
        </w:rPr>
        <w:fldChar w:fldCharType="separate"/>
      </w:r>
      <w:r>
        <w:rPr>
          <w:noProof/>
        </w:rPr>
        <w:t>80</w:t>
      </w:r>
      <w:r>
        <w:rPr>
          <w:noProof/>
        </w:rPr>
        <w:fldChar w:fldCharType="end"/>
      </w:r>
    </w:p>
    <w:p w14:paraId="633FF44E" w14:textId="77777777" w:rsidR="0001425C" w:rsidRDefault="0001425C">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_Toc381098165 \h </w:instrText>
      </w:r>
      <w:r>
        <w:rPr>
          <w:noProof/>
        </w:rPr>
      </w:r>
      <w:r>
        <w:rPr>
          <w:noProof/>
        </w:rPr>
        <w:fldChar w:fldCharType="separate"/>
      </w:r>
      <w:r>
        <w:rPr>
          <w:noProof/>
        </w:rPr>
        <w:t>81</w:t>
      </w:r>
      <w:r>
        <w:rPr>
          <w:noProof/>
        </w:rPr>
        <w:fldChar w:fldCharType="end"/>
      </w:r>
    </w:p>
    <w:p w14:paraId="278C4A80" w14:textId="77777777" w:rsidR="0001425C" w:rsidRDefault="0001425C">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_Toc381098166 \h </w:instrText>
      </w:r>
      <w:r>
        <w:rPr>
          <w:noProof/>
        </w:rPr>
      </w:r>
      <w:r>
        <w:rPr>
          <w:noProof/>
        </w:rPr>
        <w:fldChar w:fldCharType="separate"/>
      </w:r>
      <w:r>
        <w:rPr>
          <w:noProof/>
        </w:rPr>
        <w:t>82</w:t>
      </w:r>
      <w:r>
        <w:rPr>
          <w:noProof/>
        </w:rPr>
        <w:fldChar w:fldCharType="end"/>
      </w:r>
    </w:p>
    <w:p w14:paraId="4C12D522" w14:textId="77777777" w:rsidR="0001425C" w:rsidRDefault="0001425C">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_Toc381098167 \h </w:instrText>
      </w:r>
      <w:r>
        <w:rPr>
          <w:noProof/>
        </w:rPr>
      </w:r>
      <w:r>
        <w:rPr>
          <w:noProof/>
        </w:rPr>
        <w:fldChar w:fldCharType="separate"/>
      </w:r>
      <w:r>
        <w:rPr>
          <w:noProof/>
        </w:rPr>
        <w:t>83</w:t>
      </w:r>
      <w:r>
        <w:rPr>
          <w:noProof/>
        </w:rPr>
        <w:fldChar w:fldCharType="end"/>
      </w:r>
    </w:p>
    <w:p w14:paraId="098761E1" w14:textId="77777777" w:rsidR="0001425C" w:rsidRDefault="0001425C">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_Toc381098168 \h </w:instrText>
      </w:r>
      <w:r>
        <w:fldChar w:fldCharType="separate"/>
      </w:r>
      <w:r>
        <w:t>84</w:t>
      </w:r>
      <w:r>
        <w:fldChar w:fldCharType="end"/>
      </w:r>
    </w:p>
    <w:p w14:paraId="29C2B720" w14:textId="77777777" w:rsidR="0001425C" w:rsidRDefault="0001425C">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_Toc381098169 \h </w:instrText>
      </w:r>
      <w:r>
        <w:fldChar w:fldCharType="separate"/>
      </w:r>
      <w:r>
        <w:t>84</w:t>
      </w:r>
      <w:r>
        <w:fldChar w:fldCharType="end"/>
      </w:r>
    </w:p>
    <w:p w14:paraId="2DF81DEB" w14:textId="77777777" w:rsidR="0001425C" w:rsidRDefault="0001425C">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_Toc381098170 \h </w:instrText>
      </w:r>
      <w:r>
        <w:fldChar w:fldCharType="separate"/>
      </w:r>
      <w:r>
        <w:t>85</w:t>
      </w:r>
      <w:r>
        <w:fldChar w:fldCharType="end"/>
      </w:r>
    </w:p>
    <w:p w14:paraId="22A08B4D" w14:textId="77777777" w:rsidR="0001425C" w:rsidRDefault="0001425C">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_Toc381098171 \h </w:instrText>
      </w:r>
      <w:r>
        <w:rPr>
          <w:noProof/>
        </w:rPr>
      </w:r>
      <w:r>
        <w:rPr>
          <w:noProof/>
        </w:rPr>
        <w:fldChar w:fldCharType="separate"/>
      </w:r>
      <w:r>
        <w:rPr>
          <w:noProof/>
        </w:rPr>
        <w:t>87</w:t>
      </w:r>
      <w:r>
        <w:rPr>
          <w:noProof/>
        </w:rPr>
        <w:fldChar w:fldCharType="end"/>
      </w:r>
    </w:p>
    <w:p w14:paraId="040CD507" w14:textId="77777777" w:rsidR="0001425C" w:rsidRDefault="0001425C">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_Toc381098172 \h </w:instrText>
      </w:r>
      <w:r>
        <w:rPr>
          <w:noProof/>
        </w:rPr>
      </w:r>
      <w:r>
        <w:rPr>
          <w:noProof/>
        </w:rPr>
        <w:fldChar w:fldCharType="separate"/>
      </w:r>
      <w:r>
        <w:rPr>
          <w:noProof/>
        </w:rPr>
        <w:t>89</w:t>
      </w:r>
      <w:r>
        <w:rPr>
          <w:noProof/>
        </w:rPr>
        <w:fldChar w:fldCharType="end"/>
      </w:r>
    </w:p>
    <w:p w14:paraId="7B552F07" w14:textId="77777777" w:rsidR="0001425C" w:rsidRDefault="0001425C">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_Toc381098173 \h </w:instrText>
      </w:r>
      <w:r>
        <w:rPr>
          <w:noProof/>
        </w:rPr>
      </w:r>
      <w:r>
        <w:rPr>
          <w:noProof/>
        </w:rPr>
        <w:fldChar w:fldCharType="separate"/>
      </w:r>
      <w:r>
        <w:rPr>
          <w:noProof/>
        </w:rPr>
        <w:t>90</w:t>
      </w:r>
      <w:r>
        <w:rPr>
          <w:noProof/>
        </w:rPr>
        <w:fldChar w:fldCharType="end"/>
      </w:r>
    </w:p>
    <w:p w14:paraId="0DFA164F" w14:textId="77777777" w:rsidR="0001425C" w:rsidRDefault="0001425C">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_Toc381098174 \h </w:instrText>
      </w:r>
      <w:r>
        <w:rPr>
          <w:noProof/>
        </w:rPr>
      </w:r>
      <w:r>
        <w:rPr>
          <w:noProof/>
        </w:rPr>
        <w:fldChar w:fldCharType="separate"/>
      </w:r>
      <w:r>
        <w:rPr>
          <w:noProof/>
        </w:rPr>
        <w:t>91</w:t>
      </w:r>
      <w:r>
        <w:rPr>
          <w:noProof/>
        </w:rPr>
        <w:fldChar w:fldCharType="end"/>
      </w:r>
    </w:p>
    <w:p w14:paraId="4E36846E" w14:textId="77777777" w:rsidR="0001425C" w:rsidRDefault="0001425C">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_Toc381098175 \h </w:instrText>
      </w:r>
      <w:r>
        <w:fldChar w:fldCharType="separate"/>
      </w:r>
      <w:r>
        <w:t>93</w:t>
      </w:r>
      <w:r>
        <w:fldChar w:fldCharType="end"/>
      </w:r>
    </w:p>
    <w:p w14:paraId="1C833E7D" w14:textId="77777777" w:rsidR="0001425C" w:rsidRDefault="0001425C">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_Toc381098176 \h </w:instrText>
      </w:r>
      <w:r>
        <w:rPr>
          <w:noProof/>
        </w:rPr>
      </w:r>
      <w:r>
        <w:rPr>
          <w:noProof/>
        </w:rPr>
        <w:fldChar w:fldCharType="separate"/>
      </w:r>
      <w:r>
        <w:rPr>
          <w:noProof/>
        </w:rPr>
        <w:t>94</w:t>
      </w:r>
      <w:r>
        <w:rPr>
          <w:noProof/>
        </w:rPr>
        <w:fldChar w:fldCharType="end"/>
      </w:r>
    </w:p>
    <w:p w14:paraId="720102AC" w14:textId="77777777" w:rsidR="0001425C" w:rsidRDefault="0001425C">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_Toc381098177 \h </w:instrText>
      </w:r>
      <w:r>
        <w:rPr>
          <w:noProof/>
        </w:rPr>
      </w:r>
      <w:r>
        <w:rPr>
          <w:noProof/>
        </w:rPr>
        <w:fldChar w:fldCharType="separate"/>
      </w:r>
      <w:r>
        <w:rPr>
          <w:noProof/>
        </w:rPr>
        <w:t>95</w:t>
      </w:r>
      <w:r>
        <w:rPr>
          <w:noProof/>
        </w:rPr>
        <w:fldChar w:fldCharType="end"/>
      </w:r>
    </w:p>
    <w:p w14:paraId="2BD06258" w14:textId="77777777" w:rsidR="0001425C" w:rsidRDefault="0001425C">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_Toc381098178 \h </w:instrText>
      </w:r>
      <w:r>
        <w:fldChar w:fldCharType="separate"/>
      </w:r>
      <w:r>
        <w:t>97</w:t>
      </w:r>
      <w:r>
        <w:fldChar w:fldCharType="end"/>
      </w:r>
    </w:p>
    <w:p w14:paraId="745985FC" w14:textId="77777777" w:rsidR="0001425C" w:rsidRDefault="0001425C">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_Toc381098179 \h </w:instrText>
      </w:r>
      <w:r>
        <w:fldChar w:fldCharType="separate"/>
      </w:r>
      <w:r>
        <w:t>97</w:t>
      </w:r>
      <w:r>
        <w:fldChar w:fldCharType="end"/>
      </w:r>
    </w:p>
    <w:p w14:paraId="29760158" w14:textId="77777777" w:rsidR="0001425C" w:rsidRDefault="0001425C">
      <w:pPr>
        <w:pStyle w:val="TOC3"/>
        <w:rPr>
          <w:rFonts w:eastAsiaTheme="minorEastAsia" w:cstheme="minorBidi"/>
          <w:sz w:val="22"/>
          <w:szCs w:val="22"/>
        </w:rPr>
      </w:pPr>
      <w:r>
        <w:t>10.6</w:t>
      </w:r>
      <w:r>
        <w:rPr>
          <w:rFonts w:eastAsiaTheme="minorEastAsia" w:cstheme="minorBidi"/>
          <w:sz w:val="22"/>
          <w:szCs w:val="22"/>
        </w:rPr>
        <w:tab/>
      </w:r>
      <w:r>
        <w:t>Production Functions</w:t>
      </w:r>
      <w:r>
        <w:tab/>
      </w:r>
      <w:r>
        <w:fldChar w:fldCharType="begin"/>
      </w:r>
      <w:r>
        <w:instrText xml:space="preserve"> PAGEREF _Toc381098180 \h </w:instrText>
      </w:r>
      <w:r>
        <w:fldChar w:fldCharType="separate"/>
      </w:r>
      <w:r>
        <w:t>98</w:t>
      </w:r>
      <w:r>
        <w:fldChar w:fldCharType="end"/>
      </w:r>
    </w:p>
    <w:p w14:paraId="2F1E5CEB" w14:textId="77777777" w:rsidR="0001425C" w:rsidRDefault="0001425C">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_Toc381098181 \h </w:instrText>
      </w:r>
      <w:r>
        <w:fldChar w:fldCharType="separate"/>
      </w:r>
      <w:r>
        <w:t>98</w:t>
      </w:r>
      <w:r>
        <w:fldChar w:fldCharType="end"/>
      </w:r>
    </w:p>
    <w:p w14:paraId="3ADF75F1" w14:textId="77777777" w:rsidR="0001425C" w:rsidRDefault="0001425C">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_Toc381098182 \h </w:instrText>
      </w:r>
      <w:r>
        <w:rPr>
          <w:noProof/>
        </w:rPr>
      </w:r>
      <w:r>
        <w:rPr>
          <w:noProof/>
        </w:rPr>
        <w:fldChar w:fldCharType="separate"/>
      </w:r>
      <w:r>
        <w:rPr>
          <w:noProof/>
        </w:rPr>
        <w:t>99</w:t>
      </w:r>
      <w:r>
        <w:rPr>
          <w:noProof/>
        </w:rPr>
        <w:fldChar w:fldCharType="end"/>
      </w:r>
    </w:p>
    <w:p w14:paraId="29BC7ED6" w14:textId="77777777" w:rsidR="0001425C" w:rsidRDefault="0001425C">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_Toc381098183 \h </w:instrText>
      </w:r>
      <w:r>
        <w:fldChar w:fldCharType="separate"/>
      </w:r>
      <w:r>
        <w:t>100</w:t>
      </w:r>
      <w:r>
        <w:fldChar w:fldCharType="end"/>
      </w:r>
    </w:p>
    <w:p w14:paraId="3F5A9AE1" w14:textId="77777777" w:rsidR="0001425C" w:rsidRDefault="0001425C">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_Toc381098184 \h </w:instrText>
      </w:r>
      <w:r>
        <w:fldChar w:fldCharType="separate"/>
      </w:r>
      <w:r>
        <w:t>101</w:t>
      </w:r>
      <w:r>
        <w:fldChar w:fldCharType="end"/>
      </w:r>
    </w:p>
    <w:p w14:paraId="11F479FD" w14:textId="77777777" w:rsidR="0001425C" w:rsidRDefault="0001425C">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_Toc381098185 \h </w:instrText>
      </w:r>
      <w:r>
        <w:fldChar w:fldCharType="separate"/>
      </w:r>
      <w:r>
        <w:t>103</w:t>
      </w:r>
      <w:r>
        <w:fldChar w:fldCharType="end"/>
      </w:r>
    </w:p>
    <w:p w14:paraId="6AF8A6FD" w14:textId="77777777" w:rsidR="0001425C" w:rsidRDefault="0001425C">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_Toc381098186 \h </w:instrText>
      </w:r>
      <w:r>
        <w:fldChar w:fldCharType="separate"/>
      </w:r>
      <w:r>
        <w:t>103</w:t>
      </w:r>
      <w:r>
        <w:fldChar w:fldCharType="end"/>
      </w:r>
    </w:p>
    <w:p w14:paraId="602B2E12" w14:textId="77777777" w:rsidR="0001425C" w:rsidRDefault="0001425C">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_Toc381098187 \h </w:instrText>
      </w:r>
      <w:r>
        <w:fldChar w:fldCharType="separate"/>
      </w:r>
      <w:r>
        <w:t>104</w:t>
      </w:r>
      <w:r>
        <w:fldChar w:fldCharType="end"/>
      </w:r>
    </w:p>
    <w:p w14:paraId="7393539C" w14:textId="77777777" w:rsidR="0001425C" w:rsidRDefault="0001425C">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_Toc381098188 \h </w:instrText>
      </w:r>
      <w:r>
        <w:fldChar w:fldCharType="separate"/>
      </w:r>
      <w:r>
        <w:t>106</w:t>
      </w:r>
      <w:r>
        <w:fldChar w:fldCharType="end"/>
      </w:r>
    </w:p>
    <w:p w14:paraId="75FB772A" w14:textId="77777777" w:rsidR="0001425C" w:rsidRDefault="0001425C">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_Toc381098189 \h </w:instrText>
      </w:r>
      <w:r>
        <w:fldChar w:fldCharType="separate"/>
      </w:r>
      <w:r>
        <w:t>106</w:t>
      </w:r>
      <w:r>
        <w:fldChar w:fldCharType="end"/>
      </w:r>
    </w:p>
    <w:p w14:paraId="4B176AE3" w14:textId="77777777" w:rsidR="0001425C" w:rsidRDefault="0001425C">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_Toc381098190 \h </w:instrText>
      </w:r>
      <w:r>
        <w:rPr>
          <w:noProof/>
        </w:rPr>
      </w:r>
      <w:r>
        <w:rPr>
          <w:noProof/>
        </w:rPr>
        <w:fldChar w:fldCharType="separate"/>
      </w:r>
      <w:r>
        <w:rPr>
          <w:noProof/>
        </w:rPr>
        <w:t>106</w:t>
      </w:r>
      <w:r>
        <w:rPr>
          <w:noProof/>
        </w:rPr>
        <w:fldChar w:fldCharType="end"/>
      </w:r>
    </w:p>
    <w:p w14:paraId="5C6C5E34" w14:textId="77777777" w:rsidR="0001425C" w:rsidRDefault="0001425C">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_Toc381098191 \h </w:instrText>
      </w:r>
      <w:r>
        <w:rPr>
          <w:noProof/>
        </w:rPr>
      </w:r>
      <w:r>
        <w:rPr>
          <w:noProof/>
        </w:rPr>
        <w:fldChar w:fldCharType="separate"/>
      </w:r>
      <w:r>
        <w:rPr>
          <w:noProof/>
        </w:rPr>
        <w:t>107</w:t>
      </w:r>
      <w:r>
        <w:rPr>
          <w:noProof/>
        </w:rPr>
        <w:fldChar w:fldCharType="end"/>
      </w:r>
    </w:p>
    <w:p w14:paraId="4466E5A1" w14:textId="77777777" w:rsidR="0001425C" w:rsidRDefault="0001425C">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_Toc381098192 \h </w:instrText>
      </w:r>
      <w:r>
        <w:fldChar w:fldCharType="separate"/>
      </w:r>
      <w:r>
        <w:t>108</w:t>
      </w:r>
      <w:r>
        <w:fldChar w:fldCharType="end"/>
      </w:r>
    </w:p>
    <w:p w14:paraId="3A842B2E" w14:textId="77777777" w:rsidR="0001425C" w:rsidRDefault="0001425C">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_Toc381098193 \h </w:instrText>
      </w:r>
      <w:r>
        <w:fldChar w:fldCharType="separate"/>
      </w:r>
      <w:r>
        <w:t>109</w:t>
      </w:r>
      <w:r>
        <w:fldChar w:fldCharType="end"/>
      </w:r>
    </w:p>
    <w:p w14:paraId="7B794771" w14:textId="77777777" w:rsidR="0001425C" w:rsidRDefault="0001425C">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_Toc381098194 \h </w:instrText>
      </w:r>
      <w:r>
        <w:fldChar w:fldCharType="separate"/>
      </w:r>
      <w:r>
        <w:t>110</w:t>
      </w:r>
      <w:r>
        <w:fldChar w:fldCharType="end"/>
      </w:r>
    </w:p>
    <w:p w14:paraId="76B6C20B" w14:textId="77777777" w:rsidR="0001425C" w:rsidRDefault="0001425C">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_Toc381098195 \h </w:instrText>
      </w:r>
      <w:r>
        <w:fldChar w:fldCharType="separate"/>
      </w:r>
      <w:r>
        <w:t>111</w:t>
      </w:r>
      <w:r>
        <w:fldChar w:fldCharType="end"/>
      </w:r>
    </w:p>
    <w:p w14:paraId="5C3F13E9" w14:textId="77777777" w:rsidR="0001425C" w:rsidRDefault="0001425C">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_Toc381098196 \h </w:instrText>
      </w:r>
      <w:r>
        <w:fldChar w:fldCharType="separate"/>
      </w:r>
      <w:r>
        <w:t>111</w:t>
      </w:r>
      <w:r>
        <w:fldChar w:fldCharType="end"/>
      </w:r>
    </w:p>
    <w:p w14:paraId="7AEBAB7B" w14:textId="77777777" w:rsidR="0001425C" w:rsidRDefault="0001425C">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_Toc381098197 \h </w:instrText>
      </w:r>
      <w:r>
        <w:fldChar w:fldCharType="separate"/>
      </w:r>
      <w:r>
        <w:t>111</w:t>
      </w:r>
      <w:r>
        <w:fldChar w:fldCharType="end"/>
      </w:r>
    </w:p>
    <w:p w14:paraId="3E1E85B8" w14:textId="77777777" w:rsidR="0001425C" w:rsidRDefault="0001425C">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_Toc381098198 \h </w:instrText>
      </w:r>
      <w:r>
        <w:fldChar w:fldCharType="separate"/>
      </w:r>
      <w:r>
        <w:t>111</w:t>
      </w:r>
      <w:r>
        <w:fldChar w:fldCharType="end"/>
      </w:r>
    </w:p>
    <w:p w14:paraId="33FCBD3C" w14:textId="77777777" w:rsidR="0001425C" w:rsidRDefault="0001425C">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_Toc381098199 \h </w:instrText>
      </w:r>
      <w:r>
        <w:fldChar w:fldCharType="separate"/>
      </w:r>
      <w:r>
        <w:t>112</w:t>
      </w:r>
      <w:r>
        <w:fldChar w:fldCharType="end"/>
      </w:r>
    </w:p>
    <w:p w14:paraId="01F47507" w14:textId="77777777" w:rsidR="0001425C" w:rsidRDefault="0001425C">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_Toc381098200 \h </w:instrText>
      </w:r>
      <w:r>
        <w:fldChar w:fldCharType="separate"/>
      </w:r>
      <w:r>
        <w:t>112</w:t>
      </w:r>
      <w:r>
        <w:fldChar w:fldCharType="end"/>
      </w:r>
    </w:p>
    <w:p w14:paraId="1A3A32EF" w14:textId="77777777" w:rsidR="0001425C" w:rsidRDefault="0001425C">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_Toc381098201 \h </w:instrText>
      </w:r>
      <w:r>
        <w:fldChar w:fldCharType="separate"/>
      </w:r>
      <w:r>
        <w:t>112</w:t>
      </w:r>
      <w:r>
        <w:fldChar w:fldCharType="end"/>
      </w:r>
    </w:p>
    <w:p w14:paraId="45C0C6CE" w14:textId="77777777" w:rsidR="0001425C" w:rsidRDefault="0001425C">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fldChar w:fldCharType="begin"/>
      </w:r>
      <w:r>
        <w:instrText xml:space="preserve"> PAGEREF _Toc381098202 \h </w:instrText>
      </w:r>
      <w:r>
        <w:fldChar w:fldCharType="separate"/>
      </w:r>
      <w:r>
        <w:t>113</w:t>
      </w:r>
      <w:r>
        <w:fldChar w:fldCharType="end"/>
      </w:r>
    </w:p>
    <w:p w14:paraId="0F979E5C" w14:textId="77777777" w:rsidR="0001425C" w:rsidRDefault="0001425C">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_Toc381098203 \h </w:instrText>
      </w:r>
      <w:r>
        <w:fldChar w:fldCharType="separate"/>
      </w:r>
      <w:r>
        <w:t>114</w:t>
      </w:r>
      <w:r>
        <w:fldChar w:fldCharType="end"/>
      </w:r>
    </w:p>
    <w:p w14:paraId="46A2FAE0" w14:textId="77777777" w:rsidR="0001425C" w:rsidRDefault="0001425C">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_Toc381098204 \h </w:instrText>
      </w:r>
      <w:r>
        <w:fldChar w:fldCharType="separate"/>
      </w:r>
      <w:r>
        <w:t>114</w:t>
      </w:r>
      <w:r>
        <w:fldChar w:fldCharType="end"/>
      </w:r>
    </w:p>
    <w:p w14:paraId="757F39D7" w14:textId="77777777" w:rsidR="0001425C" w:rsidRDefault="0001425C">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_Toc381098205 \h </w:instrText>
      </w:r>
      <w:r>
        <w:fldChar w:fldCharType="separate"/>
      </w:r>
      <w:r>
        <w:t>115</w:t>
      </w:r>
      <w:r>
        <w:fldChar w:fldCharType="end"/>
      </w:r>
    </w:p>
    <w:p w14:paraId="2CDADE79" w14:textId="77777777" w:rsidR="0001425C" w:rsidRDefault="0001425C">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_Toc381098206 \h </w:instrText>
      </w:r>
      <w:r>
        <w:fldChar w:fldCharType="separate"/>
      </w:r>
      <w:r>
        <w:t>116</w:t>
      </w:r>
      <w:r>
        <w:fldChar w:fldCharType="end"/>
      </w:r>
    </w:p>
    <w:p w14:paraId="63959B0D" w14:textId="77777777" w:rsidR="0001425C" w:rsidRDefault="0001425C">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_Toc381098207 \h </w:instrText>
      </w:r>
      <w:r>
        <w:rPr>
          <w:noProof/>
        </w:rPr>
      </w:r>
      <w:r>
        <w:rPr>
          <w:noProof/>
        </w:rPr>
        <w:fldChar w:fldCharType="separate"/>
      </w:r>
      <w:r>
        <w:rPr>
          <w:noProof/>
        </w:rPr>
        <w:t>117</w:t>
      </w:r>
      <w:r>
        <w:rPr>
          <w:noProof/>
        </w:rPr>
        <w:fldChar w:fldCharType="end"/>
      </w:r>
    </w:p>
    <w:p w14:paraId="7D6A2C6B" w14:textId="77777777" w:rsidR="0001425C" w:rsidRDefault="0001425C">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_Toc381098208 \h </w:instrText>
      </w:r>
      <w:r>
        <w:rPr>
          <w:noProof/>
        </w:rPr>
      </w:r>
      <w:r>
        <w:rPr>
          <w:noProof/>
        </w:rPr>
        <w:fldChar w:fldCharType="separate"/>
      </w:r>
      <w:r>
        <w:rPr>
          <w:noProof/>
        </w:rPr>
        <w:t>117</w:t>
      </w:r>
      <w:r>
        <w:rPr>
          <w:noProof/>
        </w:rPr>
        <w:fldChar w:fldCharType="end"/>
      </w:r>
    </w:p>
    <w:p w14:paraId="6D36F7E2" w14:textId="77777777" w:rsidR="0001425C" w:rsidRDefault="0001425C">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_Toc381098209 \h </w:instrText>
      </w:r>
      <w:r>
        <w:rPr>
          <w:noProof/>
        </w:rPr>
      </w:r>
      <w:r>
        <w:rPr>
          <w:noProof/>
        </w:rPr>
        <w:fldChar w:fldCharType="separate"/>
      </w:r>
      <w:r>
        <w:rPr>
          <w:noProof/>
        </w:rPr>
        <w:t>118</w:t>
      </w:r>
      <w:r>
        <w:rPr>
          <w:noProof/>
        </w:rPr>
        <w:fldChar w:fldCharType="end"/>
      </w:r>
    </w:p>
    <w:p w14:paraId="70D09268" w14:textId="77777777" w:rsidR="0001425C" w:rsidRDefault="0001425C">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_Toc381098210 \h </w:instrText>
      </w:r>
      <w:r>
        <w:rPr>
          <w:noProof/>
        </w:rPr>
      </w:r>
      <w:r>
        <w:rPr>
          <w:noProof/>
        </w:rPr>
        <w:fldChar w:fldCharType="separate"/>
      </w:r>
      <w:r>
        <w:rPr>
          <w:noProof/>
        </w:rPr>
        <w:t>119</w:t>
      </w:r>
      <w:r>
        <w:rPr>
          <w:noProof/>
        </w:rPr>
        <w:fldChar w:fldCharType="end"/>
      </w:r>
    </w:p>
    <w:p w14:paraId="0C8DA2FC" w14:textId="77777777" w:rsidR="0001425C" w:rsidRDefault="0001425C">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_Toc381098211 \h </w:instrText>
      </w:r>
      <w:r>
        <w:fldChar w:fldCharType="separate"/>
      </w:r>
      <w:r>
        <w:t>119</w:t>
      </w:r>
      <w:r>
        <w:fldChar w:fldCharType="end"/>
      </w:r>
    </w:p>
    <w:p w14:paraId="30B2531F" w14:textId="77777777" w:rsidR="0001425C" w:rsidRDefault="0001425C">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_Toc381098212 \h </w:instrText>
      </w:r>
      <w:r>
        <w:rPr>
          <w:noProof/>
        </w:rPr>
      </w:r>
      <w:r>
        <w:rPr>
          <w:noProof/>
        </w:rPr>
        <w:fldChar w:fldCharType="separate"/>
      </w:r>
      <w:r>
        <w:rPr>
          <w:noProof/>
        </w:rPr>
        <w:t>122</w:t>
      </w:r>
      <w:r>
        <w:rPr>
          <w:noProof/>
        </w:rPr>
        <w:fldChar w:fldCharType="end"/>
      </w:r>
    </w:p>
    <w:p w14:paraId="442BA13B" w14:textId="77777777" w:rsidR="0001425C" w:rsidRDefault="0001425C">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_Toc381098213 \h </w:instrText>
      </w:r>
      <w:r>
        <w:fldChar w:fldCharType="separate"/>
      </w:r>
      <w:r>
        <w:t>123</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1" w:name="_Ref339608700"/>
      <w:bookmarkStart w:id="2" w:name="_Toc381098035"/>
      <w:r>
        <w:lastRenderedPageBreak/>
        <w:t>Models</w:t>
      </w:r>
      <w:bookmarkEnd w:id="1"/>
      <w:bookmarkEnd w:id="2"/>
    </w:p>
    <w:p w14:paraId="59759BF2" w14:textId="77777777" w:rsidR="009875C8" w:rsidRDefault="009875C8" w:rsidP="009875C8"/>
    <w:p w14:paraId="0FEC7B84" w14:textId="77777777" w:rsidR="000604F7" w:rsidRDefault="000604F7" w:rsidP="00B80934">
      <w:pPr>
        <w:pStyle w:val="Heading2"/>
        <w:numPr>
          <w:ilvl w:val="1"/>
          <w:numId w:val="11"/>
        </w:numPr>
      </w:pPr>
      <w:bookmarkStart w:id="3" w:name="_Toc310421729"/>
      <w:bookmarkStart w:id="4" w:name="_Toc381098036"/>
      <w:r>
        <w:lastRenderedPageBreak/>
        <w:t>Introduction</w:t>
      </w:r>
      <w:bookmarkEnd w:id="3"/>
      <w:bookmarkEnd w:id="4"/>
    </w:p>
    <w:p w14:paraId="7E4B404E" w14:textId="38C2B1A2"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0135AC">
        <w:t>2</w:t>
      </w:r>
      <w:r w:rsidR="001F15B9">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5" w:name="_Toc310421730"/>
      <w:bookmarkStart w:id="6" w:name="_Toc381098037"/>
      <w:r w:rsidRPr="001C1CCF">
        <w:t>Overview</w:t>
      </w:r>
      <w:bookmarkEnd w:id="5"/>
      <w:bookmarkEnd w:id="6"/>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7" w:name="__RefHeading__30675922"/>
      <w:bookmarkStart w:id="8" w:name="_Toc310421731"/>
      <w:bookmarkStart w:id="9" w:name="_Toc381098038"/>
      <w:r>
        <w:t>Other Documents</w:t>
      </w:r>
      <w:bookmarkEnd w:id="7"/>
      <w:bookmarkEnd w:id="8"/>
      <w:bookmarkEnd w:id="9"/>
    </w:p>
    <w:p w14:paraId="37B668D4" w14:textId="682B6DB1"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Documentation in the "docs" directory include:</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29B801B" w14:textId="45D9A84C" w:rsidR="0001425C" w:rsidRDefault="0001425C" w:rsidP="000604F7">
      <w:pPr>
        <w:pStyle w:val="Heading3"/>
      </w:pPr>
      <w:bookmarkStart w:id="10" w:name="_Toc310421732"/>
      <w:bookmarkStart w:id="11" w:name="_Toc381098039"/>
      <w:r>
        <w:t>Changes for Athena 7</w:t>
      </w:r>
    </w:p>
    <w:p w14:paraId="228E3D7D" w14:textId="6DDB7374" w:rsidR="0001425C" w:rsidRDefault="0001425C" w:rsidP="0001425C">
      <w:r>
        <w:t>Athena 7 includes the following model changes:</w:t>
      </w:r>
    </w:p>
    <w:p w14:paraId="4A1A4BD1" w14:textId="77777777" w:rsidR="0001425C" w:rsidRDefault="0001425C" w:rsidP="0001425C"/>
    <w:p w14:paraId="16E923E0" w14:textId="704B0B85" w:rsidR="0001425C" w:rsidRPr="0001425C" w:rsidRDefault="0001425C" w:rsidP="0001425C">
      <w:pPr>
        <w:pStyle w:val="ListParagraph"/>
        <w:numPr>
          <w:ilvl w:val="0"/>
          <w:numId w:val="65"/>
        </w:numPr>
      </w:pPr>
      <w:r>
        <w:t>The "uniformed force vs. non-uniformed force" models have been removed from Athena's attrition model; they were prototype models dating back to Athena 1, and have not proven useful.  The mechanism for attriting units and assessing attitude changes has been retained, and is accessed via the ATTRIT tactic.</w:t>
      </w:r>
      <w:bookmarkStart w:id="12" w:name="_GoBack"/>
      <w:bookmarkEnd w:id="12"/>
    </w:p>
    <w:p w14:paraId="4D6F2FB7" w14:textId="77777777" w:rsidR="00825F9D" w:rsidRDefault="00D85867" w:rsidP="000604F7">
      <w:pPr>
        <w:pStyle w:val="Heading3"/>
      </w:pPr>
      <w:r>
        <w:t>Changes</w:t>
      </w:r>
      <w:r w:rsidR="00825F9D">
        <w:t xml:space="preserve"> for Athena 6</w:t>
      </w:r>
      <w:bookmarkEnd w:id="11"/>
    </w:p>
    <w:p w14:paraId="6934B0F0" w14:textId="77777777"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47DCF478" w14:textId="77777777" w:rsidR="0001425C" w:rsidRDefault="0001425C" w:rsidP="00825F9D"/>
    <w:p w14:paraId="3D865F17" w14:textId="5717D1EA"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6EE024CC" w14:textId="77777777" w:rsidR="00D85867" w:rsidRPr="00825F9D" w:rsidRDefault="00D85867" w:rsidP="008C4B3D"/>
    <w:p w14:paraId="20BF338F" w14:textId="77777777" w:rsidR="002B6704" w:rsidRDefault="002B6704" w:rsidP="002B6704">
      <w:pPr>
        <w:pStyle w:val="Heading2"/>
      </w:pPr>
      <w:bookmarkStart w:id="13" w:name="_Ref309649305"/>
      <w:bookmarkStart w:id="14" w:name="_Toc310421733"/>
      <w:bookmarkStart w:id="15" w:name="_Toc381098041"/>
      <w:bookmarkEnd w:id="10"/>
      <w:r>
        <w:lastRenderedPageBreak/>
        <w:t>Athena Concepts</w:t>
      </w:r>
      <w:bookmarkEnd w:id="13"/>
      <w:bookmarkEnd w:id="14"/>
      <w:bookmarkEnd w:id="15"/>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0135AC">
        <w:rPr>
          <w:b/>
          <w:bCs/>
        </w:rPr>
        <w:t>Error! Reference source not found.</w:t>
      </w:r>
      <w:r w:rsidR="001F15B9">
        <w:fldChar w:fldCharType="end"/>
      </w:r>
      <w:r>
        <w:t xml:space="preserve"> and following for the detailed models.</w:t>
      </w:r>
    </w:p>
    <w:p w14:paraId="0644E266" w14:textId="77777777" w:rsidR="002B6704" w:rsidRDefault="002B6704" w:rsidP="002B6704">
      <w:pPr>
        <w:pStyle w:val="Heading3"/>
      </w:pPr>
      <w:bookmarkStart w:id="16" w:name="_Toc310421734"/>
      <w:bookmarkStart w:id="17" w:name="_Toc381098042"/>
      <w:r>
        <w:t>Model Parameters</w:t>
      </w:r>
      <w:bookmarkEnd w:id="16"/>
      <w:bookmarkEnd w:id="17"/>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8" w:name="_Toc310421735"/>
      <w:bookmarkStart w:id="19" w:name="_Toc381098043"/>
      <w:r>
        <w:t>Simulated Time</w:t>
      </w:r>
      <w:bookmarkEnd w:id="18"/>
      <w:bookmarkEnd w:id="19"/>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20" w:name="_Toc310421736"/>
      <w:bookmarkStart w:id="21" w:name="_Toc381098044"/>
      <w:r>
        <w:t>Geography</w:t>
      </w:r>
      <w:bookmarkEnd w:id="20"/>
      <w:bookmarkEnd w:id="21"/>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2" w:name="_Toc310421737"/>
      <w:bookmarkStart w:id="23" w:name="_Toc381098045"/>
      <w:r w:rsidRPr="002B6704">
        <w:lastRenderedPageBreak/>
        <w:t>Neighborhoods</w:t>
      </w:r>
      <w:bookmarkEnd w:id="22"/>
      <w:bookmarkEnd w:id="23"/>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19EE24C1" w14:textId="67864397"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r w:rsidR="00B60270" w:rsidRPr="00B60270">
        <w:t xml:space="preserve"> </w:t>
      </w:r>
    </w:p>
    <w:p w14:paraId="6004BA55" w14:textId="77777777" w:rsidR="00B60270" w:rsidRDefault="00B60270" w:rsidP="00B60270"/>
    <w:p w14:paraId="306D2DE4" w14:textId="77777777" w:rsidR="00B60270" w:rsidRDefault="00550916" w:rsidP="00B60270">
      <w:pPr>
        <w:jc w:val="center"/>
      </w:pPr>
      <w:r>
        <w:rPr>
          <w:noProof/>
        </w:rPr>
      </w:r>
      <w:r>
        <w:rPr>
          <w:noProof/>
        </w:rPr>
        <w:pict w14:anchorId="4C9FD665">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2AF0B37D" w14:textId="77777777" w:rsidR="00B60270" w:rsidRDefault="00B6027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F22913B" w14:textId="77777777" w:rsidR="00B60270" w:rsidRDefault="00B6027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1C2A87EF" w14:textId="77777777" w:rsidR="00B60270" w:rsidRDefault="00B6027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26ADAD46" w14:textId="77777777" w:rsidR="00B60270" w:rsidRDefault="00B6027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6FDD1AE9" w14:textId="77777777" w:rsidR="00B60270" w:rsidRDefault="00B6027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105E5D99" w14:textId="77777777" w:rsidR="00B60270" w:rsidRDefault="00B6027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F39814A" w14:textId="77777777" w:rsidR="00B60270" w:rsidRDefault="00B6027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2C21AB08" w14:textId="77777777" w:rsidR="00B60270" w:rsidRDefault="00B6027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22AB1FC2" w14:textId="77777777" w:rsidR="00B60270" w:rsidRDefault="00B60270" w:rsidP="00B60270">
                    <w:r>
                      <w:t>E</w:t>
                    </w:r>
                  </w:p>
                </w:txbxContent>
              </v:textbox>
            </v:shape>
            <w10:wrap type="none"/>
            <w10:anchorlock/>
          </v:group>
        </w:pict>
      </w:r>
    </w:p>
    <w:p w14:paraId="0A820ABF" w14:textId="77777777" w:rsidR="002B6704" w:rsidRDefault="002B6704" w:rsidP="002B6704"/>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4" w:name="_Toc310421738"/>
      <w:bookmarkStart w:id="25" w:name="_Toc381098046"/>
      <w:r>
        <w:lastRenderedPageBreak/>
        <w:t>Neighborhood Proximity</w:t>
      </w:r>
      <w:bookmarkEnd w:id="24"/>
      <w:bookmarkEnd w:id="25"/>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717FCF3" w14:textId="77777777" w:rsidR="00B60270" w:rsidRDefault="00B60270" w:rsidP="00B60270"/>
    <w:p w14:paraId="5E4FCF11" w14:textId="77777777" w:rsidR="00B60270" w:rsidRDefault="00B60270" w:rsidP="00B60270"/>
    <w:p w14:paraId="36C7A262" w14:textId="77777777" w:rsidR="00B60270" w:rsidRDefault="00550916" w:rsidP="00B60270">
      <w:pPr>
        <w:jc w:val="center"/>
      </w:pPr>
      <w:r>
        <w:rPr>
          <w:noProof/>
        </w:rPr>
      </w:r>
      <w:r>
        <w:rPr>
          <w:noProof/>
        </w:rPr>
        <w:pict w14:anchorId="23586530">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12EA161" w14:textId="77777777" w:rsidR="00B60270" w:rsidRDefault="00B6027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44F1CFE5" w14:textId="77777777" w:rsidR="00B60270" w:rsidRDefault="00B6027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0BC14CE0" w14:textId="77777777" w:rsidR="00B60270" w:rsidRDefault="00B6027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11AEE832" w14:textId="77777777" w:rsidR="00B60270" w:rsidRDefault="00B6027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7E0E9031" w14:textId="77777777" w:rsidR="00B60270" w:rsidRDefault="00B6027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0FBE9353" w14:textId="77777777" w:rsidR="00B60270" w:rsidRDefault="00B6027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1D26A3CE" w14:textId="77777777" w:rsidR="00B60270" w:rsidRDefault="00B6027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6E66E8B4" w14:textId="77777777" w:rsidR="00B60270" w:rsidRDefault="00B6027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CFA3D8B" w14:textId="77777777" w:rsidR="00B60270" w:rsidRDefault="00B60270" w:rsidP="00B60270">
                    <w:r>
                      <w:t>E</w:t>
                    </w:r>
                  </w:p>
                </w:txbxContent>
              </v:textbox>
            </v:shape>
            <w10:wrap type="none"/>
            <w10:anchorlock/>
          </v:group>
        </w:pict>
      </w:r>
    </w:p>
    <w:p w14:paraId="23AD4FF6" w14:textId="77777777" w:rsidR="00B60270" w:rsidRDefault="00B60270" w:rsidP="002B6704"/>
    <w:p w14:paraId="1273B06F"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6" w:name="_Toc310421739"/>
      <w:bookmarkStart w:id="27" w:name="_Toc381098047"/>
      <w:r>
        <w:t>Local vs. Non-Local Neighborhoods</w:t>
      </w:r>
      <w:bookmarkEnd w:id="26"/>
      <w:bookmarkEnd w:id="27"/>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8" w:name="_Ref309651430"/>
      <w:bookmarkStart w:id="29" w:name="_Toc310421740"/>
      <w:bookmarkStart w:id="30" w:name="_Toc381098048"/>
      <w:r>
        <w:t>Actors</w:t>
      </w:r>
      <w:bookmarkEnd w:id="28"/>
      <w:bookmarkEnd w:id="29"/>
      <w:bookmarkEnd w:id="30"/>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046D2C79" w:rsidR="002B6704" w:rsidRDefault="002B6704" w:rsidP="001E49E9">
      <w:pPr>
        <w:pStyle w:val="Heading4"/>
      </w:pPr>
      <w:bookmarkStart w:id="31" w:name="_Toc310421741"/>
      <w:bookmarkStart w:id="32" w:name="_Toc381098049"/>
      <w:r>
        <w:t>Strategies</w:t>
      </w:r>
      <w:bookmarkEnd w:id="31"/>
      <w:bookmarkEnd w:id="32"/>
    </w:p>
    <w:p w14:paraId="6B76730D" w14:textId="3032CD16"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3A28AEC3" w14:textId="77777777" w:rsidR="002B6704" w:rsidRDefault="002B6704" w:rsidP="001E49E9">
      <w:pPr>
        <w:pStyle w:val="Heading4"/>
      </w:pPr>
      <w:bookmarkStart w:id="33" w:name="_Toc310421742"/>
      <w:bookmarkStart w:id="34" w:name="_Toc381098050"/>
      <w:r>
        <w:t>Support, Influence, and Control</w:t>
      </w:r>
      <w:bookmarkEnd w:id="33"/>
      <w:bookmarkEnd w:id="34"/>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0135AC">
        <w:t>3</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5" w:name="_Toc381098051"/>
      <w:r>
        <w:t>GOODS Production Infrastructure</w:t>
      </w:r>
      <w:bookmarkEnd w:id="35"/>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rsidR="000135AC">
        <w:t>11</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6" w:name="_Toc310421743"/>
      <w:bookmarkStart w:id="37" w:name="_Toc381098052"/>
      <w:r>
        <w:t>Stability</w:t>
      </w:r>
      <w:bookmarkEnd w:id="36"/>
      <w:bookmarkEnd w:id="37"/>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8" w:name="_Toc310421744"/>
      <w:bookmarkStart w:id="39" w:name="_Toc381098053"/>
      <w:r>
        <w:t>Groups</w:t>
      </w:r>
      <w:bookmarkEnd w:id="38"/>
      <w:bookmarkEnd w:id="39"/>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40" w:name="_Toc310421745"/>
      <w:bookmarkStart w:id="41" w:name="_Toc381098054"/>
      <w:r>
        <w:t>Civilian Groups</w:t>
      </w:r>
      <w:bookmarkEnd w:id="40"/>
      <w:bookmarkEnd w:id="41"/>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0135AC">
        <w:t>9</w:t>
      </w:r>
      <w:r w:rsidR="001F15B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2" w:name="_Toc310421746"/>
      <w:bookmarkStart w:id="43" w:name="_Toc381098055"/>
      <w:r>
        <w:t>Force Groups</w:t>
      </w:r>
      <w:bookmarkEnd w:id="42"/>
      <w:bookmarkEnd w:id="43"/>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4" w:name="_Ref309652671"/>
      <w:bookmarkStart w:id="45" w:name="_Toc310421747"/>
      <w:bookmarkStart w:id="46" w:name="_Toc381098056"/>
      <w:r w:rsidRPr="001E49E9">
        <w:t>Mobilization</w:t>
      </w:r>
      <w:r>
        <w:t xml:space="preserve">, </w:t>
      </w:r>
      <w:r w:rsidRPr="001E49E9">
        <w:t>Deployment</w:t>
      </w:r>
      <w:r>
        <w:t>, and Assignment</w:t>
      </w:r>
      <w:bookmarkEnd w:id="44"/>
      <w:bookmarkEnd w:id="45"/>
      <w:bookmarkEnd w:id="46"/>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7" w:name="_Toc310421748"/>
      <w:bookmarkStart w:id="48" w:name="_Toc381098057"/>
      <w:r>
        <w:t>Organization Groups</w:t>
      </w:r>
      <w:bookmarkEnd w:id="47"/>
      <w:bookmarkEnd w:id="48"/>
    </w:p>
    <w:p w14:paraId="54B7821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49" w:name="_Toc310421749"/>
      <w:bookmarkStart w:id="50" w:name="_Toc381098058"/>
      <w:r>
        <w:t>Force, Security, and Volatility</w:t>
      </w:r>
      <w:bookmarkEnd w:id="49"/>
      <w:bookmarkEnd w:id="50"/>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1" w:name="_Toc310421750"/>
      <w:bookmarkStart w:id="52" w:name="_Toc381098059"/>
      <w:r>
        <w:t>Modeling Areas</w:t>
      </w:r>
      <w:bookmarkEnd w:id="51"/>
      <w:bookmarkEnd w:id="52"/>
    </w:p>
    <w:p w14:paraId="677D73CB" w14:textId="79A62052"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14:paraId="71AE003F" w14:textId="77777777" w:rsidR="00BE08E0" w:rsidRDefault="00BE08E0" w:rsidP="001E49E9"/>
    <w:p w14:paraId="4C54C6E1" w14:textId="12305B7D"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64B25624" w14:textId="77777777" w:rsidR="00291D8A" w:rsidRDefault="00291D8A" w:rsidP="001E49E9"/>
    <w:p w14:paraId="289F8A55" w14:textId="6DF4FA79" w:rsidR="00291D8A" w:rsidRDefault="00291D8A" w:rsidP="00291D8A">
      <w:pPr>
        <w:pStyle w:val="Heading4"/>
      </w:pPr>
      <w:bookmarkStart w:id="53" w:name="_Toc381098060"/>
      <w:r>
        <w:t>Physical</w:t>
      </w:r>
      <w:bookmarkEnd w:id="53"/>
    </w:p>
    <w:p w14:paraId="28D550EC" w14:textId="72A213EB" w:rsidR="00291D8A" w:rsidRDefault="00291D8A" w:rsidP="00291D8A">
      <w:r>
        <w:t>The most basic area is the Physical area.  It includes the neighborhoods and units, as described above, and also the following specific models:</w:t>
      </w:r>
    </w:p>
    <w:p w14:paraId="1A8E31FF" w14:textId="77777777" w:rsidR="00291D8A" w:rsidRDefault="00291D8A" w:rsidP="00291D8A"/>
    <w:p w14:paraId="5C20C952" w14:textId="77777777" w:rsidR="00291D8A" w:rsidRDefault="00291D8A" w:rsidP="00291D8A">
      <w:pPr>
        <w:pStyle w:val="ListParagraph"/>
        <w:numPr>
          <w:ilvl w:val="0"/>
          <w:numId w:val="13"/>
        </w:numPr>
      </w:pPr>
      <w:r>
        <w:t>Force, security, and volatility</w:t>
      </w:r>
    </w:p>
    <w:p w14:paraId="70D825C7" w14:textId="77777777" w:rsidR="00291D8A" w:rsidRDefault="00291D8A" w:rsidP="00291D8A">
      <w:pPr>
        <w:pStyle w:val="ListParagraph"/>
        <w:numPr>
          <w:ilvl w:val="0"/>
          <w:numId w:val="13"/>
        </w:numPr>
      </w:pPr>
      <w:r>
        <w:t>Group activity analysis, including activity coverage and the resulting Activity Situations (actsits).</w:t>
      </w:r>
    </w:p>
    <w:p w14:paraId="1C369871" w14:textId="77777777" w:rsidR="00291D8A" w:rsidRDefault="00291D8A" w:rsidP="00291D8A">
      <w:pPr>
        <w:pStyle w:val="ListParagraph"/>
        <w:numPr>
          <w:ilvl w:val="0"/>
          <w:numId w:val="13"/>
        </w:numPr>
      </w:pPr>
      <w:r>
        <w:t>Environmental Situations (ensits)</w:t>
      </w:r>
    </w:p>
    <w:p w14:paraId="7582E709" w14:textId="77777777" w:rsidR="00291D8A" w:rsidRDefault="00291D8A" w:rsidP="00291D8A">
      <w:pPr>
        <w:pStyle w:val="ListParagraph"/>
        <w:numPr>
          <w:ilvl w:val="0"/>
          <w:numId w:val="13"/>
        </w:numPr>
      </w:pPr>
      <w:r>
        <w:t>Services</w:t>
      </w:r>
    </w:p>
    <w:p w14:paraId="09A6C838" w14:textId="5E5BB960" w:rsidR="00BD073E" w:rsidRDefault="00BD073E" w:rsidP="00291D8A">
      <w:pPr>
        <w:pStyle w:val="ListParagraph"/>
        <w:numPr>
          <w:ilvl w:val="0"/>
          <w:numId w:val="13"/>
        </w:numPr>
      </w:pPr>
      <w:r>
        <w:t>Consumption of Goods</w:t>
      </w:r>
    </w:p>
    <w:p w14:paraId="7E9EB010" w14:textId="77777777" w:rsidR="00291D8A" w:rsidRPr="00291D8A" w:rsidRDefault="00291D8A" w:rsidP="00291D8A"/>
    <w:p w14:paraId="1EB702D9" w14:textId="6AA36839" w:rsidR="00291D8A" w:rsidRDefault="00291D8A" w:rsidP="00291D8A">
      <w:pPr>
        <w:pStyle w:val="Heading4"/>
      </w:pPr>
      <w:bookmarkStart w:id="54" w:name="_Toc381098061"/>
      <w:r>
        <w:lastRenderedPageBreak/>
        <w:t>Time</w:t>
      </w:r>
      <w:bookmarkEnd w:id="54"/>
    </w:p>
    <w:p w14:paraId="7FE37814" w14:textId="704AC3FE" w:rsidR="00BD073E" w:rsidRPr="00BD073E" w:rsidRDefault="00BD073E" w:rsidP="00BD073E">
      <w:r>
        <w:t>There are no specific models in the Time area; but as Athena is a time-step simulation, many models take time explicitly into account.</w:t>
      </w:r>
    </w:p>
    <w:p w14:paraId="19E249FF" w14:textId="37C0BA28" w:rsidR="00291D8A" w:rsidRDefault="00291D8A" w:rsidP="00291D8A">
      <w:pPr>
        <w:pStyle w:val="Heading4"/>
      </w:pPr>
      <w:bookmarkStart w:id="55" w:name="_Toc381098062"/>
      <w:r>
        <w:t>Political</w:t>
      </w:r>
      <w:bookmarkEnd w:id="55"/>
    </w:p>
    <w:p w14:paraId="7F4DD81D" w14:textId="042E128F" w:rsidR="00BD073E" w:rsidRPr="00BD073E" w:rsidRDefault="00BD073E" w:rsidP="00BD073E">
      <w:r>
        <w:t>The Politics area covers actors and their strategies; vertical relationships of groups with the actors; and the computation of actor support, influence, and control.</w:t>
      </w:r>
    </w:p>
    <w:p w14:paraId="603A4D9F" w14:textId="13C70341" w:rsidR="00291D8A" w:rsidRDefault="00291D8A" w:rsidP="00291D8A">
      <w:pPr>
        <w:pStyle w:val="Heading4"/>
      </w:pPr>
      <w:bookmarkStart w:id="56" w:name="_Toc381098063"/>
      <w:r>
        <w:t>Military</w:t>
      </w:r>
      <w:bookmarkEnd w:id="56"/>
    </w:p>
    <w:p w14:paraId="22CA528C" w14:textId="6C4B5982" w:rsidR="00BD073E" w:rsidRPr="00BD073E" w:rsidRDefault="00BD073E" w:rsidP="00BD073E">
      <w:r>
        <w:t>The Military area covers force groups and their activities</w:t>
      </w:r>
      <w:r w:rsidR="005F3A94">
        <w:t>, as well as the effects of magic attrition.</w:t>
      </w:r>
    </w:p>
    <w:p w14:paraId="77B271DC" w14:textId="79DFDBBB" w:rsidR="00291D8A" w:rsidRDefault="00291D8A" w:rsidP="00291D8A">
      <w:pPr>
        <w:pStyle w:val="Heading4"/>
      </w:pPr>
      <w:bookmarkStart w:id="57" w:name="_Toc381098064"/>
      <w:r>
        <w:t>Economics</w:t>
      </w:r>
      <w:bookmarkEnd w:id="57"/>
    </w:p>
    <w:p w14:paraId="499B9A15" w14:textId="6463BAB5"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54D49187" w14:textId="672A55AC" w:rsidR="00291D8A" w:rsidRDefault="00291D8A" w:rsidP="00291D8A">
      <w:pPr>
        <w:pStyle w:val="Heading4"/>
      </w:pPr>
      <w:bookmarkStart w:id="58" w:name="_Toc381098065"/>
      <w:r>
        <w:t>Social</w:t>
      </w:r>
      <w:bookmarkEnd w:id="58"/>
    </w:p>
    <w:p w14:paraId="60FEA96A" w14:textId="038398D5"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6A8AE64A" w14:textId="77777777" w:rsidR="002A41C1" w:rsidRDefault="002A41C1" w:rsidP="00BD073E"/>
    <w:p w14:paraId="4E85234D"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64A80FB8" w14:textId="77777777" w:rsidR="002A41C1" w:rsidRDefault="002A41C1" w:rsidP="002A41C1"/>
    <w:p w14:paraId="5D5F5FE6" w14:textId="77777777"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EEED96A" w14:textId="77777777" w:rsidR="002A41C1" w:rsidRDefault="002A41C1" w:rsidP="002A41C1"/>
    <w:p w14:paraId="1C178FB3" w14:textId="77777777" w:rsidR="002A41C1" w:rsidRDefault="002A41C1" w:rsidP="002A41C1">
      <w:r>
        <w:t>Attitudes for empty civilian groups are fixed at their natural levels.</w:t>
      </w:r>
    </w:p>
    <w:p w14:paraId="6DB18696" w14:textId="77777777" w:rsidR="002A41C1" w:rsidRDefault="002A41C1" w:rsidP="00BD073E"/>
    <w:p w14:paraId="5F74F791" w14:textId="305C7E81"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attrition,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r>
        <w:rPr>
          <w:rStyle w:val="FootnoteReference"/>
        </w:rPr>
        <w:footnoteReference w:id="7"/>
      </w:r>
    </w:p>
    <w:p w14:paraId="23145E5E" w14:textId="77777777" w:rsidR="002A5217" w:rsidRPr="00BD073E" w:rsidRDefault="002A5217" w:rsidP="00BD073E"/>
    <w:p w14:paraId="1BFD8029" w14:textId="614C2E66" w:rsidR="00291D8A" w:rsidRDefault="00291D8A" w:rsidP="00291D8A">
      <w:pPr>
        <w:pStyle w:val="Heading4"/>
      </w:pPr>
      <w:bookmarkStart w:id="59" w:name="_Toc381098066"/>
      <w:r>
        <w:t>Infrastructure</w:t>
      </w:r>
      <w:bookmarkEnd w:id="59"/>
    </w:p>
    <w:p w14:paraId="54D534C3" w14:textId="64BAAF18" w:rsidR="0084590F" w:rsidRPr="0084590F" w:rsidRDefault="0084590F" w:rsidP="0084590F">
      <w:r>
        <w:t xml:space="preserve">The Infrastructure area includes all physical infrastructure in the playbox.  At present, that consists of Communications Asset Packages (CAPs), used by the Information area, and </w:t>
      </w:r>
      <w:r>
        <w:rPr>
          <w:b/>
        </w:rPr>
        <w:t>goods</w:t>
      </w:r>
      <w:r>
        <w:t xml:space="preserve"> production infrastructure.</w:t>
      </w:r>
    </w:p>
    <w:p w14:paraId="130B40B6" w14:textId="77777777" w:rsidR="001E49E9" w:rsidRDefault="001E49E9" w:rsidP="001E49E9">
      <w:pPr>
        <w:pStyle w:val="Heading4"/>
      </w:pPr>
      <w:bookmarkStart w:id="60" w:name="_Toc381098067"/>
      <w:r>
        <w:t>Information</w:t>
      </w:r>
      <w:bookmarkEnd w:id="60"/>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1" w:name="_Toc310421755"/>
      <w:bookmarkStart w:id="62" w:name="_Toc381098068"/>
      <w:r>
        <w:t>Simulation States and the Advancement of Time</w:t>
      </w:r>
      <w:bookmarkEnd w:id="61"/>
      <w:bookmarkEnd w:id="62"/>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5F1011F" w14:textId="77777777" w:rsidR="00A76464" w:rsidRDefault="00A76464" w:rsidP="00EA4D0B">
      <w:pPr>
        <w:pStyle w:val="ListParagraph"/>
        <w:numPr>
          <w:ilvl w:val="0"/>
          <w:numId w:val="15"/>
        </w:numPr>
      </w:pPr>
      <w:r>
        <w:t>Executes any scheduled events (i.e., ensit spawns or resolutions)</w:t>
      </w:r>
    </w:p>
    <w:p w14:paraId="29C4DA14" w14:textId="77777777" w:rsidR="009A2EBD" w:rsidRDefault="009A2EBD" w:rsidP="00EA4D0B">
      <w:pPr>
        <w:pStyle w:val="ListParagraph"/>
        <w:numPr>
          <w:ilvl w:val="0"/>
          <w:numId w:val="15"/>
        </w:numPr>
      </w:pPr>
      <w:r>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603D754" w14:textId="77777777" w:rsidR="00502610" w:rsidRDefault="00502610" w:rsidP="00502610">
      <w:pPr>
        <w:pStyle w:val="Heading2"/>
      </w:pPr>
      <w:bookmarkStart w:id="63" w:name="_Toc310421770"/>
      <w:bookmarkStart w:id="64" w:name="_Ref316890632"/>
      <w:bookmarkStart w:id="65" w:name="_Toc381098069"/>
      <w:r>
        <w:lastRenderedPageBreak/>
        <w:t>Relationships and Control</w:t>
      </w:r>
      <w:bookmarkEnd w:id="63"/>
      <w:bookmarkEnd w:id="64"/>
      <w:bookmarkEnd w:id="65"/>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66" w:name="_Toc310421771"/>
      <w:bookmarkStart w:id="67" w:name="_Ref339611827"/>
      <w:bookmarkStart w:id="68" w:name="_Toc381098070"/>
      <w:r>
        <w:t>Relationships and Affinity</w:t>
      </w:r>
      <w:bookmarkEnd w:id="66"/>
      <w:bookmarkEnd w:id="67"/>
      <w:bookmarkEnd w:id="68"/>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57508D1F"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r>
              <w:rPr>
                <w:i/>
              </w:rPr>
              <w:t>a</w:t>
            </w:r>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69" w:name="_Toc310421772"/>
      <w:bookmarkStart w:id="70" w:name="_Toc381098071"/>
      <w:r>
        <w:lastRenderedPageBreak/>
        <w:t>Horizontal Relationships</w:t>
      </w:r>
      <w:bookmarkEnd w:id="69"/>
      <w:bookmarkEnd w:id="70"/>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71" w:name="_Toc310421773"/>
      <w:bookmarkStart w:id="72" w:name="_Toc381098072"/>
      <w:r>
        <w:t>Force and Organization Group Affinities</w:t>
      </w:r>
      <w:bookmarkEnd w:id="71"/>
      <w:bookmarkEnd w:id="72"/>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73" w:name="_Toc310421774"/>
      <w:bookmarkStart w:id="74" w:name="_Toc381098073"/>
      <w:r>
        <w:t>Computing Horizontal Relationships</w:t>
      </w:r>
      <w:bookmarkEnd w:id="73"/>
      <w:bookmarkEnd w:id="74"/>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550916"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75" w:name="_Ref174775754"/>
      <w:bookmarkStart w:id="76" w:name="_Toc310421775"/>
      <w:bookmarkStart w:id="77" w:name="_Toc381098074"/>
      <w:r>
        <w:t>Vertical Relationship</w:t>
      </w:r>
      <w:bookmarkEnd w:id="75"/>
      <w:r>
        <w:t>s</w:t>
      </w:r>
      <w:bookmarkEnd w:id="76"/>
      <w:bookmarkEnd w:id="77"/>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78" w:name="_Toc381098075"/>
      <w:r>
        <w:t>Baseline Vertical Relationships</w:t>
      </w:r>
      <w:bookmarkEnd w:id="78"/>
    </w:p>
    <w:p w14:paraId="2EAE8B02"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79178797" w14:textId="77777777" w:rsidR="007C6DC9" w:rsidRDefault="007C6DC9" w:rsidP="007C6DC9"/>
    <w:p w14:paraId="16B9B115" w14:textId="77777777" w:rsidR="007C6DC9" w:rsidRPr="007C6DC9" w:rsidRDefault="00550916"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550916"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79" w:name="_Toc310421784"/>
      <w:bookmarkStart w:id="80" w:name="_Toc381098076"/>
      <w:r>
        <w:t>Actor Support and Influence</w:t>
      </w:r>
      <w:bookmarkEnd w:id="79"/>
      <w:bookmarkEnd w:id="80"/>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81" w:name="_Toc310421785"/>
      <w:bookmarkStart w:id="82" w:name="_Toc381098077"/>
      <w:r>
        <w:lastRenderedPageBreak/>
        <w:t>Direct vs. Derived Support</w:t>
      </w:r>
      <w:bookmarkEnd w:id="81"/>
      <w:bookmarkEnd w:id="82"/>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83" w:name="_Toc310421786"/>
      <w:bookmarkStart w:id="84" w:name="_Toc381098078"/>
      <w:r>
        <w:t>Direct Support</w:t>
      </w:r>
      <w:bookmarkEnd w:id="83"/>
      <w:bookmarkEnd w:id="84"/>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0135AC">
        <w:t>4</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550916"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r>
        <w:t>where</w:t>
      </w:r>
    </w:p>
    <w:p w14:paraId="0330E28C" w14:textId="77777777" w:rsidR="00502610" w:rsidRDefault="00502610" w:rsidP="00502610"/>
    <w:p w14:paraId="056FC172" w14:textId="77777777" w:rsidR="00502610" w:rsidRPr="00A06820" w:rsidRDefault="00550916"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55091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55091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55091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55091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14:paraId="2A8EFABB" w14:textId="77777777" w:rsidR="00502610" w:rsidRDefault="00550916"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550916"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85" w:name="_Toc310421787"/>
      <w:bookmarkStart w:id="86" w:name="_Toc381098079"/>
      <w:r>
        <w:t>Derived Support</w:t>
      </w:r>
      <w:bookmarkEnd w:id="85"/>
      <w:bookmarkEnd w:id="86"/>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87" w:name="_Toc310421788"/>
      <w:bookmarkStart w:id="88" w:name="_Toc381098080"/>
      <w:r>
        <w:t>Total Support</w:t>
      </w:r>
      <w:bookmarkEnd w:id="87"/>
      <w:bookmarkEnd w:id="88"/>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550916"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m:t>
            </m:r>
            <m:r>
              <w:rPr>
                <w:rFonts w:ascii="Cambria Math" w:hAnsi="Cambria Math"/>
              </w:rPr>
              <m:t>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89" w:name="_Toc310421789"/>
      <w:bookmarkStart w:id="90" w:name="_Toc381098081"/>
      <w:r>
        <w:t>Influence</w:t>
      </w:r>
      <w:bookmarkEnd w:id="89"/>
      <w:bookmarkEnd w:id="90"/>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m:t>
        </m:r>
        <m:r>
          <w:rPr>
            <w:rFonts w:ascii="Cambria Math" w:hAnsi="Cambria Math"/>
          </w:rPr>
          <m:t>tThreshold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550916"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91" w:name="_Toc310421790"/>
      <w:bookmarkStart w:id="92" w:name="_Toc381098082"/>
      <w:r>
        <w:t>Control of a Neighborhood</w:t>
      </w:r>
      <w:bookmarkEnd w:id="91"/>
      <w:bookmarkEnd w:id="92"/>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0135AC">
        <w:t>3.3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93" w:name="_Toc310421791"/>
      <w:bookmarkStart w:id="94" w:name="_Toc381098083"/>
      <w:r>
        <w:t>When Control Shifts</w:t>
      </w:r>
      <w:bookmarkEnd w:id="93"/>
      <w:bookmarkEnd w:id="94"/>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m:t>
            </m:r>
            <m:r>
              <w:rPr>
                <w:rFonts w:ascii="Cambria Math" w:hAnsi="Cambria Math"/>
              </w:rPr>
              <m:t>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95" w:name="_Toc310421792"/>
      <w:bookmarkStart w:id="96" w:name="_Ref339455549"/>
      <w:bookmarkStart w:id="97" w:name="_Toc381098084"/>
      <w:r>
        <w:lastRenderedPageBreak/>
        <w:t>Force Analysis</w:t>
      </w:r>
      <w:bookmarkEnd w:id="95"/>
      <w:bookmarkEnd w:id="96"/>
      <w:bookmarkEnd w:id="97"/>
    </w:p>
    <w:p w14:paraId="36ED26F8" w14:textId="77777777" w:rsidR="00F73DC8" w:rsidRPr="00F73DC8" w:rsidRDefault="00F73DC8" w:rsidP="00F73DC8">
      <w:pPr>
        <w:pStyle w:val="Heading3"/>
      </w:pPr>
      <w:bookmarkStart w:id="98" w:name="_Toc381098085"/>
      <w:r>
        <w:t>Overview</w:t>
      </w:r>
      <w:bookmarkEnd w:id="98"/>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99" w:name="_Toc381098086"/>
      <w:r>
        <w:t>Changes in Athena 4</w:t>
      </w:r>
      <w:bookmarkEnd w:id="99"/>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100" w:name="_Toc381098087"/>
      <w:r>
        <w:t>Force Group Stance</w:t>
      </w:r>
      <w:r w:rsidR="00F73DC8">
        <w:t xml:space="preserve"> and Effective Relationships</w:t>
      </w:r>
      <w:bookmarkEnd w:id="100"/>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01" w:name="_Toc381098088"/>
      <w:r>
        <w:lastRenderedPageBreak/>
        <w:t>Stance</w:t>
      </w:r>
      <w:bookmarkEnd w:id="101"/>
    </w:p>
    <w:p w14:paraId="1CECA10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02" w:name="_Toc381098089"/>
      <w:r>
        <w:t>Effect of Attacking ROEs</w:t>
      </w:r>
      <w:bookmarkEnd w:id="102"/>
    </w:p>
    <w:p w14:paraId="6F9E8721"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550916"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It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0135AC">
        <w:t>8</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03" w:name="_Ref339522391"/>
      <w:bookmarkStart w:id="104" w:name="_Toc381098090"/>
      <w:r>
        <w:t>Group Discipline</w:t>
      </w:r>
      <w:bookmarkEnd w:id="103"/>
      <w:bookmarkEnd w:id="104"/>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550916"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550916"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05" w:name="_Ref332872025"/>
      <w:bookmarkStart w:id="106" w:name="_Toc381098091"/>
      <w:r>
        <w:t>Effective Relationships</w:t>
      </w:r>
      <w:bookmarkEnd w:id="105"/>
      <w:bookmarkEnd w:id="106"/>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CB628D7" w14:textId="77777777" w:rsidR="008F4412" w:rsidRDefault="008F4412" w:rsidP="008F4412"/>
    <w:p w14:paraId="7349C2ED" w14:textId="77777777" w:rsidR="008F4412" w:rsidRPr="002706AC" w:rsidRDefault="00550916"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07" w:name="_Ref339523218"/>
      <w:bookmarkStart w:id="108" w:name="_Toc381098092"/>
      <w:r>
        <w:lastRenderedPageBreak/>
        <w:t>Background Criminal Activity</w:t>
      </w:r>
      <w:bookmarkEnd w:id="107"/>
      <w:bookmarkEnd w:id="108"/>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09" w:name="_Toc381098093"/>
      <w:r>
        <w:t>Law Enforcement Personnel</w:t>
      </w:r>
      <w:bookmarkEnd w:id="109"/>
    </w:p>
    <w:p w14:paraId="5BBDC512"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Each member of an actual police group counts fully; members of other group types count less.</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0135AC">
        <w:t>4.2.3</w:t>
      </w:r>
      <w:r w:rsidR="001F15B9">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550916"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10" w:name="_Toc381098094"/>
      <w:r>
        <w:t>Suppression of Criminal Activity</w:t>
      </w:r>
      <w:bookmarkEnd w:id="110"/>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0FBD25FA" w14:textId="77777777" w:rsidR="00F72DE2" w:rsidRDefault="00F72DE2" w:rsidP="00F72DE2">
      <w:pPr>
        <w:pStyle w:val="Heading4"/>
      </w:pPr>
      <w:bookmarkStart w:id="111" w:name="_Toc381098095"/>
      <w:r>
        <w:t>Nominal Criminal Fraction</w:t>
      </w:r>
      <w:bookmarkEnd w:id="111"/>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m:t>
            </m:r>
            <m:r>
              <w:rPr>
                <w:rFonts w:ascii="Cambria Math" w:hAnsi="Cambria Math"/>
              </w:rPr>
              <m:t>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12" w:name="_Toc381098096"/>
      <w:r>
        <w:t>Actual Criminal Fraction</w:t>
      </w:r>
      <w:bookmarkEnd w:id="112"/>
    </w:p>
    <w:p w14:paraId="11C11C59"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550916"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r>
        <w:t>where</w:t>
      </w:r>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550916"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4"/>
      </w:r>
      <w:r>
        <w:t xml:space="preserve"> nominally 0.6.</w:t>
      </w:r>
    </w:p>
    <w:p w14:paraId="2FC07007" w14:textId="77777777" w:rsidR="00F72DE2" w:rsidRDefault="00550916"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550916"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550916"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13" w:name="_Toc310421793"/>
      <w:bookmarkStart w:id="114" w:name="_Toc381098097"/>
      <w:r>
        <w:lastRenderedPageBreak/>
        <w:t>Measuring Force</w:t>
      </w:r>
      <w:bookmarkEnd w:id="113"/>
      <w:bookmarkEnd w:id="114"/>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15" w:name="_Toc381098098"/>
      <w:r>
        <w:t>A Group's Own Force</w:t>
      </w:r>
      <w:bookmarkEnd w:id="115"/>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550916"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r>
        <w:t>where</w:t>
      </w:r>
    </w:p>
    <w:p w14:paraId="3FAE9009" w14:textId="77777777" w:rsidR="009F4E0C" w:rsidRDefault="009F4E0C" w:rsidP="001D79EC"/>
    <w:p w14:paraId="26D888E1" w14:textId="77777777" w:rsidR="009F4E0C" w:rsidRDefault="00550916"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550916"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16" w:name="_Toc381098099"/>
      <w:r>
        <w:t>Civilian Group Force</w:t>
      </w:r>
      <w:bookmarkEnd w:id="116"/>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550916"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r>
        <w:t>where</w:t>
      </w:r>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550916"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14:paraId="0BFC5F7F" w14:textId="77777777" w:rsidR="009F4E0C" w:rsidRDefault="00550916"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14:paraId="6BE831B9" w14:textId="77777777" w:rsidR="001D79EC" w:rsidRDefault="00550916"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550916"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550916"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17" w:name="_Toc381098100"/>
      <w:r>
        <w:t>Organization Group Force</w:t>
      </w:r>
      <w:bookmarkEnd w:id="117"/>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550916"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r>
        <w:t>where</w:t>
      </w:r>
    </w:p>
    <w:p w14:paraId="0171F53F" w14:textId="77777777" w:rsidR="003C07F5" w:rsidRDefault="003C07F5" w:rsidP="003C07F5"/>
    <w:p w14:paraId="0BDA1A34" w14:textId="77777777" w:rsidR="003C07F5" w:rsidRDefault="00550916"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550916"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14:paraId="3418F5B0" w14:textId="77777777" w:rsidR="003C07F5" w:rsidRDefault="00550916"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18" w:name="_Toc381098101"/>
      <w:r>
        <w:lastRenderedPageBreak/>
        <w:t>Force Group Force</w:t>
      </w:r>
      <w:bookmarkEnd w:id="118"/>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550916"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r>
        <w:t>where</w:t>
      </w:r>
    </w:p>
    <w:p w14:paraId="55523593" w14:textId="77777777" w:rsidR="003C07F5" w:rsidRDefault="003C07F5" w:rsidP="003C07F5"/>
    <w:p w14:paraId="4DDE2F94" w14:textId="77777777" w:rsidR="003C07F5" w:rsidRDefault="00550916"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550916"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0135AC">
        <w:t>5</w:t>
      </w:r>
      <w:r w:rsidR="001F15B9">
        <w:fldChar w:fldCharType="end"/>
      </w:r>
      <w:r>
        <w:t>).</w:t>
      </w:r>
    </w:p>
    <w:p w14:paraId="526E1AE7" w14:textId="77777777" w:rsidR="001A341C" w:rsidRPr="001A341C" w:rsidRDefault="00550916"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14:paraId="650AF4FF" w14:textId="77777777" w:rsidR="003C07F5" w:rsidRDefault="00550916"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19" w:name="_Toc381098102"/>
      <w:r>
        <w:t>Non-Criminal and Criminal Force</w:t>
      </w:r>
      <w:bookmarkEnd w:id="119"/>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0135AC">
        <w:t>4.3</w:t>
      </w:r>
      <w:r w:rsidR="001F15B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550916"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For civilian groups, the actual criminal fraction are unsuppressed criminals; the remainder are (possibly reluctantly) law-abiding.  Thus, we define</w:t>
      </w:r>
    </w:p>
    <w:p w14:paraId="3FA40302" w14:textId="77777777" w:rsidR="004C4DE0" w:rsidRDefault="004C4DE0" w:rsidP="004C4DE0"/>
    <w:p w14:paraId="12143793" w14:textId="77777777" w:rsidR="004C4DE0" w:rsidRDefault="00550916"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20" w:name="_Toc381098103"/>
      <w:r>
        <w:t>Friends and Enemies</w:t>
      </w:r>
      <w:bookmarkEnd w:id="120"/>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55091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55091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550916"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550916"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550916"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550916"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550916"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21" w:name="_Toc310421794"/>
      <w:bookmarkStart w:id="122" w:name="_Toc381098104"/>
      <w:r>
        <w:t>Volatility</w:t>
      </w:r>
      <w:bookmarkEnd w:id="121"/>
      <w:bookmarkEnd w:id="122"/>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550916"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550916"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550916"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23" w:name="_Toc310421795"/>
      <w:bookmarkStart w:id="124" w:name="_Ref339455538"/>
      <w:bookmarkStart w:id="125" w:name="_Toc381098105"/>
      <w:r>
        <w:t>Security</w:t>
      </w:r>
      <w:bookmarkEnd w:id="123"/>
      <w:bookmarkEnd w:id="124"/>
      <w:bookmarkEnd w:id="125"/>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550916"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55091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55091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55091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55091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26" w:name="_Toc381098106"/>
      <w:r>
        <w:t>Security and Empty Groups</w:t>
      </w:r>
      <w:bookmarkEnd w:id="126"/>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27" w:name="__RefHeading__30424212"/>
      <w:bookmarkStart w:id="128" w:name="_Toc310421796"/>
      <w:bookmarkStart w:id="129" w:name="_Toc381098107"/>
      <w:r>
        <w:lastRenderedPageBreak/>
        <w:t>Effects of Unit Activities</w:t>
      </w:r>
      <w:bookmarkEnd w:id="127"/>
      <w:bookmarkEnd w:id="128"/>
      <w:bookmarkEnd w:id="129"/>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30" w:name="__RefHeading__35223422"/>
      <w:bookmarkStart w:id="131" w:name="_Toc310421797"/>
      <w:bookmarkStart w:id="132" w:name="_Toc381098108"/>
      <w:r>
        <w:t>Force Presence and Activities</w:t>
      </w:r>
      <w:bookmarkEnd w:id="130"/>
      <w:bookmarkEnd w:id="131"/>
      <w:bookmarkEnd w:id="132"/>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14:paraId="2FF0B8BD"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1DD05705"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7ACCF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4275FFC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CA72AB0"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141D93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4DBFE95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3B0D8F7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3E251FB" w14:textId="77777777"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5C6FD81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49C2806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31825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461DEE" w14:textId="77777777"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26F6E87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693FD4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DE755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1623C04"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50A53B5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6DE198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AEB18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5DB5CA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479160"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3A0DE6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D80A8A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3C2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3225E15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B7DA2A6"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3DD56E1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FECE2D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60E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66DFA5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241C474" w14:textId="77777777"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601A82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418418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975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A6B284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4294161" w14:textId="77777777"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7DBE106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F8874B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F38CB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D0FA3D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BF4B156" w14:textId="77777777"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05441B0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0CD3C1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8673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E75349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C0D1E62" w14:textId="77777777"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4E5387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5708B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9684E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AFABD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1702269" w14:textId="77777777"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E4D28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66DBB0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9818B5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D5FFF6C" w14:textId="77777777"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36D67B1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5D3C3B2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6E84F49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CC3BE3" w14:textId="77777777"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1B2249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D75611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411A937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DA8431B" w14:textId="77777777"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3B23658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7FBF77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1E89AB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39743F9" w14:textId="77777777"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4D176CD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16B7559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B416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6B46266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384C602"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77AD1EE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47877E8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D4A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7D3C88FF" w14:textId="77777777" w:rsidR="00392218" w:rsidRDefault="00392218" w:rsidP="00392218"/>
    <w:p w14:paraId="16608C69"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0AF6524E" w14:textId="77777777"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550916"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C32465" w:rsidRDefault="00C32465"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14:paraId="3FF4794C" w14:textId="77777777" w:rsidR="00C32465" w:rsidRDefault="00C32465" w:rsidP="00392218"/>
                  <w:p w14:paraId="20DE2A0F" w14:textId="77777777" w:rsidR="00C32465" w:rsidRDefault="00C3246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14:paraId="5387BC69" w14:textId="77777777" w:rsidR="00C32465" w:rsidRDefault="00C3246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14:paraId="45898A42" w14:textId="77777777" w:rsidR="00C32465" w:rsidRDefault="00C3246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14:paraId="6B2E542D" w14:textId="77777777" w:rsidR="00C32465" w:rsidRDefault="00C3246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14:paraId="62AFFD64" w14:textId="77777777" w:rsidR="00C32465" w:rsidRDefault="00C3246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14:paraId="447D1430" w14:textId="77777777" w:rsidR="00C32465" w:rsidRDefault="00C3246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r>
        <w:t xml:space="preserve">where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550916"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550916"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33" w:name="_Toc310421798"/>
      <w:bookmarkStart w:id="134" w:name="_Toc381098109"/>
      <w:r>
        <w:t>Organization Activities</w:t>
      </w:r>
      <w:bookmarkEnd w:id="133"/>
      <w:bookmarkEnd w:id="134"/>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77777777"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6"/>
      </w:r>
      <w:r>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53C9DF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C9E91B3"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A4863C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627DA40"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1EC9BE6"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D25877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3A1313F"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28D6697" w14:textId="77777777"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05A56A5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5EDBAB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0DBE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C018D4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EAE8F9" w14:textId="77777777"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3F85C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5A126423"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9883B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BAF1D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2966E95" w14:textId="77777777"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501D19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075605A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237E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AF494E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DCA04B" w14:textId="77777777"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0EFE3943"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9E774E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7D09F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6D92016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401875C" w14:textId="77777777"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9B2B0A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7300DE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112F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BA6EE4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54C7435" w14:textId="77777777"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3112DA1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B46619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1B2D5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E1099F9" w14:textId="77777777" w:rsidR="00392218" w:rsidRDefault="00392218" w:rsidP="00392218">
      <w:pPr>
        <w:pStyle w:val="Heading3"/>
      </w:pPr>
      <w:bookmarkStart w:id="135" w:name="_Toc310421799"/>
      <w:bookmarkStart w:id="136" w:name="_Toc381098110"/>
      <w:r>
        <w:t>Civilian Activities</w:t>
      </w:r>
      <w:bookmarkEnd w:id="135"/>
      <w:bookmarkEnd w:id="136"/>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37" w:name="_Toc310421800"/>
      <w:bookmarkStart w:id="138" w:name="_Toc381098111"/>
      <w:r>
        <w:lastRenderedPageBreak/>
        <w:t>Activity Situations</w:t>
      </w:r>
      <w:bookmarkEnd w:id="137"/>
      <w:bookmarkEnd w:id="138"/>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7777777" w:rsidR="000D3FC9" w:rsidRDefault="000D3FC9" w:rsidP="000D3FC9">
      <w:pPr>
        <w:pStyle w:val="Heading2"/>
      </w:pPr>
      <w:bookmarkStart w:id="139" w:name="_Ref310324877"/>
      <w:bookmarkStart w:id="140" w:name="_Toc310421801"/>
      <w:bookmarkStart w:id="141" w:name="_Toc381098112"/>
      <w:r>
        <w:lastRenderedPageBreak/>
        <w:t>Environmental Situations</w:t>
      </w:r>
      <w:bookmarkEnd w:id="139"/>
      <w:bookmarkEnd w:id="140"/>
      <w:bookmarkEnd w:id="141"/>
    </w:p>
    <w:p w14:paraId="229BD871" w14:textId="77777777"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4FCB1E33" w14:textId="77777777" w:rsidR="00867ADB" w:rsidRDefault="00867ADB" w:rsidP="00867ADB">
      <w:pPr>
        <w:pStyle w:val="Heading3"/>
      </w:pPr>
      <w:bookmarkStart w:id="142" w:name="_Toc381098113"/>
      <w:r>
        <w:t>Athena 4 Changes</w:t>
      </w:r>
      <w:bookmarkEnd w:id="142"/>
    </w:p>
    <w:p w14:paraId="3E525861"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43" w:name="_Ref310246902"/>
      <w:bookmarkStart w:id="144" w:name="_Ref310247782"/>
      <w:bookmarkStart w:id="145" w:name="_Toc310421802"/>
      <w:bookmarkStart w:id="146" w:name="_Toc381098114"/>
      <w:r>
        <w:lastRenderedPageBreak/>
        <w:t>Services</w:t>
      </w:r>
      <w:bookmarkEnd w:id="143"/>
      <w:bookmarkEnd w:id="144"/>
      <w:bookmarkEnd w:id="145"/>
      <w:bookmarkEnd w:id="146"/>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47" w:name="_Toc310421803"/>
      <w:bookmarkStart w:id="148" w:name="_Toc381098115"/>
      <w:r>
        <w:t>Overview</w:t>
      </w:r>
      <w:bookmarkEnd w:id="147"/>
      <w:bookmarkEnd w:id="148"/>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0135AC">
        <w:t>7.2</w:t>
      </w:r>
      <w:r w:rsidR="001F15B9">
        <w:fldChar w:fldCharType="end"/>
      </w:r>
      <w:r>
        <w:t>).  We expect additional services to be handled in a similar way; this section presents an overview of the general concept.</w:t>
      </w:r>
    </w:p>
    <w:p w14:paraId="108B28A1" w14:textId="77777777" w:rsidR="00B75001" w:rsidRPr="000D683A" w:rsidRDefault="00B75001" w:rsidP="00B75001">
      <w:pPr>
        <w:pStyle w:val="Heading4"/>
      </w:pPr>
      <w:bookmarkStart w:id="149" w:name="_Toc310421804"/>
      <w:bookmarkStart w:id="150" w:name="_Toc381098116"/>
      <w:r>
        <w:t>Services vs. Environmental Situations</w:t>
      </w:r>
      <w:bookmarkEnd w:id="149"/>
      <w:bookmarkEnd w:id="150"/>
    </w:p>
    <w:p w14:paraId="45A2645B" w14:textId="77777777" w:rsidR="00B75001" w:rsidRDefault="00B75001" w:rsidP="00B75001">
      <w:r>
        <w:t xml:space="preserve">Athena has historically modeled services (e.g., power and water) using environmental situations, or “ensits” (Section </w:t>
      </w:r>
      <w:r w:rsidR="001F15B9">
        <w:fldChar w:fldCharType="begin"/>
      </w:r>
      <w:r>
        <w:instrText xml:space="preserve"> REF _Ref310324877 \r \h </w:instrText>
      </w:r>
      <w:r w:rsidR="001F15B9">
        <w:fldChar w:fldCharType="separate"/>
      </w:r>
      <w:r w:rsidR="000135AC">
        <w:t>6</w:t>
      </w:r>
      <w:r w:rsidR="001F15B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01F0D5EC" w14:textId="77777777" w:rsidR="00B75001" w:rsidRDefault="00B75001" w:rsidP="00B75001">
      <w:pPr>
        <w:pStyle w:val="Heading4"/>
      </w:pPr>
      <w:bookmarkStart w:id="151" w:name="_Toc310421805"/>
      <w:bookmarkStart w:id="152" w:name="_Toc381098117"/>
      <w:r>
        <w:t>Levels of Service</w:t>
      </w:r>
      <w:bookmarkEnd w:id="151"/>
      <w:bookmarkEnd w:id="152"/>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53" w:name="_Ref310415360"/>
      <w:bookmarkStart w:id="154" w:name="_Toc310421806"/>
      <w:bookmarkStart w:id="155" w:name="_Toc381098118"/>
      <w:r>
        <w:t>Service Cases</w:t>
      </w:r>
      <w:bookmarkEnd w:id="153"/>
      <w:bookmarkEnd w:id="154"/>
      <w:bookmarkEnd w:id="155"/>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56" w:name="_Ref310327255"/>
      <w:bookmarkStart w:id="157" w:name="_Toc310421807"/>
      <w:bookmarkStart w:id="158" w:name="_Toc381098119"/>
      <w:r>
        <w:t>Essential Non-Infrastructure (ENI) Services</w:t>
      </w:r>
      <w:bookmarkEnd w:id="156"/>
      <w:bookmarkEnd w:id="157"/>
      <w:bookmarkEnd w:id="158"/>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59" w:name="_Toc310421808"/>
      <w:bookmarkStart w:id="160" w:name="_Toc381098120"/>
      <w:r>
        <w:t>Service vs. Funding</w:t>
      </w:r>
      <w:bookmarkEnd w:id="159"/>
      <w:bookmarkEnd w:id="160"/>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550916"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55091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55091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55091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550916"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550916"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550916"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550916"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550916"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61" w:name="_Toc310421809"/>
      <w:bookmarkStart w:id="162" w:name="_Toc381098121"/>
      <w:r>
        <w:t>Funding by Individual Actors</w:t>
      </w:r>
      <w:bookmarkEnd w:id="161"/>
      <w:bookmarkEnd w:id="162"/>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550916"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r>
        <w:t>where</w:t>
      </w:r>
    </w:p>
    <w:p w14:paraId="7B45D62E" w14:textId="77777777" w:rsidR="00A4698B" w:rsidRDefault="00A4698B" w:rsidP="00A4698B"/>
    <w:p w14:paraId="413694D4" w14:textId="77777777" w:rsidR="00B75001" w:rsidRDefault="0055091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163" w:name="_Toc310421810"/>
      <w:bookmarkStart w:id="164" w:name="_Toc381098122"/>
      <w:r>
        <w:t>Expected Level of Service</w:t>
      </w:r>
      <w:bookmarkEnd w:id="163"/>
      <w:bookmarkEnd w:id="164"/>
    </w:p>
    <w:p w14:paraId="40E99C92"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550916"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r>
        <w:lastRenderedPageBreak/>
        <w:t>where</w:t>
      </w:r>
    </w:p>
    <w:p w14:paraId="65CDD108" w14:textId="77777777" w:rsidR="00A4698B" w:rsidRDefault="00A4698B" w:rsidP="00A4698B"/>
    <w:p w14:paraId="23D91AA4" w14:textId="77777777" w:rsidR="00B75001" w:rsidRDefault="0055091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5ADFCD48" w14:textId="77777777" w:rsidR="00B75001" w:rsidRDefault="00550916"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56D33CD7" w14:textId="77777777" w:rsidR="00B75001" w:rsidRDefault="0055091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165" w:name="_Toc310421815"/>
      <w:bookmarkStart w:id="166" w:name="_Toc381098123"/>
      <w:r>
        <w:t>Categorize the Actual Level of Service</w:t>
      </w:r>
      <w:bookmarkEnd w:id="165"/>
      <w:bookmarkEnd w:id="166"/>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0135AC">
        <w:t>7.1.3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r>
        <w:t>where</w:t>
      </w:r>
    </w:p>
    <w:p w14:paraId="202C5963" w14:textId="77777777" w:rsidR="00FC0A5B" w:rsidRDefault="00FC0A5B" w:rsidP="00FC0A5B"/>
    <w:p w14:paraId="606DDF43" w14:textId="77777777" w:rsidR="00FC0A5B" w:rsidRDefault="00550916"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550916"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550916"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760FA102" w14:textId="77777777" w:rsidR="00FC0A5B" w:rsidRDefault="00FC0A5B" w:rsidP="00A4698B"/>
    <w:p w14:paraId="50A0BF97" w14:textId="77777777" w:rsidR="00B75001" w:rsidRDefault="00B75001" w:rsidP="00B75001">
      <w:pPr>
        <w:pStyle w:val="Heading4"/>
      </w:pPr>
      <w:bookmarkStart w:id="167" w:name="_Toc310421811"/>
      <w:bookmarkStart w:id="168" w:name="_Toc381098124"/>
      <w:r>
        <w:t>Satisfaction Effects</w:t>
      </w:r>
      <w:bookmarkEnd w:id="167"/>
      <w:bookmarkEnd w:id="168"/>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169" w:name="_Toc310421812"/>
      <w:bookmarkStart w:id="170" w:name="_Toc381098125"/>
      <w:r>
        <w:t xml:space="preserve">The </w:t>
      </w:r>
      <w:r w:rsidRPr="00A4698B">
        <w:t>Needs</w:t>
      </w:r>
      <w:r>
        <w:t xml:space="preserve"> Factor</w:t>
      </w:r>
      <w:bookmarkEnd w:id="169"/>
      <w:bookmarkEnd w:id="170"/>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550916"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55091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550916"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7D9F75DA" w14:textId="77777777" w:rsidR="00B75001" w:rsidRDefault="0055091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550916"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171" w:name="_Toc310421813"/>
      <w:bookmarkStart w:id="172" w:name="_Toc381098126"/>
      <w:r>
        <w:t>The Expectations Factor</w:t>
      </w:r>
      <w:bookmarkEnd w:id="171"/>
      <w:bookmarkEnd w:id="172"/>
    </w:p>
    <w:p w14:paraId="465BA95E"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550916"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r>
        <w:t>where</w:t>
      </w:r>
    </w:p>
    <w:p w14:paraId="49441798" w14:textId="77777777" w:rsidR="00B75001" w:rsidRPr="0099602B" w:rsidRDefault="00550916"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55091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36CD4C4F" w14:textId="77777777" w:rsidR="00B75001" w:rsidRDefault="0055091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55091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173" w:name="_Ref310342819"/>
      <w:bookmarkStart w:id="174" w:name="_Toc310421814"/>
      <w:bookmarkStart w:id="175" w:name="_Toc381098127"/>
      <w:r>
        <w:t>Vertical Relationship</w:t>
      </w:r>
      <w:bookmarkEnd w:id="173"/>
      <w:r>
        <w:t xml:space="preserve"> Effects</w:t>
      </w:r>
      <w:bookmarkEnd w:id="174"/>
      <w:bookmarkEnd w:id="175"/>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550916"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550916"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r>
        <w:t xml:space="preserve">where </w:t>
      </w:r>
    </w:p>
    <w:p w14:paraId="0C1B07DD" w14:textId="77777777" w:rsidR="00A4698B" w:rsidRPr="008D32D0" w:rsidRDefault="00A4698B" w:rsidP="00A4698B"/>
    <w:p w14:paraId="04095DE4" w14:textId="77777777" w:rsidR="00B75001" w:rsidRDefault="0055091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55091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55091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7"/>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55091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55091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55091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176" w:name="_Toc381098128"/>
      <w:r>
        <w:t>ENI Services and Empty Civilian Groups</w:t>
      </w:r>
      <w:bookmarkEnd w:id="176"/>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54073B4F" w:rsidR="002520B8" w:rsidRDefault="002520B8" w:rsidP="002520B8">
      <w:pPr>
        <w:pStyle w:val="Heading2"/>
      </w:pPr>
      <w:bookmarkStart w:id="177" w:name="_Toc310421818"/>
      <w:bookmarkStart w:id="178" w:name="_Ref339521624"/>
      <w:bookmarkStart w:id="179" w:name="_Toc381098129"/>
      <w:r>
        <w:lastRenderedPageBreak/>
        <w:t>Attrition</w:t>
      </w:r>
      <w:bookmarkEnd w:id="177"/>
      <w:bookmarkEnd w:id="178"/>
      <w:bookmarkEnd w:id="179"/>
    </w:p>
    <w:p w14:paraId="72A6A09A" w14:textId="3E652F23"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14:paraId="69F7CF79" w14:textId="77777777" w:rsidR="004325B2" w:rsidRDefault="004325B2" w:rsidP="002520B8"/>
    <w:p w14:paraId="16B488E0" w14:textId="312EB5F5"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180" w:name="_Toc310421828"/>
      <w:bookmarkStart w:id="181" w:name="_Toc381098130"/>
      <w:r>
        <w:t>Magic Attrition</w:t>
      </w:r>
      <w:bookmarkEnd w:id="180"/>
      <w:bookmarkEnd w:id="181"/>
    </w:p>
    <w:p w14:paraId="124E484B" w14:textId="77777777" w:rsidR="002520B8" w:rsidRDefault="002520B8" w:rsidP="002520B8">
      <w:r>
        <w:t xml:space="preserve">The analyst can attrit units and groups magically.  All attrition to civilian units will be assessed by the relevant DAM rule set.  </w:t>
      </w:r>
    </w:p>
    <w:p w14:paraId="0FF6F623" w14:textId="77777777" w:rsidR="002520B8" w:rsidRDefault="002520B8" w:rsidP="002520B8">
      <w:pPr>
        <w:pStyle w:val="Heading4"/>
      </w:pPr>
      <w:bookmarkStart w:id="182" w:name="_Toc310421830"/>
      <w:bookmarkStart w:id="183" w:name="_Toc381098131"/>
      <w:r>
        <w:t>Magic Attrition to Groups</w:t>
      </w:r>
      <w:bookmarkEnd w:id="182"/>
      <w:bookmarkEnd w:id="183"/>
    </w:p>
    <w:p w14:paraId="104D6626" w14:textId="363F46D3" w:rsidR="002520B8" w:rsidRDefault="002520B8" w:rsidP="002520B8">
      <w:r>
        <w:t xml:space="preserve">The analyst can attrit a specific group in a specific neighborhood.  </w:t>
      </w:r>
      <w:r w:rsidR="002A12A8">
        <w:t>O</w:t>
      </w:r>
      <w:r>
        <w:t>nly units present in the neighborhood will be attrited.</w:t>
      </w:r>
    </w:p>
    <w:p w14:paraId="04547396" w14:textId="77777777" w:rsidR="002520B8" w:rsidRDefault="002520B8" w:rsidP="002520B8">
      <w:pPr>
        <w:pStyle w:val="Heading4"/>
      </w:pPr>
      <w:bookmarkStart w:id="184" w:name="_Toc310421831"/>
      <w:bookmarkStart w:id="185" w:name="_Toc381098132"/>
      <w:r>
        <w:t>Magic Attrition to Neighborhoods</w:t>
      </w:r>
      <w:bookmarkEnd w:id="184"/>
      <w:bookmarkEnd w:id="185"/>
    </w:p>
    <w:p w14:paraId="36E2E250" w14:textId="2174E8F0"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14:paraId="0E2EA5B3" w14:textId="77777777" w:rsidR="002520B8" w:rsidRDefault="002520B8" w:rsidP="002520B8">
      <w:pPr>
        <w:pStyle w:val="Heading3"/>
      </w:pPr>
      <w:bookmarkStart w:id="186" w:name="__RefHeading__31420625"/>
      <w:bookmarkStart w:id="187" w:name="_Toc310421844"/>
      <w:bookmarkStart w:id="188" w:name="_Toc381098133"/>
      <w:r>
        <w:t>Applying Attrition</w:t>
      </w:r>
      <w:bookmarkEnd w:id="186"/>
      <w:bookmarkEnd w:id="187"/>
      <w:bookmarkEnd w:id="188"/>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68074ED8" w14:textId="77777777" w:rsidR="004325B2" w:rsidRDefault="004325B2" w:rsidP="008955F4"/>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r w:rsidRPr="008955F4">
        <w:rPr>
          <w:i/>
        </w:rPr>
        <w:t>casualties</w:t>
      </w:r>
      <w:r>
        <w:tab/>
        <w:t>=</w:t>
      </w:r>
      <w:r>
        <w:tab/>
      </w:r>
      <w:r w:rsidRPr="00D26F44">
        <w:t>The total number of casualties to inflict</w:t>
      </w:r>
    </w:p>
    <w:p w14:paraId="1418441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01F9E315" w14:textId="77777777" w:rsidR="002520B8" w:rsidRDefault="00550916"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r>
        <w:rPr>
          <w:i/>
          <w:iCs/>
        </w:rPr>
        <w:t>i</w:t>
      </w:r>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189" w:name="_Toc310421845"/>
      <w:bookmarkStart w:id="190" w:name="_Toc381098134"/>
      <w:r>
        <w:t>Assessing the Attitude Implications</w:t>
      </w:r>
      <w:bookmarkEnd w:id="189"/>
      <w:bookmarkEnd w:id="190"/>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5DA67A31" w14:textId="77777777" w:rsidR="002520B8" w:rsidRDefault="002520B8" w:rsidP="002520B8">
      <w:pPr>
        <w:pStyle w:val="Heading4"/>
      </w:pPr>
      <w:bookmarkStart w:id="191" w:name="_Toc310421847"/>
      <w:bookmarkStart w:id="192" w:name="_Toc381098135"/>
      <w:r>
        <w:t>Satisfaction Effects of Attrition</w:t>
      </w:r>
      <w:bookmarkEnd w:id="191"/>
      <w:bookmarkEnd w:id="192"/>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r w:rsidRPr="00991F49">
        <w:t>The attrited civilian group</w:t>
      </w:r>
      <w:r>
        <w:t>.</w:t>
      </w:r>
    </w:p>
    <w:p w14:paraId="0A4093B9"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14:paraId="601E467A" w14:textId="77777777" w:rsidR="002520B8" w:rsidRDefault="002520B8" w:rsidP="002520B8">
      <w:pPr>
        <w:pStyle w:val="Definitions"/>
      </w:pPr>
      <w:r w:rsidRPr="008955F4">
        <w:rPr>
          <w:i/>
        </w:rPr>
        <w:t>M</w:t>
      </w:r>
      <w:r>
        <w:tab/>
        <w:t>=</w:t>
      </w:r>
      <w:r>
        <w:tab/>
      </w:r>
      <w:r w:rsidRPr="00991F49">
        <w:t>The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193" w:name="_Toc310421848"/>
      <w:bookmarkStart w:id="194" w:name="_Toc381098136"/>
      <w:r>
        <w:t>Cooperation Effects of Attrition</w:t>
      </w:r>
      <w:bookmarkEnd w:id="193"/>
      <w:bookmarkEnd w:id="194"/>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550916"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14:paraId="62123E22" w14:textId="77777777" w:rsidR="002520B8" w:rsidRDefault="002520B8" w:rsidP="002520B8">
      <w:pPr>
        <w:pStyle w:val="Definitions"/>
      </w:pPr>
      <w:r w:rsidRPr="008955F4">
        <w:rPr>
          <w:i/>
        </w:rPr>
        <w:t>M</w:t>
      </w:r>
      <w:r>
        <w:tab/>
        <w:t>=</w:t>
      </w:r>
      <w:r>
        <w:tab/>
      </w:r>
      <w:r w:rsidRPr="008A74E3">
        <w:t>The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195" w:name="__RefHeading__11631_1190374725"/>
      <w:bookmarkStart w:id="196" w:name="_Toc310421849"/>
      <w:bookmarkStart w:id="197" w:name="_Toc381098137"/>
      <w:r>
        <w:lastRenderedPageBreak/>
        <w:t>Demographics</w:t>
      </w:r>
      <w:bookmarkEnd w:id="195"/>
      <w:bookmarkEnd w:id="196"/>
      <w:bookmarkEnd w:id="197"/>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198" w:name="_Toc381098138"/>
      <w:r>
        <w:t>Connections with Other Models</w:t>
      </w:r>
      <w:bookmarkEnd w:id="198"/>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199" w:name="_Toc310421851"/>
      <w:bookmarkStart w:id="200" w:name="_Toc381098139"/>
      <w:r>
        <w:t>Simplifying Assumptions</w:t>
      </w:r>
      <w:bookmarkEnd w:id="199"/>
      <w:bookmarkEnd w:id="200"/>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01" w:name="_Toc310421852"/>
      <w:bookmarkStart w:id="202" w:name="_Toc381098140"/>
      <w:r>
        <w:t>Population and Units</w:t>
      </w:r>
      <w:bookmarkEnd w:id="201"/>
      <w:bookmarkEnd w:id="202"/>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03" w:name="_Toc310421853"/>
      <w:bookmarkStart w:id="204" w:name="_Toc381098141"/>
      <w:r>
        <w:t>Civilian Group Population</w:t>
      </w:r>
      <w:bookmarkEnd w:id="203"/>
      <w:r w:rsidR="000D138E">
        <w:t xml:space="preserve"> over Time</w:t>
      </w:r>
      <w:bookmarkEnd w:id="204"/>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550916"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550916"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r>
        <w:t>where</w:t>
      </w:r>
    </w:p>
    <w:p w14:paraId="6206235F" w14:textId="77777777" w:rsidR="0097139E" w:rsidRDefault="0097139E" w:rsidP="0097139E"/>
    <w:p w14:paraId="2087ED92" w14:textId="77777777" w:rsidR="0097139E" w:rsidRDefault="00550916"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550916"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550916"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550916"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550916"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550916"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05" w:name="_Toc381098142"/>
      <w:r>
        <w:t>Natural Population Change</w:t>
      </w:r>
      <w:bookmarkEnd w:id="205"/>
    </w:p>
    <w:p w14:paraId="2F0AD718"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550916"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550916"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06" w:name="_Toc310421854"/>
      <w:bookmarkStart w:id="207" w:name="_Toc381098143"/>
      <w:r>
        <w:t>Civilian Attrition</w:t>
      </w:r>
      <w:bookmarkEnd w:id="206"/>
      <w:bookmarkEnd w:id="207"/>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8" w:name="_Toc310421855"/>
    </w:p>
    <w:p w14:paraId="16D969A4" w14:textId="77777777" w:rsidR="00333F4D" w:rsidRDefault="00333F4D" w:rsidP="00333F4D">
      <w:pPr>
        <w:pStyle w:val="Heading3"/>
      </w:pPr>
      <w:bookmarkStart w:id="209" w:name="_Toc381098144"/>
      <w:r>
        <w:t>Population Breakdowns</w:t>
      </w:r>
      <w:bookmarkEnd w:id="209"/>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10" w:name="_Toc381098145"/>
      <w:r>
        <w:lastRenderedPageBreak/>
        <w:t>Subsistence Population</w:t>
      </w:r>
      <w:bookmarkEnd w:id="208"/>
      <w:bookmarkEnd w:id="210"/>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550916"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11" w:name="_Toc310421856"/>
      <w:bookmarkStart w:id="212" w:name="_Toc381098146"/>
      <w:r>
        <w:t>Consumer Population</w:t>
      </w:r>
      <w:bookmarkEnd w:id="211"/>
      <w:bookmarkEnd w:id="212"/>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550916"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13" w:name="_Toc310421857"/>
      <w:bookmarkStart w:id="214" w:name="_Toc381098147"/>
      <w:r>
        <w:t>Labor Force</w:t>
      </w:r>
      <w:bookmarkEnd w:id="213"/>
      <w:bookmarkEnd w:id="214"/>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550916"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215" w:name="_Toc381098148"/>
      <w:r>
        <w:t>Aggregate Statistics</w:t>
      </w:r>
      <w:bookmarkEnd w:id="215"/>
    </w:p>
    <w:p w14:paraId="053FC8A6" w14:textId="77777777" w:rsidR="00753E07" w:rsidRDefault="00753E07" w:rsidP="00E561EC">
      <w:pPr>
        <w:pStyle w:val="Heading4"/>
      </w:pPr>
      <w:bookmarkStart w:id="216" w:name="_Toc310421858"/>
      <w:bookmarkStart w:id="217" w:name="_Toc381098149"/>
      <w:r>
        <w:t>Neighborhood Population</w:t>
      </w:r>
      <w:bookmarkEnd w:id="216"/>
      <w:bookmarkEnd w:id="217"/>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550916"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550916"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550916"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218" w:name="_Toc310421863"/>
      <w:bookmarkStart w:id="219" w:name="_Toc381098150"/>
      <w:r>
        <w:t>Regional Population</w:t>
      </w:r>
      <w:bookmarkEnd w:id="218"/>
      <w:bookmarkEnd w:id="219"/>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220" w:name="_Toc381098151"/>
      <w:r>
        <w:t>Labor Security Factor</w:t>
      </w:r>
      <w:bookmarkEnd w:id="220"/>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550916"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550916"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221" w:name="_Toc381098152"/>
      <w:r>
        <w:t>Consumer Security Factor</w:t>
      </w:r>
      <w:bookmarkEnd w:id="221"/>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550916"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550916"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222" w:name="_Toc310421864"/>
      <w:bookmarkStart w:id="223" w:name="_Ref254345152"/>
      <w:bookmarkStart w:id="224" w:name="_Toc381098153"/>
      <w:r>
        <w:t>Unemployment</w:t>
      </w:r>
      <w:bookmarkEnd w:id="222"/>
      <w:bookmarkEnd w:id="223"/>
      <w:bookmarkEnd w:id="224"/>
    </w:p>
    <w:p w14:paraId="060C6174" w14:textId="45DE5552"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225" w:name="_Toc310421865"/>
      <w:bookmarkStart w:id="226" w:name="_Toc381098154"/>
      <w:r>
        <w:lastRenderedPageBreak/>
        <w:t xml:space="preserve">Disaggregation </w:t>
      </w:r>
      <w:bookmarkEnd w:id="225"/>
      <w:r w:rsidR="00893B8D">
        <w:t>to Neighborhoods</w:t>
      </w:r>
      <w:bookmarkEnd w:id="226"/>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550916"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r>
        <w:t>where</w:t>
      </w:r>
    </w:p>
    <w:p w14:paraId="1A470AAB" w14:textId="77777777" w:rsidR="00131AC4" w:rsidRDefault="00131AC4" w:rsidP="00131AC4"/>
    <w:p w14:paraId="327103E9" w14:textId="34A54385" w:rsidR="00753E07" w:rsidRDefault="00550916"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550916"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266B1421" w14:textId="289676B2" w:rsidR="004444DC" w:rsidRDefault="00550916"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444CB3F7" w14:textId="47ACD206" w:rsidR="004444DC" w:rsidRDefault="00550916"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227" w:name="_Toc310421866"/>
    <w:p w14:paraId="78AC1B1B" w14:textId="5FB2F196" w:rsidR="001570EC" w:rsidRPr="001570EC" w:rsidRDefault="00550916"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r>
        <w:t>where</w:t>
      </w:r>
    </w:p>
    <w:p w14:paraId="2F65ABAE" w14:textId="77777777" w:rsidR="001570EC" w:rsidRDefault="001570EC" w:rsidP="001570EC"/>
    <w:p w14:paraId="7F7C02F8" w14:textId="737AB50E" w:rsidR="001570EC" w:rsidRDefault="00550916"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538AD203" w14:textId="7B265BEB" w:rsidR="001570EC" w:rsidRDefault="00550916"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550916"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r>
        <w:t>where</w:t>
      </w:r>
    </w:p>
    <w:p w14:paraId="37ED1A80" w14:textId="77777777" w:rsidR="00E73E07" w:rsidRDefault="00E73E07" w:rsidP="008B68E2"/>
    <w:p w14:paraId="74B2AD36" w14:textId="1D0220F0" w:rsidR="00E73E07" w:rsidRDefault="00550916"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05ABF552" w14:textId="6A40F0B6" w:rsidR="00E73E07" w:rsidRDefault="00550916"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550916"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r>
        <w:t>otherwise</w:t>
      </w:r>
    </w:p>
    <w:p w14:paraId="477AE591" w14:textId="77777777" w:rsidR="008725CE" w:rsidRDefault="008725CE" w:rsidP="00BA4292"/>
    <w:p w14:paraId="50C5C7B0" w14:textId="47CA4D0F" w:rsidR="008725CE" w:rsidRDefault="00550916"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296D92E9" w14:textId="77777777" w:rsidR="008B68E2" w:rsidRDefault="008B68E2" w:rsidP="008B68E2"/>
    <w:p w14:paraId="680ACEC4" w14:textId="47B6D700" w:rsidR="008B68E2" w:rsidRPr="008B68E2" w:rsidRDefault="00550916" w:rsidP="008B68E2">
      <w:pPr>
        <w:ind w:left="720"/>
      </w:pPr>
      <m:oMathPara>
        <m:oMath>
          <m:sSub>
            <m:sSubPr>
              <m:ctrlPr>
                <w:rPr>
                  <w:rFonts w:ascii="Cambria Math" w:hAnsi="Cambria Math"/>
                  <w:i/>
                </w:rPr>
              </m:ctrlPr>
            </m:sSubPr>
            <m:e>
              <m:r>
                <w:rPr>
                  <w:rFonts w:ascii="Cambria Math" w:hAnsi="Cambria Math"/>
                </w:rPr>
                <m:t>TotJobO</m:t>
              </m:r>
              <m:r>
                <w:rPr>
                  <w:rFonts w:ascii="Cambria Math" w:hAnsi="Cambria Math"/>
                </w:rPr>
                <m:t>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550916"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r>
        <w:t>otherwise</w:t>
      </w:r>
    </w:p>
    <w:p w14:paraId="36B4571C" w14:textId="77777777" w:rsidR="00E40A41" w:rsidRDefault="00E40A41" w:rsidP="008B68E2"/>
    <w:p w14:paraId="76730C86" w14:textId="2F5E3CFC" w:rsidR="00E40A41" w:rsidRPr="00E40A41" w:rsidRDefault="00550916"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550916"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550916"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r w:rsidR="00F51090" w:rsidRPr="00F51090">
        <w:rPr>
          <w:i/>
        </w:rPr>
        <w:t>AvailLF</w:t>
      </w:r>
      <w:r w:rsidR="00F51090">
        <w:rPr>
          <w:i/>
          <w:vertAlign w:val="subscript"/>
        </w:rPr>
        <w:t>m</w:t>
      </w:r>
      <w:r w:rsidR="00F51090">
        <w:rPr>
          <w:i/>
        </w:rPr>
        <w:t xml:space="preserve"> </w:t>
      </w:r>
      <w:r w:rsidR="00F51090">
        <w:t>for</w:t>
      </w:r>
      <w:r w:rsidR="00F51090">
        <w:rPr>
          <w:i/>
        </w:rPr>
        <w:t xml:space="preserve"> </w:t>
      </w:r>
      <w:r w:rsidR="00F51090" w:rsidRPr="00F51090">
        <w:rPr>
          <w:i/>
        </w:rPr>
        <w:t>ActiveLF</w:t>
      </w:r>
      <w:r w:rsidR="00F51090">
        <w:rPr>
          <w:i/>
          <w:vertAlign w:val="subscript"/>
        </w:rPr>
        <w:t>m</w:t>
      </w:r>
      <w:r w:rsidR="00F51090">
        <w:t xml:space="preserve"> and </w:t>
      </w:r>
      <w:r w:rsidR="00F51090">
        <w:rPr>
          <w:i/>
        </w:rPr>
        <w:t>AvailJobs</w:t>
      </w:r>
      <w:r w:rsidR="00F51090">
        <w:rPr>
          <w:i/>
          <w:vertAlign w:val="subscript"/>
        </w:rPr>
        <w:t>n</w:t>
      </w:r>
      <w:r w:rsidR="00F51090">
        <w:t xml:space="preserve"> for </w:t>
      </w:r>
      <w:r w:rsidR="00F51090">
        <w:rPr>
          <w:i/>
        </w:rPr>
        <w:t>Jobs</w:t>
      </w:r>
      <w:r w:rsidR="00F51090">
        <w:rPr>
          <w:i/>
          <w:vertAlign w:val="subscript"/>
        </w:rPr>
        <w:t>n</w:t>
      </w:r>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550916"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for all </w:t>
      </w:r>
      <w:r w:rsidR="00F51090" w:rsidRPr="00F51090">
        <w:rPr>
          <w:i/>
        </w:rPr>
        <w:t>m</w:t>
      </w:r>
      <w:r w:rsidR="00F51090">
        <w:t xml:space="preserve">, </w:t>
      </w:r>
      <w:r w:rsidR="00F51090"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550916"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550916"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228" w:name="_Toc381098155"/>
      <w:r>
        <w:t>Disaggregation to Civilian Groups</w:t>
      </w:r>
      <w:bookmarkEnd w:id="227"/>
      <w:bookmarkEnd w:id="228"/>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550916"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r>
        <w:t>where</w:t>
      </w:r>
    </w:p>
    <w:p w14:paraId="1C6A2537" w14:textId="77777777" w:rsidR="00F06CFC" w:rsidRDefault="00F06CFC" w:rsidP="00F06CFC"/>
    <w:p w14:paraId="265A11EA" w14:textId="04E6E998" w:rsidR="00F06CFC" w:rsidRDefault="00550916"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686E0350" w14:textId="63E4D681" w:rsidR="00F06CFC" w:rsidRDefault="00550916"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15F60CEB" w14:textId="533F2F53" w:rsidR="001A2CA7" w:rsidRPr="001A2CA7" w:rsidRDefault="00550916"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1B5A426E" w14:textId="51172CD8" w:rsidR="001A2CA7" w:rsidRDefault="00550916"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550916"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229" w:name="_Ref254345185"/>
      <w:bookmarkStart w:id="230" w:name="_Toc310421867"/>
      <w:bookmarkStart w:id="231" w:name="_Toc381098156"/>
      <w:r>
        <w:t>Geographic Unemployment</w:t>
      </w:r>
      <w:bookmarkEnd w:id="229"/>
      <w:bookmarkEnd w:id="231"/>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r>
        <w:t>where</w:t>
      </w:r>
    </w:p>
    <w:p w14:paraId="309A3511" w14:textId="77777777" w:rsidR="00010389" w:rsidRDefault="00010389" w:rsidP="00010389"/>
    <w:p w14:paraId="430FD7E1" w14:textId="3ECD9604" w:rsidR="00010389" w:rsidRDefault="00550916"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0C66CFCF" w14:textId="0364DB20" w:rsidR="00010389" w:rsidRPr="00010389" w:rsidRDefault="00550916"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16B03C39" w14:textId="77777777" w:rsidR="00753E07" w:rsidRDefault="00753E07" w:rsidP="00753E07">
      <w:pPr>
        <w:pStyle w:val="Heading4"/>
      </w:pPr>
      <w:bookmarkStart w:id="232" w:name="_Toc381098157"/>
      <w:r>
        <w:t>Unemployment Situations</w:t>
      </w:r>
      <w:bookmarkEnd w:id="230"/>
      <w:bookmarkEnd w:id="232"/>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0135AC">
        <w:t>9.8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14:paraId="3A6FBA4B" w14:textId="77777777" w:rsidR="00131AC4" w:rsidRDefault="00131AC4" w:rsidP="00131AC4"/>
    <w:p w14:paraId="6B4AA9E8" w14:textId="77777777" w:rsidR="00753E07" w:rsidRPr="00131AC4" w:rsidRDefault="00550916"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0135AC">
        <w:t>9.8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233" w:name="_Ref349547059"/>
      <w:bookmarkStart w:id="234" w:name="_Toc381098158"/>
      <w:r>
        <w:t>Consumption of Goods</w:t>
      </w:r>
      <w:bookmarkEnd w:id="233"/>
      <w:bookmarkEnd w:id="234"/>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0135AC">
        <w:t>7</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235" w:name="_Toc381098159"/>
      <w:r>
        <w:t>The Actual Level of Consumption (ALOC)</w:t>
      </w:r>
      <w:bookmarkEnd w:id="235"/>
    </w:p>
    <w:p w14:paraId="206BA953"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550916"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r>
        <w:t>where</w:t>
      </w:r>
    </w:p>
    <w:p w14:paraId="367C7582" w14:textId="77777777" w:rsidR="00375906" w:rsidRDefault="00375906" w:rsidP="00375906"/>
    <w:p w14:paraId="5FB4C49B" w14:textId="77777777" w:rsidR="00375906" w:rsidRDefault="00550916"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2A73CCB3" w14:textId="77777777" w:rsidR="00375906" w:rsidRDefault="00550916"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550916"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236" w:name="_Toc381098160"/>
      <w:r>
        <w:t>The Expected Level of Consumption (ELOC)</w:t>
      </w:r>
      <w:bookmarkEnd w:id="236"/>
    </w:p>
    <w:p w14:paraId="67D59EAB"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550916"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r>
        <w:t>then</w:t>
      </w:r>
    </w:p>
    <w:p w14:paraId="371455A0" w14:textId="77777777" w:rsidR="00EC0FBF" w:rsidRDefault="00EC0FBF" w:rsidP="001962C0"/>
    <w:p w14:paraId="2225B963" w14:textId="77777777" w:rsidR="00EC0FBF" w:rsidRPr="00EC0FBF" w:rsidRDefault="00550916"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550916"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r>
        <w:t>where</w:t>
      </w:r>
    </w:p>
    <w:p w14:paraId="119D4D4E" w14:textId="77777777" w:rsidR="00EC0FBF" w:rsidRDefault="00EC0FBF" w:rsidP="00EC0FBF"/>
    <w:p w14:paraId="5AAB6D4B" w14:textId="77777777" w:rsidR="00EC0FBF" w:rsidRDefault="00550916"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14:paraId="7D8CCCC7" w14:textId="77777777" w:rsidR="00EC0FBF" w:rsidRDefault="00550916"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14:paraId="1D98FC22" w14:textId="77777777" w:rsidR="00EC0FBF" w:rsidRDefault="00EC0FBF" w:rsidP="0072199B"/>
    <w:p w14:paraId="110D7859" w14:textId="77777777" w:rsidR="0072199B" w:rsidRDefault="0072199B" w:rsidP="0072199B">
      <w:pPr>
        <w:pStyle w:val="Heading4"/>
      </w:pPr>
      <w:bookmarkStart w:id="237" w:name="_Toc381098161"/>
      <w:r>
        <w:t>The Expectations Factor</w:t>
      </w:r>
      <w:bookmarkEnd w:id="237"/>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550916"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550916"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840ADD4" w14:textId="77777777" w:rsidR="005879D2" w:rsidRDefault="005879D2" w:rsidP="0072199B"/>
    <w:p w14:paraId="6459887D" w14:textId="77777777" w:rsidR="00AD35A5" w:rsidRDefault="00AD35A5" w:rsidP="00AD35A5">
      <w:pPr>
        <w:pStyle w:val="Heading4"/>
      </w:pPr>
      <w:bookmarkStart w:id="238" w:name="_Ref349562050"/>
      <w:bookmarkStart w:id="239" w:name="_Toc381098162"/>
      <w:r>
        <w:t>The Required Level of Consumption (RLOC)</w:t>
      </w:r>
      <w:bookmarkEnd w:id="238"/>
      <w:bookmarkEnd w:id="239"/>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550916"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r>
        <w:t>where</w:t>
      </w:r>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F21DDD" w14:textId="77777777" w:rsidR="00217C83" w:rsidRDefault="00550916"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240" w:name="_Toc381098163"/>
      <w:r>
        <w:t>The Lorenz Curve</w:t>
      </w:r>
      <w:bookmarkEnd w:id="240"/>
    </w:p>
    <w:p w14:paraId="19FE08D4" w14:textId="77777777"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4F957E5E">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550916"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550916"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241" w:name="_Toc381098164"/>
      <w:r>
        <w:t>The Consumption Curve</w:t>
      </w:r>
      <w:bookmarkEnd w:id="241"/>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550916"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14:paraId="606075C0" w14:textId="77777777" w:rsidR="00301755" w:rsidRDefault="00301755" w:rsidP="00835DEE"/>
    <w:p w14:paraId="6F9225C2" w14:textId="77777777" w:rsidR="00301755" w:rsidRPr="00301755" w:rsidRDefault="00550916"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55091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r>
        <w:t>or, equivalently,</w:t>
      </w:r>
    </w:p>
    <w:p w14:paraId="18D31D9C" w14:textId="77777777" w:rsidR="00AE0769" w:rsidRDefault="00AE0769" w:rsidP="00AE0769"/>
    <w:p w14:paraId="7623A4DD" w14:textId="77777777" w:rsidR="00AE0769" w:rsidRPr="00AE0769" w:rsidRDefault="0055091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242" w:name="_Toc381098165"/>
      <w:r>
        <w:t>The Poverty Fraction</w:t>
      </w:r>
      <w:bookmarkEnd w:id="242"/>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0135AC">
        <w:t>9.8.4</w:t>
      </w:r>
      <w:r w:rsidR="001F15B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550916"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r>
        <w:t xml:space="preserve">where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17DB7321" w14:textId="77777777" w:rsidR="00AE0769" w:rsidRDefault="00AE0769" w:rsidP="00814951"/>
    <w:p w14:paraId="58DC6C8A" w14:textId="77777777" w:rsidR="00AE0769" w:rsidRPr="00AE0769" w:rsidRDefault="00550916"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550916"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550916"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m:t>
                          </m:r>
                          <m:r>
                            <w:rPr>
                              <w:rFonts w:ascii="Cambria Math" w:hAnsi="Cambria Math"/>
                            </w:rPr>
                            <m:t>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550916"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550916"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243" w:name="_Toc381098166"/>
      <w:r>
        <w:t>The Poverty Factor</w:t>
      </w:r>
      <w:bookmarkEnd w:id="243"/>
    </w:p>
    <w:p w14:paraId="3A840AB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14:paraId="0CE03489" w14:textId="77777777" w:rsidR="002C6245" w:rsidRDefault="002C6245" w:rsidP="003D7B9B"/>
    <w:p w14:paraId="104C1C2D" w14:textId="77777777" w:rsidR="002C6245" w:rsidRDefault="002C6245" w:rsidP="002C6245">
      <w:pPr>
        <w:pStyle w:val="Heading4"/>
      </w:pPr>
      <w:bookmarkStart w:id="244" w:name="_Toc381098167"/>
      <w:r>
        <w:t>Consumption Situations</w:t>
      </w:r>
      <w:bookmarkEnd w:id="244"/>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245" w:name="_Toc310421868"/>
      <w:bookmarkStart w:id="246" w:name="_Toc381098168"/>
      <w:r>
        <w:lastRenderedPageBreak/>
        <w:t>Economics</w:t>
      </w:r>
      <w:bookmarkEnd w:id="245"/>
      <w:bookmarkEnd w:id="246"/>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560D7F24" w14:textId="77777777" w:rsidR="004F6A40" w:rsidRDefault="004F6A40" w:rsidP="004F6A40">
      <w:pPr>
        <w:pStyle w:val="Heading3"/>
      </w:pPr>
      <w:bookmarkStart w:id="247" w:name="__RefHeading__1441_2040446466"/>
      <w:bookmarkStart w:id="248" w:name="_Toc310421869"/>
      <w:bookmarkStart w:id="249" w:name="_Toc381098169"/>
      <w:r>
        <w:t>Sectors</w:t>
      </w:r>
      <w:bookmarkEnd w:id="247"/>
      <w:bookmarkEnd w:id="248"/>
      <w:bookmarkEnd w:id="249"/>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250" w:name="_Toc310421870"/>
      <w:bookmarkStart w:id="251" w:name="_Ref341686785"/>
      <w:bookmarkStart w:id="252" w:name="_Toc381098170"/>
      <w:r>
        <w:t xml:space="preserve">The </w:t>
      </w:r>
      <w:r w:rsidR="005264EC">
        <w:t>Social Accounting Matrix (SAM)</w:t>
      </w:r>
      <w:r>
        <w:t xml:space="preserve"> Tableau</w:t>
      </w:r>
      <w:bookmarkEnd w:id="250"/>
      <w:bookmarkEnd w:id="251"/>
      <w:bookmarkEnd w:id="252"/>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253" w:name="_Toc381098171"/>
      <w:r>
        <w:lastRenderedPageBreak/>
        <w:t>SAM Matrix Inputs</w:t>
      </w:r>
      <w:bookmarkEnd w:id="253"/>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The input flows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55091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55091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55091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55091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55091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55091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55091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550916"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550916"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55091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55091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550916"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550916"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55091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55091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55091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55091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55091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550916"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r>
        <w:t>where</w:t>
      </w:r>
    </w:p>
    <w:p w14:paraId="2A0E3BD6" w14:textId="77777777" w:rsidR="001342B4" w:rsidRDefault="001342B4" w:rsidP="001342B4"/>
    <w:p w14:paraId="7F1A52A3" w14:textId="77777777" w:rsidR="004F6A40" w:rsidRDefault="00550916"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2FE12583" w14:textId="77777777" w:rsidR="004F6A40" w:rsidRPr="008F182A" w:rsidRDefault="00550916"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550916"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550916"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550916"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0135AC">
        <w:t>10.3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550916"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550916"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550916"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550916"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254" w:name="_Toc381098172"/>
      <w:r>
        <w:lastRenderedPageBreak/>
        <w:t>Other Inputs</w:t>
      </w:r>
      <w:bookmarkEnd w:id="254"/>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Black mkt Feedstock Price</w:t>
            </w:r>
          </w:p>
        </w:tc>
        <w:tc>
          <w:tcPr>
            <w:tcW w:w="1980" w:type="dxa"/>
          </w:tcPr>
          <w:p w14:paraId="18AB0B18"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r>
              <w:t>tonnes/year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r>
              <w:rPr>
                <w:i/>
              </w:rPr>
              <w:t>CAP</w:t>
            </w:r>
            <w:r>
              <w:rPr>
                <w:i/>
                <w:vertAlign w:val="subscript"/>
              </w:rPr>
              <w:t>black</w:t>
            </w:r>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r>
              <w:t>tonnes</w:t>
            </w:r>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r w:rsidRPr="00324956">
              <w:rPr>
                <w:i/>
              </w:rPr>
              <w:t>BaseConsumers</w:t>
            </w:r>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r>
              <w:rPr>
                <w:i/>
              </w:rPr>
              <w:t>BaseUR</w:t>
            </w:r>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r>
              <w:rPr>
                <w:i/>
              </w:rPr>
              <w:t>BaseSubsisters</w:t>
            </w:r>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r w:rsidRPr="00324956">
              <w:rPr>
                <w:i/>
              </w:rPr>
              <w:t>BaseSubWage</w:t>
            </w:r>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r>
              <w:rPr>
                <w:i/>
              </w:rPr>
              <w:t>REMChangeRate</w:t>
            </w:r>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255" w:name="_Toc381098173"/>
      <w:r>
        <w:lastRenderedPageBreak/>
        <w:t>Balancing Flows M</w:t>
      </w:r>
      <w:r w:rsidR="00DA4D2F">
        <w:t>atrix (T-matrix)</w:t>
      </w:r>
      <w:bookmarkEnd w:id="255"/>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55091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55091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55091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55091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55091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550916"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r>
        <w:t>where</w:t>
      </w:r>
    </w:p>
    <w:p w14:paraId="6BE6BD06" w14:textId="77777777" w:rsidR="00DA4D2F" w:rsidRDefault="00DA4D2F" w:rsidP="00DA4D2F"/>
    <w:p w14:paraId="0DEE7ED4" w14:textId="77777777" w:rsidR="00DA4D2F" w:rsidRDefault="0055091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55091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550916"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550916"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454C2F7C" w14:textId="50B4B55E" w:rsidR="00DA4D2F" w:rsidRDefault="0055091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550916"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256" w:name="_Toc381098174"/>
      <w:r>
        <w:lastRenderedPageBreak/>
        <w:t>SAM Outputs</w:t>
      </w:r>
      <w:bookmarkEnd w:id="256"/>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r>
              <w:rPr>
                <w:i/>
              </w:rPr>
              <w:t>f</w:t>
            </w:r>
            <w:r w:rsidRPr="00EB5313">
              <w:rPr>
                <w:i/>
                <w:vertAlign w:val="subscript"/>
              </w:rPr>
              <w:t>gg</w:t>
            </w:r>
          </w:p>
        </w:tc>
        <w:tc>
          <w:tcPr>
            <w:tcW w:w="1419" w:type="dxa"/>
          </w:tcPr>
          <w:p w14:paraId="0CA66260" w14:textId="77777777" w:rsidR="00AD22FB" w:rsidRPr="00EB5313" w:rsidRDefault="00EB5313" w:rsidP="00EB5313">
            <w:pPr>
              <w:jc w:val="center"/>
              <w:rPr>
                <w:i/>
              </w:rPr>
            </w:pPr>
            <w:r>
              <w:rPr>
                <w:i/>
              </w:rPr>
              <w:t>A</w:t>
            </w:r>
            <w:r w:rsidRPr="00EB5313">
              <w:rPr>
                <w:i/>
                <w:vertAlign w:val="subscript"/>
              </w:rPr>
              <w:t>gb</w:t>
            </w:r>
          </w:p>
        </w:tc>
        <w:tc>
          <w:tcPr>
            <w:tcW w:w="1419" w:type="dxa"/>
          </w:tcPr>
          <w:p w14:paraId="6618AC4D" w14:textId="77777777" w:rsidR="00AD22FB" w:rsidRPr="00EB5313" w:rsidRDefault="00EB5313" w:rsidP="00EB5313">
            <w:pPr>
              <w:jc w:val="center"/>
              <w:rPr>
                <w:i/>
              </w:rPr>
            </w:pPr>
            <w:r>
              <w:rPr>
                <w:i/>
              </w:rPr>
              <w:t>f</w:t>
            </w:r>
            <w:r w:rsidRPr="00EB5313">
              <w:rPr>
                <w:i/>
                <w:vertAlign w:val="subscript"/>
              </w:rPr>
              <w:t>gp</w:t>
            </w:r>
          </w:p>
        </w:tc>
        <w:tc>
          <w:tcPr>
            <w:tcW w:w="1420" w:type="dxa"/>
          </w:tcPr>
          <w:p w14:paraId="5B970559" w14:textId="77777777" w:rsidR="00AD22FB" w:rsidRPr="00EB5313" w:rsidRDefault="00EB5313" w:rsidP="00EB5313">
            <w:pPr>
              <w:jc w:val="center"/>
              <w:rPr>
                <w:i/>
              </w:rPr>
            </w:pPr>
            <w:r>
              <w:rPr>
                <w:i/>
              </w:rPr>
              <w:t>f</w:t>
            </w:r>
            <w:r w:rsidRPr="00EB5313">
              <w:rPr>
                <w:i/>
                <w:vertAlign w:val="subscript"/>
              </w:rPr>
              <w:t>ga</w:t>
            </w:r>
          </w:p>
        </w:tc>
        <w:tc>
          <w:tcPr>
            <w:tcW w:w="1420" w:type="dxa"/>
          </w:tcPr>
          <w:p w14:paraId="4BB51F71" w14:textId="77777777" w:rsidR="00AD22FB" w:rsidRPr="00EB5313" w:rsidRDefault="00EB5313" w:rsidP="00EB5313">
            <w:pPr>
              <w:jc w:val="center"/>
              <w:rPr>
                <w:i/>
              </w:rPr>
            </w:pPr>
            <w:r>
              <w:rPr>
                <w:i/>
              </w:rPr>
              <w:t>f</w:t>
            </w:r>
            <w:r w:rsidRPr="00EB5313">
              <w:rPr>
                <w:i/>
                <w:vertAlign w:val="subscript"/>
              </w:rPr>
              <w:t>gr</w:t>
            </w:r>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r>
              <w:rPr>
                <w:i/>
              </w:rPr>
              <w:t>f</w:t>
            </w:r>
            <w:r w:rsidRPr="00EB5313">
              <w:rPr>
                <w:i/>
                <w:vertAlign w:val="subscript"/>
              </w:rPr>
              <w:t>bg</w:t>
            </w:r>
          </w:p>
        </w:tc>
        <w:tc>
          <w:tcPr>
            <w:tcW w:w="1419" w:type="dxa"/>
          </w:tcPr>
          <w:p w14:paraId="085A5AD6" w14:textId="77777777" w:rsidR="00AD22FB" w:rsidRPr="00EB5313" w:rsidRDefault="00EB5313" w:rsidP="00EB5313">
            <w:pPr>
              <w:jc w:val="center"/>
              <w:rPr>
                <w:i/>
              </w:rPr>
            </w:pPr>
            <w:r>
              <w:rPr>
                <w:i/>
              </w:rPr>
              <w:t>A</w:t>
            </w:r>
            <w:r w:rsidRPr="00EB5313">
              <w:rPr>
                <w:i/>
                <w:vertAlign w:val="subscript"/>
              </w:rPr>
              <w:t>bb</w:t>
            </w:r>
          </w:p>
        </w:tc>
        <w:tc>
          <w:tcPr>
            <w:tcW w:w="1419" w:type="dxa"/>
          </w:tcPr>
          <w:p w14:paraId="0D5B7426" w14:textId="77777777" w:rsidR="00AD22FB" w:rsidRPr="00EB5313" w:rsidRDefault="00EB5313" w:rsidP="00EB5313">
            <w:pPr>
              <w:jc w:val="center"/>
              <w:rPr>
                <w:i/>
              </w:rPr>
            </w:pPr>
            <w:r>
              <w:rPr>
                <w:i/>
              </w:rPr>
              <w:t>f</w:t>
            </w:r>
            <w:r w:rsidRPr="00EB5313">
              <w:rPr>
                <w:i/>
                <w:vertAlign w:val="subscript"/>
              </w:rPr>
              <w:t>bp</w:t>
            </w:r>
          </w:p>
        </w:tc>
        <w:tc>
          <w:tcPr>
            <w:tcW w:w="1420" w:type="dxa"/>
          </w:tcPr>
          <w:p w14:paraId="08839652" w14:textId="77777777" w:rsidR="00AD22FB" w:rsidRPr="00EB5313" w:rsidRDefault="00EB5313" w:rsidP="00EB5313">
            <w:pPr>
              <w:jc w:val="center"/>
              <w:rPr>
                <w:i/>
              </w:rPr>
            </w:pPr>
            <w:r>
              <w:rPr>
                <w:i/>
              </w:rPr>
              <w:t>f</w:t>
            </w:r>
            <w:r w:rsidRPr="00EB5313">
              <w:rPr>
                <w:i/>
                <w:vertAlign w:val="subscript"/>
              </w:rPr>
              <w:t>ba</w:t>
            </w:r>
          </w:p>
        </w:tc>
        <w:tc>
          <w:tcPr>
            <w:tcW w:w="1420" w:type="dxa"/>
          </w:tcPr>
          <w:p w14:paraId="3B2A8A53" w14:textId="77777777" w:rsidR="00AD22FB" w:rsidRPr="00EB5313" w:rsidRDefault="00EB5313" w:rsidP="00EB5313">
            <w:pPr>
              <w:jc w:val="center"/>
              <w:rPr>
                <w:i/>
              </w:rPr>
            </w:pPr>
            <w:r>
              <w:rPr>
                <w:i/>
              </w:rPr>
              <w:t>f</w:t>
            </w:r>
            <w:r w:rsidRPr="00EB5313">
              <w:rPr>
                <w:i/>
                <w:vertAlign w:val="subscript"/>
              </w:rPr>
              <w:t>br</w:t>
            </w:r>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r>
              <w:rPr>
                <w:i/>
              </w:rPr>
              <w:t>f</w:t>
            </w:r>
            <w:r w:rsidRPr="00EB5313">
              <w:rPr>
                <w:i/>
                <w:vertAlign w:val="subscript"/>
              </w:rPr>
              <w:t>pg</w:t>
            </w:r>
          </w:p>
        </w:tc>
        <w:tc>
          <w:tcPr>
            <w:tcW w:w="1419" w:type="dxa"/>
          </w:tcPr>
          <w:p w14:paraId="3AB88B27" w14:textId="77777777" w:rsidR="00AD22FB" w:rsidRPr="00EB5313" w:rsidRDefault="00EB5313" w:rsidP="00EB5313">
            <w:pPr>
              <w:jc w:val="center"/>
              <w:rPr>
                <w:i/>
              </w:rPr>
            </w:pPr>
            <w:r>
              <w:rPr>
                <w:i/>
              </w:rPr>
              <w:t>A</w:t>
            </w:r>
            <w:r w:rsidRPr="00EB5313">
              <w:rPr>
                <w:i/>
                <w:vertAlign w:val="subscript"/>
              </w:rPr>
              <w:t>pb</w:t>
            </w:r>
          </w:p>
        </w:tc>
        <w:tc>
          <w:tcPr>
            <w:tcW w:w="1419" w:type="dxa"/>
          </w:tcPr>
          <w:p w14:paraId="54BF30EE" w14:textId="77777777" w:rsidR="00AD22FB" w:rsidRPr="00EB5313" w:rsidRDefault="00EB5313" w:rsidP="00EB5313">
            <w:pPr>
              <w:jc w:val="center"/>
              <w:rPr>
                <w:i/>
              </w:rPr>
            </w:pPr>
            <w:r>
              <w:rPr>
                <w:i/>
              </w:rPr>
              <w:t>f</w:t>
            </w:r>
            <w:r w:rsidRPr="00EB5313">
              <w:rPr>
                <w:i/>
                <w:vertAlign w:val="subscript"/>
              </w:rPr>
              <w:t>pp</w:t>
            </w:r>
          </w:p>
        </w:tc>
        <w:tc>
          <w:tcPr>
            <w:tcW w:w="1420" w:type="dxa"/>
          </w:tcPr>
          <w:p w14:paraId="45C50B87" w14:textId="77777777" w:rsidR="00AD22FB" w:rsidRPr="00EB5313" w:rsidRDefault="00EB5313" w:rsidP="00EB5313">
            <w:pPr>
              <w:jc w:val="center"/>
              <w:rPr>
                <w:i/>
              </w:rPr>
            </w:pPr>
            <w:r>
              <w:rPr>
                <w:i/>
              </w:rPr>
              <w:t>f</w:t>
            </w:r>
            <w:r w:rsidRPr="00EB5313">
              <w:rPr>
                <w:i/>
                <w:vertAlign w:val="subscript"/>
              </w:rPr>
              <w:t>pa</w:t>
            </w:r>
          </w:p>
        </w:tc>
        <w:tc>
          <w:tcPr>
            <w:tcW w:w="1420" w:type="dxa"/>
          </w:tcPr>
          <w:p w14:paraId="3358178E" w14:textId="77777777" w:rsidR="00AD22FB" w:rsidRPr="00EB5313" w:rsidRDefault="00EB5313" w:rsidP="00EB5313">
            <w:pPr>
              <w:jc w:val="center"/>
              <w:rPr>
                <w:i/>
              </w:rPr>
            </w:pPr>
            <w:r>
              <w:rPr>
                <w:i/>
              </w:rPr>
              <w:t>f</w:t>
            </w:r>
            <w:r w:rsidRPr="00EB5313">
              <w:rPr>
                <w:i/>
                <w:vertAlign w:val="subscript"/>
              </w:rPr>
              <w:t>pr</w:t>
            </w:r>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r>
              <w:rPr>
                <w:i/>
              </w:rPr>
              <w:t>f</w:t>
            </w:r>
            <w:r w:rsidRPr="00EB5313">
              <w:rPr>
                <w:i/>
                <w:vertAlign w:val="subscript"/>
              </w:rPr>
              <w:t>aa</w:t>
            </w:r>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r>
              <w:rPr>
                <w:i/>
              </w:rPr>
              <w:t>t</w:t>
            </w:r>
            <w:r w:rsidRPr="00EB5313">
              <w:rPr>
                <w:i/>
                <w:vertAlign w:val="subscript"/>
              </w:rPr>
              <w:t>rg</w:t>
            </w:r>
          </w:p>
        </w:tc>
        <w:tc>
          <w:tcPr>
            <w:tcW w:w="1419" w:type="dxa"/>
          </w:tcPr>
          <w:p w14:paraId="5CF00638" w14:textId="77777777" w:rsidR="00AD22FB" w:rsidRPr="00EB5313" w:rsidRDefault="00EB5313" w:rsidP="00EB5313">
            <w:pPr>
              <w:jc w:val="center"/>
              <w:rPr>
                <w:i/>
              </w:rPr>
            </w:pPr>
            <w:r>
              <w:rPr>
                <w:i/>
              </w:rPr>
              <w:t>t</w:t>
            </w:r>
            <w:r w:rsidRPr="00EB5313">
              <w:rPr>
                <w:i/>
                <w:vertAlign w:val="subscript"/>
              </w:rPr>
              <w:t>rb</w:t>
            </w:r>
          </w:p>
        </w:tc>
        <w:tc>
          <w:tcPr>
            <w:tcW w:w="1419" w:type="dxa"/>
          </w:tcPr>
          <w:p w14:paraId="7F2B8222" w14:textId="77777777" w:rsidR="00AD22FB" w:rsidRPr="00EB5313" w:rsidRDefault="00EB5313" w:rsidP="00EB5313">
            <w:pPr>
              <w:jc w:val="center"/>
              <w:rPr>
                <w:i/>
              </w:rPr>
            </w:pPr>
            <w:r>
              <w:rPr>
                <w:i/>
              </w:rPr>
              <w:t>t</w:t>
            </w:r>
            <w:r w:rsidRPr="00EB5313">
              <w:rPr>
                <w:i/>
                <w:vertAlign w:val="subscript"/>
              </w:rPr>
              <w:t>rp</w:t>
            </w:r>
          </w:p>
        </w:tc>
        <w:tc>
          <w:tcPr>
            <w:tcW w:w="1420" w:type="dxa"/>
          </w:tcPr>
          <w:p w14:paraId="432C52DB" w14:textId="77777777" w:rsidR="00AD22FB" w:rsidRPr="00EB5313" w:rsidRDefault="00EB5313" w:rsidP="00EB5313">
            <w:pPr>
              <w:jc w:val="center"/>
              <w:rPr>
                <w:i/>
              </w:rPr>
            </w:pPr>
            <w:r>
              <w:rPr>
                <w:i/>
              </w:rPr>
              <w:t>f</w:t>
            </w:r>
            <w:r w:rsidRPr="00EB5313">
              <w:rPr>
                <w:i/>
                <w:vertAlign w:val="subscript"/>
              </w:rPr>
              <w:t>ra</w:t>
            </w:r>
          </w:p>
        </w:tc>
        <w:tc>
          <w:tcPr>
            <w:tcW w:w="1420" w:type="dxa"/>
          </w:tcPr>
          <w:p w14:paraId="167362D1" w14:textId="77777777" w:rsidR="00AD22FB" w:rsidRPr="00EB5313" w:rsidRDefault="00EB5313" w:rsidP="00EB5313">
            <w:pPr>
              <w:jc w:val="center"/>
              <w:rPr>
                <w:i/>
              </w:rPr>
            </w:pPr>
            <w:r>
              <w:rPr>
                <w:i/>
              </w:rPr>
              <w:t>f</w:t>
            </w:r>
            <w:r w:rsidRPr="00EB5313">
              <w:rPr>
                <w:i/>
                <w:vertAlign w:val="subscript"/>
              </w:rPr>
              <w:t>rr</w:t>
            </w:r>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r>
              <w:rPr>
                <w:i/>
              </w:rPr>
              <w:t>t</w:t>
            </w:r>
            <w:r w:rsidRPr="00EB5313">
              <w:rPr>
                <w:i/>
                <w:vertAlign w:val="subscript"/>
              </w:rPr>
              <w:t>wg</w:t>
            </w:r>
          </w:p>
        </w:tc>
        <w:tc>
          <w:tcPr>
            <w:tcW w:w="1419" w:type="dxa"/>
          </w:tcPr>
          <w:p w14:paraId="7EB9BBA2" w14:textId="77777777" w:rsidR="00AD22FB" w:rsidRPr="00EB5313" w:rsidRDefault="00EB5313" w:rsidP="00EB5313">
            <w:pPr>
              <w:jc w:val="center"/>
              <w:rPr>
                <w:i/>
              </w:rPr>
            </w:pPr>
            <w:r>
              <w:rPr>
                <w:i/>
              </w:rPr>
              <w:t>t</w:t>
            </w:r>
            <w:r w:rsidRPr="00EB5313">
              <w:rPr>
                <w:i/>
                <w:vertAlign w:val="subscript"/>
              </w:rPr>
              <w:t>wb</w:t>
            </w:r>
          </w:p>
        </w:tc>
        <w:tc>
          <w:tcPr>
            <w:tcW w:w="1419" w:type="dxa"/>
          </w:tcPr>
          <w:p w14:paraId="3660390D" w14:textId="77777777" w:rsidR="00AD22FB" w:rsidRPr="00EB5313" w:rsidRDefault="00EB5313" w:rsidP="00EB5313">
            <w:pPr>
              <w:jc w:val="center"/>
              <w:rPr>
                <w:i/>
              </w:rPr>
            </w:pPr>
            <w:r>
              <w:rPr>
                <w:i/>
              </w:rPr>
              <w:t>t</w:t>
            </w:r>
            <w:r w:rsidRPr="00EB5313">
              <w:rPr>
                <w:i/>
                <w:vertAlign w:val="subscript"/>
              </w:rPr>
              <w:t>wp</w:t>
            </w:r>
          </w:p>
        </w:tc>
        <w:tc>
          <w:tcPr>
            <w:tcW w:w="1420" w:type="dxa"/>
          </w:tcPr>
          <w:p w14:paraId="247983A9" w14:textId="77777777" w:rsidR="00AD22FB" w:rsidRPr="00EB5313" w:rsidRDefault="00EB5313" w:rsidP="00EB5313">
            <w:pPr>
              <w:jc w:val="center"/>
              <w:rPr>
                <w:i/>
              </w:rPr>
            </w:pPr>
            <w:r>
              <w:rPr>
                <w:i/>
              </w:rPr>
              <w:t>f</w:t>
            </w:r>
            <w:r w:rsidRPr="00EB5313">
              <w:rPr>
                <w:i/>
                <w:vertAlign w:val="subscript"/>
              </w:rPr>
              <w:t>wa</w:t>
            </w:r>
          </w:p>
        </w:tc>
        <w:tc>
          <w:tcPr>
            <w:tcW w:w="1420" w:type="dxa"/>
          </w:tcPr>
          <w:p w14:paraId="64BCBF5C" w14:textId="77777777" w:rsidR="00AD22FB" w:rsidRPr="00EB5313" w:rsidRDefault="00EB5313" w:rsidP="00EB5313">
            <w:pPr>
              <w:jc w:val="center"/>
              <w:rPr>
                <w:i/>
              </w:rPr>
            </w:pPr>
            <w:r>
              <w:rPr>
                <w:i/>
              </w:rPr>
              <w:t>f</w:t>
            </w:r>
            <w:r w:rsidRPr="00EB5313">
              <w:rPr>
                <w:i/>
                <w:vertAlign w:val="subscript"/>
              </w:rPr>
              <w:t>wr</w:t>
            </w:r>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r>
        <w:t>where</w:t>
      </w:r>
    </w:p>
    <w:p w14:paraId="7B0AB3C8" w14:textId="77777777" w:rsidR="000F1391" w:rsidRDefault="000F1391" w:rsidP="001342B4">
      <w:pPr>
        <w:ind w:left="360"/>
      </w:pPr>
    </w:p>
    <w:p w14:paraId="649FE7CE" w14:textId="77777777" w:rsidR="000F1391" w:rsidRDefault="00550916"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658CB641" w14:textId="77777777" w:rsidR="000F1391" w:rsidRDefault="00550916"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6238D572" w14:textId="77777777" w:rsidR="000F1391" w:rsidRDefault="00550916"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55091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55091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550916"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550916"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550916"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GBasket/yr</w:t>
            </w:r>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r>
              <w:t>tonnes/yr</w:t>
            </w:r>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work-yr/y</w:t>
            </w:r>
            <w:r w:rsidR="000F1391">
              <w:t>r</w:t>
            </w:r>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r>
              <w:rPr>
                <w:i/>
              </w:rPr>
              <w:t>BaseGDP</w:t>
            </w:r>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r>
              <w:rPr>
                <w:i/>
              </w:rPr>
              <w:t>BA</w:t>
            </w:r>
            <w:r w:rsidRPr="000F1391">
              <w:rPr>
                <w:i/>
                <w:vertAlign w:val="subscript"/>
              </w:rPr>
              <w:t>gp</w:t>
            </w:r>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GBasket/yr</w:t>
            </w:r>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r>
              <w:rPr>
                <w:i/>
              </w:rPr>
              <w:t>BaseSA</w:t>
            </w:r>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r>
              <w:rPr>
                <w:i/>
              </w:rPr>
              <w:t>BNR</w:t>
            </w:r>
            <w:r w:rsidRPr="007056DA">
              <w:rPr>
                <w:i/>
                <w:vertAlign w:val="subscript"/>
              </w:rPr>
              <w:t>b</w:t>
            </w:r>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r>
              <w:rPr>
                <w:i/>
              </w:rPr>
              <w:t>FEED</w:t>
            </w:r>
            <w:r w:rsidRPr="007056DA">
              <w:rPr>
                <w:i/>
                <w:vertAlign w:val="subscript"/>
              </w:rPr>
              <w:t>b</w:t>
            </w:r>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550916"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550916"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550916"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550916"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550916"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257" w:name="_Ref341700214"/>
      <w:bookmarkStart w:id="258" w:name="_Toc381098175"/>
      <w:r>
        <w:t>Computing the Actors Sector</w:t>
      </w:r>
      <w:bookmarkEnd w:id="257"/>
      <w:bookmarkEnd w:id="258"/>
    </w:p>
    <w:p w14:paraId="7C7F78DE"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259" w:name="_Toc381098176"/>
      <w:r>
        <w:t>Computing Actor’s Expenditures</w:t>
      </w:r>
      <w:bookmarkEnd w:id="259"/>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550916"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r>
        <w:t>where</w:t>
      </w:r>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550916"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745E2C9F"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71"/>
      </w:r>
      <w:r>
        <w:t>.</w:t>
      </w:r>
    </w:p>
    <w:p w14:paraId="5BE2C373" w14:textId="77777777" w:rsidR="005B409B" w:rsidRDefault="005B409B" w:rsidP="005B409B">
      <w:pPr>
        <w:pStyle w:val="Definitions"/>
      </w:pPr>
      <w:r>
        <w:rPr>
          <w:i/>
        </w:rPr>
        <w:t>totshares</w:t>
      </w:r>
      <w:r>
        <w:tab/>
        <w:t>=</w:t>
      </w:r>
      <w:r>
        <w:tab/>
        <w:t>Total number of shares given an expenditure class.</w:t>
      </w:r>
    </w:p>
    <w:p w14:paraId="2570FE00"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7ACD1D10"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0135AC">
        <w:rPr>
          <w:b/>
          <w:bCs/>
        </w:rPr>
        <w:t>Error! Reference source not found.</w:t>
      </w:r>
      <w:r w:rsidR="001F15B9">
        <w:fldChar w:fldCharType="end"/>
      </w:r>
      <w:r>
        <w:t>) and expenditures in the actors sector are computed again and again using the same equations.</w:t>
      </w:r>
    </w:p>
    <w:p w14:paraId="784AF7B5" w14:textId="77777777" w:rsidR="00C449C5" w:rsidRDefault="00C449C5" w:rsidP="00C449C5">
      <w:pPr>
        <w:pStyle w:val="Heading4"/>
      </w:pPr>
      <w:bookmarkStart w:id="260" w:name="_Ref340133761"/>
      <w:bookmarkStart w:id="261" w:name="_Toc381098177"/>
      <w:r>
        <w:t>Computing Actor’s Income</w:t>
      </w:r>
      <w:bookmarkEnd w:id="260"/>
      <w:bookmarkEnd w:id="261"/>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550916"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550916"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r>
        <w:t>where</w:t>
      </w:r>
    </w:p>
    <w:p w14:paraId="1136C84F" w14:textId="77777777" w:rsidR="00021725" w:rsidRDefault="00021725" w:rsidP="00C449C5"/>
    <w:p w14:paraId="7DAF27FB" w14:textId="77777777" w:rsidR="00021725" w:rsidRDefault="00550916"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550916"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1798EA3A"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605E82A4"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24C6CA09" w14:textId="77777777" w:rsidR="00021725" w:rsidRDefault="00550916"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550916"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550916"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550916"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550916"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r>
        <w:t>where</w:t>
      </w:r>
    </w:p>
    <w:p w14:paraId="4860ED43" w14:textId="77777777" w:rsidR="00366541" w:rsidRDefault="00366541" w:rsidP="00C449C5"/>
    <w:p w14:paraId="497AFA1B" w14:textId="77777777" w:rsidR="00366541" w:rsidRDefault="00550916"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0DD9C4B0"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16980534"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10C494C" w14:textId="77777777" w:rsidR="00366541" w:rsidRDefault="00550916"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550916"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550916"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550916"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4496E8E5" w14:textId="77777777" w:rsidR="00496FB2" w:rsidRDefault="00496FB2" w:rsidP="00496FB2"/>
    <w:p w14:paraId="6C716B3C" w14:textId="77777777" w:rsidR="00496FB2" w:rsidRDefault="00550916"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550916"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r>
        <w:t>where</w:t>
      </w:r>
    </w:p>
    <w:p w14:paraId="6760855C" w14:textId="77777777" w:rsidR="00D97E16" w:rsidRDefault="00D97E16" w:rsidP="00D97E16"/>
    <w:p w14:paraId="7CE9165A" w14:textId="77777777" w:rsidR="00462029" w:rsidRDefault="00550916"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150B652C" w14:textId="77777777" w:rsidR="00462029" w:rsidRDefault="00550916"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13500CE"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262" w:name="_Toc310421871"/>
      <w:bookmarkStart w:id="263" w:name="_Toc381098178"/>
      <w:r>
        <w:t>Text Notation</w:t>
      </w:r>
      <w:bookmarkEnd w:id="262"/>
      <w:bookmarkEnd w:id="263"/>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550916"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2EDE840D" w14:textId="77777777" w:rsidR="004F6A40" w:rsidRDefault="00550916"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297CB865" w14:textId="77777777" w:rsidR="004F6A40" w:rsidRDefault="00550916"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30BAD415" w14:textId="77777777" w:rsidR="004F6A40" w:rsidRDefault="00550916"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0A66F7DC" w14:textId="77777777" w:rsidR="004F6A40" w:rsidRDefault="00550916"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550916"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2EBC89A" w14:textId="77777777" w:rsidR="00E94451" w:rsidRDefault="00E94451" w:rsidP="004F6A40">
      <w:pPr>
        <w:pStyle w:val="Definitions"/>
      </w:pPr>
    </w:p>
    <w:p w14:paraId="4A7B92A3" w14:textId="77777777" w:rsidR="004F6A40" w:rsidRDefault="004F6A40" w:rsidP="004F6A40">
      <w:pPr>
        <w:pStyle w:val="Heading3"/>
      </w:pPr>
      <w:bookmarkStart w:id="264" w:name="_Toc310421872"/>
      <w:bookmarkStart w:id="265" w:name="_Toc381098179"/>
      <w:r>
        <w:t>Shape vs. Size</w:t>
      </w:r>
      <w:bookmarkEnd w:id="264"/>
      <w:bookmarkEnd w:id="265"/>
    </w:p>
    <w:p w14:paraId="01B55721"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0135AC">
        <w:t>10.2</w:t>
      </w:r>
      <w:r w:rsidR="001F15B9">
        <w:fldChar w:fldCharType="end"/>
      </w:r>
      <w:r>
        <w:t>.</w:t>
      </w:r>
    </w:p>
    <w:p w14:paraId="660E6ED2" w14:textId="77777777" w:rsidR="004F6A40" w:rsidRDefault="004F6A40" w:rsidP="004F6A40">
      <w:pPr>
        <w:pStyle w:val="Heading3"/>
      </w:pPr>
      <w:bookmarkStart w:id="266" w:name="_Toc310421873"/>
      <w:bookmarkStart w:id="267" w:name="_Toc381098180"/>
      <w:r>
        <w:t>Production Functions</w:t>
      </w:r>
      <w:bookmarkEnd w:id="266"/>
      <w:bookmarkEnd w:id="267"/>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268" w:name="__RefHeading__1421_2040446466"/>
      <w:bookmarkStart w:id="269" w:name="_Toc310421874"/>
      <w:bookmarkStart w:id="270" w:name="_Toc381098181"/>
      <w:r>
        <w:t>Calibrating the CGE</w:t>
      </w:r>
      <w:bookmarkEnd w:id="268"/>
      <w:bookmarkEnd w:id="269"/>
      <w:bookmarkEnd w:id="270"/>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271" w:name="_Toc310421877"/>
      <w:bookmarkStart w:id="272" w:name="_Toc381098182"/>
      <w:r>
        <w:t>Set the Base Consumption</w:t>
      </w:r>
      <w:bookmarkEnd w:id="271"/>
      <w:bookmarkEnd w:id="272"/>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273" w:name="_Toc310421878"/>
      <w:bookmarkStart w:id="274" w:name="_Toc381098183"/>
      <w:r>
        <w:lastRenderedPageBreak/>
        <w:t>Scenario Inputs</w:t>
      </w:r>
      <w:bookmarkEnd w:id="273"/>
      <w:bookmarkEnd w:id="274"/>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r>
              <w:rPr>
                <w:rFonts w:ascii="Courier New" w:hAnsi="Courier New" w:cs="Courier New"/>
              </w:rPr>
              <w:t>Bgraft</w:t>
            </w:r>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275" w:name="__RefHeading__1469_2040446466"/>
      <w:bookmarkStart w:id="276" w:name="_Toc310421879"/>
      <w:bookmarkStart w:id="277" w:name="_Toc381098184"/>
      <w:r>
        <w:lastRenderedPageBreak/>
        <w:t>Run-time Inputs</w:t>
      </w:r>
      <w:bookmarkEnd w:id="275"/>
      <w:bookmarkEnd w:id="276"/>
      <w:bookmarkEnd w:id="277"/>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sidR="000135AC">
              <w:rPr>
                <w:rFonts w:asciiTheme="minorHAnsi" w:hAnsiTheme="minorHAnsi"/>
              </w:rPr>
              <w:t>9.7.3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278" w:name="_Toc310421880"/>
      <w:bookmarkStart w:id="279" w:name="_Toc381098185"/>
      <w:r>
        <w:lastRenderedPageBreak/>
        <w:t>Outputs</w:t>
      </w:r>
      <w:bookmarkEnd w:id="278"/>
      <w:bookmarkEnd w:id="279"/>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280" w:name="_Toc310421881"/>
      <w:bookmarkStart w:id="281" w:name="_Toc381098186"/>
      <w:r>
        <w:t>Ways to Affect the Economy</w:t>
      </w:r>
      <w:bookmarkEnd w:id="280"/>
      <w:bookmarkEnd w:id="281"/>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0135AC">
        <w:t>10.9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282" w:name="_Toc310421882"/>
      <w:bookmarkStart w:id="283" w:name="_Toc381098187"/>
      <w:r>
        <w:t>Ways the Economy Affects Athena</w:t>
      </w:r>
      <w:bookmarkEnd w:id="282"/>
      <w:bookmarkEnd w:id="283"/>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0135AC">
        <w:t>9</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284" w:name="_Ref254413695"/>
      <w:bookmarkStart w:id="285" w:name="_Toc381098188"/>
      <w:r>
        <w:lastRenderedPageBreak/>
        <w:t>GOODS production</w:t>
      </w:r>
      <w:r w:rsidR="00424E67">
        <w:t xml:space="preserve"> infrastructure</w:t>
      </w:r>
      <w:bookmarkEnd w:id="284"/>
      <w:bookmarkEnd w:id="285"/>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286" w:name="_Toc381098189"/>
      <w:r>
        <w:t>Initial Laydown</w:t>
      </w:r>
      <w:r w:rsidR="004E0FD6">
        <w:t xml:space="preserve"> of </w:t>
      </w:r>
      <w:r w:rsidR="007F6667">
        <w:t xml:space="preserve">GOODS </w:t>
      </w:r>
      <w:r w:rsidR="004E0FD6">
        <w:t>Production Infrastructure</w:t>
      </w:r>
      <w:bookmarkEnd w:id="286"/>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287" w:name="_Toc381098190"/>
      <w:r>
        <w:t>Allocated to</w:t>
      </w:r>
      <w:r w:rsidR="00DD1D94">
        <w:t xml:space="preserve"> Neighborhood</w:t>
      </w:r>
      <w:r>
        <w:t>s</w:t>
      </w:r>
      <w:bookmarkEnd w:id="287"/>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14:paraId="4DFE0B2B" w14:textId="77777777" w:rsidR="008A5054" w:rsidRDefault="008A5054" w:rsidP="007F6667"/>
    <w:p w14:paraId="310F3B88" w14:textId="2D733D51" w:rsidR="008A5054" w:rsidRDefault="00550916"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r>
        <w:t>where</w:t>
      </w:r>
    </w:p>
    <w:p w14:paraId="77DBB6B2" w14:textId="77777777" w:rsidR="00603C3B" w:rsidRDefault="00603C3B" w:rsidP="007F6667"/>
    <w:p w14:paraId="743FD887" w14:textId="363C71B4"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7646C0D6" w14:textId="130DDBE9"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1360CCC7" w14:textId="6823E461" w:rsidR="00603C3B" w:rsidRDefault="00550916"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039CABAA" w14:textId="3E204CC0" w:rsidR="00603C3B" w:rsidRDefault="00550916"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42FCCC5D" w14:textId="7738F5CE" w:rsidR="00603C3B" w:rsidRDefault="00550916"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288" w:name="_Toc381098191"/>
      <w:r>
        <w:t>Allocated to Actors</w:t>
      </w:r>
      <w:bookmarkEnd w:id="288"/>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550916"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r>
        <w:t>where</w:t>
      </w:r>
    </w:p>
    <w:p w14:paraId="726BE0C9" w14:textId="77777777" w:rsidR="002E70B5" w:rsidRDefault="002E70B5" w:rsidP="002E70B5"/>
    <w:p w14:paraId="00B327C5" w14:textId="21F273A1"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4095B59" w14:textId="64D9A85D"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26025AAC" w14:textId="50DFC006"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550916"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289" w:name="_Toc381098192"/>
      <w:r>
        <w:lastRenderedPageBreak/>
        <w:t>Degradation and Maintenance</w:t>
      </w:r>
      <w:r w:rsidR="00DD1D94">
        <w:t xml:space="preserve"> of Infrastructure</w:t>
      </w:r>
      <w:bookmarkEnd w:id="289"/>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550916"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r>
        <w:t>where</w:t>
      </w:r>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550916"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47A5DB1" w14:textId="6D6E9D3D"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77"/>
      </w:r>
      <w:r>
        <w:t>.</w:t>
      </w:r>
    </w:p>
    <w:p w14:paraId="42568CE9" w14:textId="61AC576B" w:rsidR="000B749B" w:rsidRDefault="000B749B" w:rsidP="000B749B">
      <w:pPr>
        <w:pStyle w:val="Definitions"/>
      </w:pPr>
      <w:r>
        <w:rPr>
          <w:i/>
        </w:rPr>
        <w:t>dollars</w:t>
      </w:r>
      <w:r>
        <w:tab/>
        <w:t>=</w:t>
      </w:r>
      <w:r>
        <w:tab/>
        <w:t>The amount of money allocated to repair in a given week.</w:t>
      </w:r>
    </w:p>
    <w:p w14:paraId="744AAA87" w14:textId="7DB2115C"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290" w:name="_Toc381098193"/>
      <w:r>
        <w:t>Building New Infrastructure</w:t>
      </w:r>
      <w:bookmarkEnd w:id="290"/>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550916"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550916"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r>
        <w:t>where</w:t>
      </w:r>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550916"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2415AE6" w14:textId="6B99FDE0"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79"/>
      </w:r>
      <w:r>
        <w:t>.</w:t>
      </w:r>
    </w:p>
    <w:p w14:paraId="1048EF8A" w14:textId="04850467" w:rsidR="00984C43" w:rsidRDefault="00984C43" w:rsidP="00984C43">
      <w:pPr>
        <w:pStyle w:val="Definitions"/>
      </w:pPr>
      <w:r>
        <w:rPr>
          <w:i/>
        </w:rPr>
        <w:t>dollars</w:t>
      </w:r>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291" w:name="_Toc381098194"/>
      <w:r>
        <w:t>Damaging Existing Infrastructure</w:t>
      </w:r>
      <w:bookmarkEnd w:id="291"/>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9BC226" w14:textId="77777777" w:rsidR="00753E07" w:rsidRDefault="00415184" w:rsidP="00415184">
      <w:pPr>
        <w:pStyle w:val="Heading2"/>
      </w:pPr>
      <w:bookmarkStart w:id="292" w:name="_Toc381098195"/>
      <w:r>
        <w:lastRenderedPageBreak/>
        <w:t>Communications Infrastructure</w:t>
      </w:r>
      <w:bookmarkEnd w:id="292"/>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0135A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293" w:name="_Toc381098196"/>
      <w:r>
        <w:t>Communications Asset Packages</w:t>
      </w:r>
      <w:bookmarkEnd w:id="293"/>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294" w:name="_Toc381098197"/>
      <w:r>
        <w:t>CAP Capacity</w:t>
      </w:r>
      <w:bookmarkEnd w:id="294"/>
    </w:p>
    <w:p w14:paraId="3E45D0C9"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550916"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550916"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0"/>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295" w:name="_Toc381098198"/>
      <w:r>
        <w:t>CAP Neighborhood Coverage</w:t>
      </w:r>
      <w:bookmarkEnd w:id="295"/>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550916"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38ECDF53" w14:textId="77777777" w:rsidR="00A03411" w:rsidRDefault="00A03411" w:rsidP="00A03411">
      <w:pPr>
        <w:pStyle w:val="Heading3"/>
      </w:pPr>
      <w:bookmarkStart w:id="296" w:name="_Toc381098199"/>
      <w:r>
        <w:t>CAP Group Penetration</w:t>
      </w:r>
      <w:bookmarkEnd w:id="296"/>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550916"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587E375D" w14:textId="77777777" w:rsidR="00A03411" w:rsidRDefault="00A03411" w:rsidP="00A03411">
      <w:pPr>
        <w:pStyle w:val="Heading3"/>
      </w:pPr>
      <w:bookmarkStart w:id="297" w:name="_Ref339611268"/>
      <w:bookmarkStart w:id="298" w:name="_Toc381098200"/>
      <w:r>
        <w:t>CAP Audience</w:t>
      </w:r>
      <w:bookmarkEnd w:id="297"/>
      <w:bookmarkEnd w:id="298"/>
    </w:p>
    <w:p w14:paraId="7D1EBDBA"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1F618BB2" w14:textId="77777777" w:rsidR="00A03411" w:rsidRDefault="00A03411" w:rsidP="00A03411"/>
    <w:p w14:paraId="7C3900B4" w14:textId="77777777" w:rsidR="00A03411" w:rsidRPr="00303ABF" w:rsidRDefault="00550916"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299" w:name="_Toc381098201"/>
      <w:r>
        <w:t>Broadcast Cost</w:t>
      </w:r>
      <w:bookmarkEnd w:id="299"/>
    </w:p>
    <w:p w14:paraId="11F406B3"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14:paraId="59B1BAB9" w14:textId="77777777" w:rsidR="00A03411" w:rsidRPr="00A03411" w:rsidRDefault="00A03411" w:rsidP="00A03411"/>
    <w:p w14:paraId="12551FCE" w14:textId="77777777" w:rsidR="00A03411" w:rsidRDefault="005068B6" w:rsidP="005068B6">
      <w:pPr>
        <w:pStyle w:val="Heading3"/>
      </w:pPr>
      <w:bookmarkStart w:id="300" w:name="_Toc381098202"/>
      <w:r>
        <w:lastRenderedPageBreak/>
        <w:t>CAP Ownership and Access Control</w:t>
      </w:r>
      <w:bookmarkEnd w:id="300"/>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0135A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01" w:name="_Ref339608710"/>
      <w:bookmarkStart w:id="302" w:name="_Toc381098203"/>
      <w:r>
        <w:lastRenderedPageBreak/>
        <w:t>Information Operations</w:t>
      </w:r>
      <w:bookmarkEnd w:id="301"/>
      <w:bookmarkEnd w:id="302"/>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0135A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03" w:name="_Toc381098204"/>
      <w:r>
        <w:t>Semantic Hooks</w:t>
      </w:r>
      <w:r w:rsidR="005B747B">
        <w:t xml:space="preserve">, </w:t>
      </w:r>
      <w:r>
        <w:t>Congruence</w:t>
      </w:r>
      <w:r w:rsidR="005B747B">
        <w:t>, and Resonance</w:t>
      </w:r>
      <w:bookmarkEnd w:id="303"/>
    </w:p>
    <w:p w14:paraId="75BCCA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0135AC">
        <w:t>3.1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1F15B9">
        <w:fldChar w:fldCharType="begin"/>
      </w:r>
      <w:r>
        <w:instrText xml:space="preserve"> REF _Ref339614530 \r \h </w:instrText>
      </w:r>
      <w:r w:rsidR="001F15B9">
        <w:fldChar w:fldCharType="separate"/>
      </w:r>
      <w:r w:rsidR="000135AC">
        <w:t>13.3.2</w:t>
      </w:r>
      <w:r w:rsidR="001F15B9">
        <w:fldChar w:fldCharType="end"/>
      </w:r>
      <w:r>
        <w:t>.</w:t>
      </w:r>
    </w:p>
    <w:p w14:paraId="55190844" w14:textId="77777777" w:rsidR="007F4B46" w:rsidRDefault="007F4B46" w:rsidP="007F4B46">
      <w:pPr>
        <w:pStyle w:val="Heading3"/>
      </w:pPr>
      <w:bookmarkStart w:id="304" w:name="_Toc381098205"/>
      <w:r>
        <w:t>Payloads</w:t>
      </w:r>
      <w:bookmarkEnd w:id="304"/>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0135A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05" w:name="_Ref339612168"/>
      <w:bookmarkStart w:id="306" w:name="_Toc381098206"/>
      <w:r>
        <w:t>Broadcasting an IOM</w:t>
      </w:r>
      <w:bookmarkEnd w:id="305"/>
      <w:bookmarkEnd w:id="306"/>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07" w:name="_Toc381098207"/>
      <w:r>
        <w:lastRenderedPageBreak/>
        <w:t>Access to the Broadcast CAP</w:t>
      </w:r>
      <w:bookmarkEnd w:id="307"/>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08" w:name="_Ref339614530"/>
      <w:bookmarkStart w:id="309" w:name="_Toc381098208"/>
      <w:r>
        <w:t>IOM Acceptability</w:t>
      </w:r>
      <w:bookmarkEnd w:id="308"/>
      <w:bookmarkEnd w:id="309"/>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550916"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r>
        <w:t>where</w:t>
      </w:r>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t>The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t>The actor perceived to have sent the IOM</w:t>
      </w:r>
    </w:p>
    <w:p w14:paraId="2658EE03" w14:textId="77777777" w:rsidR="009A392F" w:rsidRDefault="00550916"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550916"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550916"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1FFF05A5" w:rsidR="00511E87" w:rsidRDefault="00550916" w:rsidP="004A7164">
      <w:pPr>
        <w:jc w:val="center"/>
      </w:pPr>
      <w:r>
        <w:rPr>
          <w:i/>
          <w:noProof/>
        </w:rPr>
      </w:r>
      <w:r>
        <w:rPr>
          <w:i/>
          <w:noProof/>
        </w:rPr>
        <w:pict w14:anchorId="427E12BC">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C32465" w:rsidRDefault="00C3246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550916"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10" w:name="_Toc381098209"/>
      <w:r>
        <w:t>Payload Magnitudes</w:t>
      </w:r>
      <w:bookmarkEnd w:id="310"/>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550916"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11" w:name="_Toc381098210"/>
      <w:r>
        <w:t>Summary</w:t>
      </w:r>
      <w:bookmarkEnd w:id="311"/>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12" w:name="_Toc381098211"/>
      <w:r>
        <w:t>IOM Example</w:t>
      </w:r>
      <w:bookmarkEnd w:id="312"/>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AA2AC9D" w14:textId="77777777" w:rsidR="00832977" w:rsidRDefault="00832977" w:rsidP="00832977"/>
    <w:p w14:paraId="0DC4E977"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563D3952" w14:textId="77777777" w:rsidR="00832977" w:rsidRDefault="00832977" w:rsidP="00832977"/>
    <w:p w14:paraId="05CCD662"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Thus, the above payloads will have a strong effect on the rural Elitians, a weak effect on the urban Elitians,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(The Peons, naturally, reject the government and its anti-cat message; and expecting nothing better from these evil tyrants, are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13" w:name="_Toc381098212"/>
      <w:r>
        <w:lastRenderedPageBreak/>
        <w:t>Appendices</w:t>
      </w:r>
      <w:bookmarkEnd w:id="313"/>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314" w:name="_Toc310421885"/>
      <w:bookmarkStart w:id="315" w:name="_Toc381098213"/>
      <w:r>
        <w:lastRenderedPageBreak/>
        <w:t>Acronyms</w:t>
      </w:r>
      <w:bookmarkEnd w:id="314"/>
      <w:bookmarkEnd w:id="315"/>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0A024" w14:textId="77777777" w:rsidR="00550916" w:rsidRDefault="00550916">
      <w:r>
        <w:separator/>
      </w:r>
    </w:p>
    <w:p w14:paraId="6C9C6A74" w14:textId="77777777" w:rsidR="00550916" w:rsidRDefault="00550916"/>
    <w:p w14:paraId="47ACDB20" w14:textId="77777777" w:rsidR="00550916" w:rsidRDefault="00550916" w:rsidP="00D7666B"/>
  </w:endnote>
  <w:endnote w:type="continuationSeparator" w:id="0">
    <w:p w14:paraId="5AFBED6A" w14:textId="77777777" w:rsidR="00550916" w:rsidRDefault="00550916">
      <w:r>
        <w:continuationSeparator/>
      </w:r>
    </w:p>
    <w:p w14:paraId="0DCFE862" w14:textId="77777777" w:rsidR="00550916" w:rsidRDefault="00550916"/>
    <w:p w14:paraId="7C12A827" w14:textId="77777777" w:rsidR="00550916" w:rsidRDefault="0055091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C32465" w:rsidRDefault="00C3246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01425C">
      <w:rPr>
        <w:rStyle w:val="PageNumber"/>
        <w:noProof/>
      </w:rPr>
      <w:t>8</w:t>
    </w:r>
    <w:r>
      <w:rPr>
        <w:rStyle w:val="PageNumber"/>
      </w:rPr>
      <w:fldChar w:fldCharType="end"/>
    </w:r>
  </w:p>
  <w:p w14:paraId="3934FFDC" w14:textId="77777777" w:rsidR="00C32465" w:rsidRDefault="00C32465"/>
  <w:p w14:paraId="41486421" w14:textId="77777777" w:rsidR="00C32465" w:rsidRDefault="00C3246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C44AD" w14:textId="77777777" w:rsidR="00550916" w:rsidRDefault="00550916">
      <w:r>
        <w:separator/>
      </w:r>
    </w:p>
    <w:p w14:paraId="78A38FBD" w14:textId="77777777" w:rsidR="00550916" w:rsidRDefault="00550916"/>
    <w:p w14:paraId="35CE3F45" w14:textId="77777777" w:rsidR="00550916" w:rsidRDefault="00550916" w:rsidP="00D7666B"/>
  </w:footnote>
  <w:footnote w:type="continuationSeparator" w:id="0">
    <w:p w14:paraId="670F09E2" w14:textId="77777777" w:rsidR="00550916" w:rsidRDefault="00550916">
      <w:r>
        <w:continuationSeparator/>
      </w:r>
    </w:p>
    <w:p w14:paraId="46FB18F7" w14:textId="77777777" w:rsidR="00550916" w:rsidRDefault="00550916"/>
    <w:p w14:paraId="29F98ADB" w14:textId="77777777" w:rsidR="00550916" w:rsidRDefault="00550916" w:rsidP="00D7666B"/>
  </w:footnote>
  <w:footnote w:id="1">
    <w:p w14:paraId="3C5B4E65" w14:textId="77777777" w:rsidR="00C32465" w:rsidRDefault="00C32465">
      <w:pPr>
        <w:pStyle w:val="FootnoteText"/>
      </w:pPr>
      <w:r>
        <w:rPr>
          <w:rStyle w:val="FootnoteReference"/>
        </w:rPr>
        <w:footnoteRef/>
      </w:r>
      <w:r>
        <w:t xml:space="preserve"> I.e., knowledgeable about both the problem domain and Athena’s models.</w:t>
      </w:r>
    </w:p>
  </w:footnote>
  <w:footnote w:id="2">
    <w:p w14:paraId="15DB52FC" w14:textId="77777777" w:rsidR="00C32465" w:rsidRDefault="00C3246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C32465" w:rsidRDefault="00C3246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C32465" w:rsidRDefault="00C3246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C32465" w:rsidRDefault="00C32465">
      <w:pPr>
        <w:pStyle w:val="FootnoteText"/>
      </w:pPr>
      <w:r>
        <w:rPr>
          <w:rStyle w:val="FootnoteReference"/>
        </w:rPr>
        <w:footnoteRef/>
      </w:r>
      <w:r>
        <w:t xml:space="preserve"> Or models!  Stability has social, economic, and political dimensions.</w:t>
      </w:r>
    </w:p>
  </w:footnote>
  <w:footnote w:id="6">
    <w:p w14:paraId="7532D3F6" w14:textId="4FF96BB5" w:rsidR="00291D8A" w:rsidRDefault="00291D8A">
      <w:pPr>
        <w:pStyle w:val="FootnoteText"/>
      </w:pPr>
      <w:r>
        <w:rPr>
          <w:rStyle w:val="FootnoteReference"/>
        </w:rPr>
        <w:footnoteRef/>
      </w:r>
      <w:r>
        <w:t xml:space="preserve"> Political, Military, Economics, Social, Infrastructure, Information plus Physical and Time.</w:t>
      </w:r>
    </w:p>
  </w:footnote>
  <w:footnote w:id="7">
    <w:p w14:paraId="254A5117" w14:textId="77777777" w:rsidR="002A5217" w:rsidRDefault="002A5217" w:rsidP="002A5217">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7CD8CE59" w14:textId="77777777" w:rsidR="00C32465" w:rsidRDefault="00C32465">
      <w:pPr>
        <w:pStyle w:val="FootnoteText"/>
      </w:pPr>
      <w:r>
        <w:rPr>
          <w:rStyle w:val="FootnoteReference"/>
        </w:rPr>
        <w:footnoteRef/>
      </w:r>
      <w:r>
        <w:t xml:space="preserve"> Static, that is, unless magic attitude drivers (MADs) are used to change them.</w:t>
      </w:r>
    </w:p>
  </w:footnote>
  <w:footnote w:id="9">
    <w:p w14:paraId="24711875" w14:textId="77777777" w:rsidR="00C32465" w:rsidRPr="005D6ECD"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10">
    <w:p w14:paraId="21C3F82E"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1">
    <w:p w14:paraId="7614AE9C" w14:textId="77777777" w:rsidR="00C32465" w:rsidRPr="00D2373B" w:rsidRDefault="00C3246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14:paraId="127B95D4"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3">
    <w:p w14:paraId="2A2FA2EF" w14:textId="77777777" w:rsidR="00C32465" w:rsidRDefault="00C32465" w:rsidP="00502610">
      <w:pPr>
        <w:pStyle w:val="FootnoteText"/>
      </w:pPr>
      <w:r>
        <w:rPr>
          <w:rStyle w:val="FootnoteReference"/>
          <w:rFonts w:eastAsia="Wingdings"/>
        </w:rPr>
        <w:footnoteRef/>
      </w:r>
      <w:r>
        <w:t xml:space="preserve"> We will make this notion more precise below.</w:t>
      </w:r>
    </w:p>
  </w:footnote>
  <w:footnote w:id="14">
    <w:p w14:paraId="008A7828" w14:textId="77777777" w:rsidR="00C32465" w:rsidRPr="008E5602" w:rsidRDefault="00C3246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5">
    <w:p w14:paraId="5B303507" w14:textId="77777777" w:rsidR="00C32465" w:rsidRDefault="00C3246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6">
    <w:p w14:paraId="636F249C" w14:textId="77777777" w:rsidR="00C32465" w:rsidRDefault="00C3246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7">
    <w:p w14:paraId="39DC5C86"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8">
    <w:p w14:paraId="55D65114" w14:textId="77777777" w:rsidR="00C32465" w:rsidRDefault="00C3246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14:paraId="19F14249"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20">
    <w:p w14:paraId="5788B213" w14:textId="77777777" w:rsidR="00C32465" w:rsidRDefault="00C3246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1">
    <w:p w14:paraId="32246EA7" w14:textId="77777777" w:rsidR="00C32465" w:rsidRPr="005758BA" w:rsidRDefault="00C32465"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14:paraId="3AB5B7C9" w14:textId="77777777" w:rsidR="00C32465" w:rsidRDefault="00C3246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3">
    <w:p w14:paraId="68587FEB" w14:textId="77777777" w:rsidR="00C32465" w:rsidRDefault="00C3246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4">
    <w:p w14:paraId="26305BC6" w14:textId="77777777" w:rsidR="00C32465" w:rsidRDefault="00C3246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5">
    <w:p w14:paraId="283D8902" w14:textId="77777777" w:rsidR="00C32465" w:rsidRDefault="00C3246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6">
    <w:p w14:paraId="5BBDCF8B" w14:textId="77777777" w:rsidR="00C32465" w:rsidRDefault="00C3246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7">
    <w:p w14:paraId="1BCFDBB8" w14:textId="77777777" w:rsidR="00C32465" w:rsidRPr="00853A0E" w:rsidRDefault="00C3246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14:paraId="102CDB9E" w14:textId="77777777" w:rsidR="00C32465" w:rsidRDefault="00C3246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9">
    <w:p w14:paraId="23F1F199" w14:textId="77777777" w:rsidR="00C32465" w:rsidRDefault="00C3246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30">
    <w:p w14:paraId="13CE5313" w14:textId="77777777" w:rsidR="00C32465" w:rsidRDefault="00C3246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1">
    <w:p w14:paraId="6D55C73B" w14:textId="77777777" w:rsidR="00C32465" w:rsidRDefault="00C3246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2">
    <w:p w14:paraId="0EC91FA4" w14:textId="77777777" w:rsidR="00C32465" w:rsidRDefault="00C3246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3">
    <w:p w14:paraId="54CF9E22" w14:textId="77777777" w:rsidR="00C32465" w:rsidRDefault="00C3246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4">
    <w:p w14:paraId="3BF26A19" w14:textId="77777777" w:rsidR="00C32465" w:rsidRDefault="00C3246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14:paraId="5DDD2290" w14:textId="77777777" w:rsidR="00C32465" w:rsidRDefault="00C3246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6">
    <w:p w14:paraId="0783D438" w14:textId="77777777" w:rsidR="00C32465" w:rsidRDefault="00C3246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14:paraId="67711D04" w14:textId="77777777" w:rsidR="00C32465" w:rsidRDefault="00C32465">
      <w:pPr>
        <w:pStyle w:val="FootnoteText"/>
      </w:pPr>
      <w:r>
        <w:rPr>
          <w:rStyle w:val="FootnoteReference"/>
        </w:rPr>
        <w:footnoteRef/>
      </w:r>
      <w:r>
        <w:t xml:space="preserve"> In future versions, actors may also be able to interfere with the provision of a service.</w:t>
      </w:r>
    </w:p>
  </w:footnote>
  <w:footnote w:id="38">
    <w:p w14:paraId="797316E3" w14:textId="77777777" w:rsidR="00C32465" w:rsidRDefault="00C3246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4F420D02" w14:textId="77777777" w:rsidR="00C32465" w:rsidRPr="008D4F12" w:rsidRDefault="00C3246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14:paraId="33F9DA06" w14:textId="77777777" w:rsidR="00C32465" w:rsidRDefault="00C3246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14:paraId="132DD8EC" w14:textId="77777777" w:rsidR="00C32465" w:rsidRDefault="00C3246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14:paraId="60E786D0" w14:textId="77777777" w:rsidR="00C32465" w:rsidRDefault="00C3246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14:paraId="2D2BB26E" w14:textId="77777777" w:rsidR="00C32465" w:rsidRDefault="00C3246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14:paraId="0068E9C6" w14:textId="77777777" w:rsidR="00C32465" w:rsidRDefault="00C3246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14:paraId="53DD132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14:paraId="633521F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14:paraId="08655561" w14:textId="77777777" w:rsidR="00C32465" w:rsidRDefault="00C3246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14:paraId="5969C19F" w14:textId="6759BCCB" w:rsidR="004325B2" w:rsidRDefault="004325B2">
      <w:pPr>
        <w:pStyle w:val="FootnoteText"/>
      </w:pPr>
      <w:r>
        <w:rPr>
          <w:rStyle w:val="FootnoteReference"/>
        </w:rPr>
        <w:footnoteRef/>
      </w:r>
      <w:r>
        <w:t xml:space="preserve"> Prior versions contained a prototype model of attrition between "uniformed" and "non-uniformed" force groups.</w:t>
      </w:r>
    </w:p>
  </w:footnote>
  <w:footnote w:id="49">
    <w:p w14:paraId="3844A92D" w14:textId="77777777" w:rsidR="00C32465" w:rsidRDefault="00C3246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0">
    <w:p w14:paraId="3D1AFAF0" w14:textId="77777777" w:rsidR="00C32465" w:rsidRDefault="00C3246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1">
    <w:p w14:paraId="4F19AFFD" w14:textId="77777777" w:rsidR="00C32465" w:rsidRPr="00730406" w:rsidRDefault="00C3246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52">
    <w:p w14:paraId="27815ED8" w14:textId="77777777" w:rsidR="00C32465" w:rsidRDefault="00C32465" w:rsidP="00753E07">
      <w:pPr>
        <w:pStyle w:val="Footnote"/>
      </w:pPr>
      <w:r>
        <w:rPr>
          <w:rStyle w:val="FootnoteReference"/>
        </w:rPr>
        <w:footnoteRef/>
      </w:r>
      <w:r>
        <w:t>By "labor force" we mean that portion of the population that seeks to be employed, whether they are in fact employed or not.</w:t>
      </w:r>
    </w:p>
  </w:footnote>
  <w:footnote w:id="53">
    <w:p w14:paraId="29204775" w14:textId="77777777" w:rsidR="00C32465" w:rsidRPr="00777296" w:rsidRDefault="00C3246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4">
    <w:p w14:paraId="566215D0" w14:textId="77777777" w:rsidR="00C32465" w:rsidRPr="00777296" w:rsidRDefault="00C3246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5">
    <w:p w14:paraId="581FC29F" w14:textId="04EA5FA5" w:rsidR="00C32465" w:rsidRPr="00595C16" w:rsidRDefault="00C32465">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56">
    <w:p w14:paraId="0BEBC341" w14:textId="77777777" w:rsidR="00C32465" w:rsidRDefault="00C32465">
      <w:pPr>
        <w:pStyle w:val="FootnoteText"/>
      </w:pPr>
      <w:r>
        <w:rPr>
          <w:rStyle w:val="FootnoteReference"/>
        </w:rPr>
        <w:footnoteRef/>
      </w:r>
      <w:r>
        <w:t xml:space="preserve"> Athena 5 also computes the UAF for each individual civilian group; however, this is no longer used.</w:t>
      </w:r>
    </w:p>
  </w:footnote>
  <w:footnote w:id="57">
    <w:p w14:paraId="6EAE3D4C" w14:textId="77777777" w:rsidR="00C32465" w:rsidRDefault="00C3246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58">
    <w:p w14:paraId="2D727EA7"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59">
    <w:p w14:paraId="1C7191D4"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60">
    <w:p w14:paraId="4BF43E98"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61">
    <w:p w14:paraId="7412191E" w14:textId="77777777" w:rsidR="00C32465" w:rsidRDefault="00C3246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62">
    <w:p w14:paraId="755A942C" w14:textId="77777777" w:rsidR="00C32465" w:rsidRDefault="00C32465">
      <w:pPr>
        <w:pStyle w:val="FootnoteText"/>
      </w:pPr>
      <w:r>
        <w:rPr>
          <w:rStyle w:val="FootnoteReference"/>
        </w:rPr>
        <w:footnoteRef/>
      </w:r>
      <w:r>
        <w:t xml:space="preserve"> See "Wage Distributions and Survival", by  Rebecca Lawler.</w:t>
      </w:r>
    </w:p>
  </w:footnote>
  <w:footnote w:id="63">
    <w:p w14:paraId="2EF35AFD" w14:textId="77777777" w:rsidR="00C32465" w:rsidRPr="00301755" w:rsidRDefault="00C3246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14:paraId="48F67141" w14:textId="77777777" w:rsidR="00C32465" w:rsidRDefault="00C3246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65">
    <w:p w14:paraId="3163A02F" w14:textId="77777777" w:rsidR="00C32465" w:rsidRPr="003D7B9B" w:rsidRDefault="00C3246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66">
    <w:p w14:paraId="5604EF2F" w14:textId="77777777" w:rsidR="00C32465" w:rsidRDefault="00C32465">
      <w:pPr>
        <w:pStyle w:val="FootnoteText"/>
      </w:pPr>
      <w:r>
        <w:rPr>
          <w:rStyle w:val="FootnoteReference"/>
        </w:rPr>
        <w:footnoteRef/>
      </w:r>
      <w:r>
        <w:t xml:space="preserve"> Actors may have up to two forms of income from the black market: a tax-like rate on gross revenue and shares of net revenue.  </w:t>
      </w:r>
    </w:p>
  </w:footnote>
  <w:footnote w:id="67">
    <w:p w14:paraId="1658BC30"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68">
    <w:p w14:paraId="6538364E" w14:textId="77777777" w:rsidR="00C32465" w:rsidRDefault="00C3246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14:paraId="3888495E"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70">
    <w:p w14:paraId="5F737EBA" w14:textId="77777777" w:rsidR="00C32465" w:rsidRPr="002F4FF1" w:rsidRDefault="00C3246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71">
    <w:p w14:paraId="6CD18EC4" w14:textId="77777777" w:rsidR="00C32465" w:rsidRPr="006468F2" w:rsidRDefault="00C3246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72">
    <w:p w14:paraId="08448F67" w14:textId="33ED3821" w:rsidR="00C32465" w:rsidRPr="00603C3B" w:rsidRDefault="00C32465">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73">
    <w:p w14:paraId="3BE1F41A" w14:textId="24C83E6A" w:rsidR="00C32465" w:rsidRPr="008A5054" w:rsidRDefault="00C32465">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74">
    <w:p w14:paraId="65AC4A6D" w14:textId="12D3CD24" w:rsidR="00C32465" w:rsidRDefault="00C32465">
      <w:pPr>
        <w:pStyle w:val="FootnoteText"/>
      </w:pPr>
      <w:r>
        <w:rPr>
          <w:rStyle w:val="FootnoteReference"/>
        </w:rPr>
        <w:footnoteRef/>
      </w:r>
      <w:r>
        <w:t xml:space="preserve"> This is a number between 0.0 and 1.0 where 0.0 corresponds to inoperable and 1.0 corresponds to maximum production capacity.</w:t>
      </w:r>
    </w:p>
  </w:footnote>
  <w:footnote w:id="75">
    <w:p w14:paraId="372000A0" w14:textId="4B52AFB3" w:rsidR="00C32465" w:rsidRPr="002B4E07" w:rsidRDefault="00C32465">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76">
    <w:p w14:paraId="7B6CACA4" w14:textId="5A45AF56" w:rsidR="00C32465" w:rsidRPr="009F1595" w:rsidRDefault="00C32465">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77">
    <w:p w14:paraId="1A06526A" w14:textId="63B58A02" w:rsidR="00C32465" w:rsidRPr="000B749B" w:rsidRDefault="00C32465">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78">
    <w:p w14:paraId="0416FC6E" w14:textId="6D4ACCF9" w:rsidR="00C32465" w:rsidRPr="00533600" w:rsidRDefault="00C32465">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79">
    <w:p w14:paraId="50812ED7" w14:textId="0DAD5FAF" w:rsidR="00C32465" w:rsidRPr="000B749B" w:rsidRDefault="00C32465"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80">
    <w:p w14:paraId="3E5EF64E" w14:textId="77777777" w:rsidR="00C32465" w:rsidRPr="00415184" w:rsidRDefault="00C32465">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14:paraId="5C1BE6FA" w14:textId="77777777" w:rsidR="00C32465" w:rsidRDefault="00C3246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2">
    <w:p w14:paraId="3578DA17" w14:textId="77777777" w:rsidR="00C32465" w:rsidRDefault="00C3246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14:paraId="785372F4" w14:textId="77777777" w:rsidR="00C32465" w:rsidRPr="007B388E" w:rsidRDefault="00C3246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4">
    <w:p w14:paraId="346DE93C" w14:textId="77777777" w:rsidR="00C32465" w:rsidRDefault="00C3246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5">
    <w:p w14:paraId="77998087" w14:textId="77777777" w:rsidR="00C32465" w:rsidRDefault="00C3246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5792F28E" w:rsidR="00C32465" w:rsidRPr="004D07B9" w:rsidRDefault="00C32465">
    <w:pPr>
      <w:pStyle w:val="Header"/>
      <w:rPr>
        <w:rFonts w:ascii="Arial" w:hAnsi="Arial" w:cs="Arial"/>
      </w:rPr>
    </w:pPr>
    <w:r w:rsidRPr="004D07B9">
      <w:rPr>
        <w:rFonts w:ascii="Arial" w:hAnsi="Arial" w:cs="Arial"/>
      </w:rPr>
      <w:t xml:space="preserve">Athena </w:t>
    </w:r>
    <w:r>
      <w:rPr>
        <w:rFonts w:ascii="Arial" w:hAnsi="Arial" w:cs="Arial"/>
      </w:rPr>
      <w:t>Analyst’s Guide, V</w:t>
    </w:r>
    <w:r w:rsidR="0037648B">
      <w:rPr>
        <w:rFonts w:ascii="Arial" w:hAnsi="Arial" w:cs="Arial"/>
      </w:rPr>
      <w:t>7</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 2014</w:t>
    </w:r>
  </w:p>
  <w:p w14:paraId="68F8247A" w14:textId="77777777" w:rsidR="00C32465" w:rsidRDefault="00C32465"/>
  <w:p w14:paraId="129C52C9" w14:textId="77777777" w:rsidR="00C32465" w:rsidRDefault="00C3246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44B1"/>
    <w:rsid w:val="00E377EA"/>
    <w:rsid w:val="00E37B79"/>
    <w:rsid w:val="00E40A41"/>
    <w:rsid w:val="00E42DF1"/>
    <w:rsid w:val="00E46EBD"/>
    <w:rsid w:val="00E52FBF"/>
    <w:rsid w:val="00E5327C"/>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23807232"/>
        <c:axId val="123809152"/>
      </c:lineChart>
      <c:catAx>
        <c:axId val="123807232"/>
        <c:scaling>
          <c:orientation val="minMax"/>
        </c:scaling>
        <c:delete val="0"/>
        <c:axPos val="b"/>
        <c:numFmt formatCode="General" sourceLinked="1"/>
        <c:majorTickMark val="out"/>
        <c:minorTickMark val="none"/>
        <c:tickLblPos val="nextTo"/>
        <c:crossAx val="123809152"/>
        <c:crosses val="autoZero"/>
        <c:auto val="1"/>
        <c:lblAlgn val="ctr"/>
        <c:lblOffset val="100"/>
        <c:noMultiLvlLbl val="0"/>
      </c:catAx>
      <c:valAx>
        <c:axId val="123809152"/>
        <c:scaling>
          <c:orientation val="minMax"/>
        </c:scaling>
        <c:delete val="0"/>
        <c:axPos val="l"/>
        <c:majorGridlines/>
        <c:numFmt formatCode="General" sourceLinked="1"/>
        <c:majorTickMark val="out"/>
        <c:minorTickMark val="none"/>
        <c:tickLblPos val="nextTo"/>
        <c:crossAx val="1238072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Sheet1!$D$4:$D$9</c:f>
              <c:numCache>
                <c:formatCode>General</c:formatCode>
                <c:ptCount val="6"/>
                <c:pt idx="0">
                  <c:v>0</c:v>
                </c:pt>
                <c:pt idx="1">
                  <c:v>1.7139774672827901E-2</c:v>
                </c:pt>
                <c:pt idx="2">
                  <c:v>9.8759233315599299E-2</c:v>
                </c:pt>
                <c:pt idx="3">
                  <c:v>0.27509592724537801</c:v>
                </c:pt>
                <c:pt idx="4">
                  <c:v>0.56904984757747701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Sheet1!$E$4:$E$9</c:f>
              <c:numCache>
                <c:formatCode>General</c:formatCode>
                <c:ptCount val="6"/>
                <c:pt idx="0">
                  <c:v>0</c:v>
                </c:pt>
                <c:pt idx="1">
                  <c:v>0.2</c:v>
                </c:pt>
                <c:pt idx="2">
                  <c:v>0.4</c:v>
                </c:pt>
                <c:pt idx="3">
                  <c:v>0.60000000000000098</c:v>
                </c:pt>
                <c:pt idx="4">
                  <c:v>0.8</c:v>
                </c:pt>
                <c:pt idx="5">
                  <c:v>1</c:v>
                </c:pt>
              </c:numCache>
            </c:numRef>
          </c:yVal>
          <c:smooth val="0"/>
        </c:ser>
        <c:dLbls>
          <c:showLegendKey val="0"/>
          <c:showVal val="0"/>
          <c:showCatName val="0"/>
          <c:showSerName val="0"/>
          <c:showPercent val="0"/>
          <c:showBubbleSize val="0"/>
        </c:dLbls>
        <c:axId val="125962880"/>
        <c:axId val="125965056"/>
      </c:scatterChart>
      <c:valAx>
        <c:axId val="125962880"/>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25965056"/>
        <c:crosses val="autoZero"/>
        <c:crossBetween val="midCat"/>
        <c:minorUnit val="0.05"/>
      </c:valAx>
      <c:valAx>
        <c:axId val="125965056"/>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25962880"/>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DC1FD-22C1-45D1-853B-D688E8ED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15313</TotalTime>
  <Pages>122</Pages>
  <Words>30469</Words>
  <Characters>173677</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203739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392</cp:revision>
  <cp:lastPrinted>2013-08-08T19:56:00Z</cp:lastPrinted>
  <dcterms:created xsi:type="dcterms:W3CDTF">2012-02-10T18:28:00Z</dcterms:created>
  <dcterms:modified xsi:type="dcterms:W3CDTF">2014-02-25T21:27:00Z</dcterms:modified>
</cp:coreProperties>
</file>