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77760" w:rsidP="004D07B9">
      <w:pPr>
        <w:pStyle w:val="Subtitle"/>
        <w:rPr>
          <w:i w:val="0"/>
          <w:iCs w:val="0"/>
        </w:rPr>
      </w:pPr>
      <w:r>
        <w:rPr>
          <w:i w:val="0"/>
          <w:iCs w:val="0"/>
        </w:rPr>
        <w:t>February</w:t>
      </w:r>
      <w:r w:rsidR="00490243">
        <w:rPr>
          <w:i w:val="0"/>
          <w:iCs w:val="0"/>
        </w:rPr>
        <w:t>, 201</w:t>
      </w:r>
      <w:r w:rsidR="009731AD">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F9603A"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F9603A">
        <w:rPr>
          <w:noProof/>
        </w:rPr>
        <w:t>Models</w:t>
      </w:r>
      <w:r w:rsidR="00F9603A">
        <w:rPr>
          <w:noProof/>
        </w:rPr>
        <w:tab/>
      </w:r>
      <w:r w:rsidR="00F9603A">
        <w:rPr>
          <w:noProof/>
        </w:rPr>
        <w:fldChar w:fldCharType="begin"/>
      </w:r>
      <w:r w:rsidR="00F9603A">
        <w:rPr>
          <w:noProof/>
        </w:rPr>
        <w:instrText xml:space="preserve"> PAGEREF _Toc349629338 \h </w:instrText>
      </w:r>
      <w:r w:rsidR="00F9603A">
        <w:rPr>
          <w:noProof/>
        </w:rPr>
      </w:r>
      <w:r w:rsidR="00F9603A">
        <w:rPr>
          <w:noProof/>
        </w:rPr>
        <w:fldChar w:fldCharType="separate"/>
      </w:r>
      <w:r w:rsidR="00F9603A">
        <w:rPr>
          <w:noProof/>
        </w:rPr>
        <w:t>6</w:t>
      </w:r>
      <w:r w:rsidR="00F9603A">
        <w:rPr>
          <w:noProof/>
        </w:rPr>
        <w:fldChar w:fldCharType="end"/>
      </w:r>
    </w:p>
    <w:p w:rsidR="00F9603A" w:rsidRDefault="00F9603A">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_Toc349629339 \h </w:instrText>
      </w:r>
      <w:r>
        <w:fldChar w:fldCharType="separate"/>
      </w:r>
      <w:r>
        <w:t>7</w:t>
      </w:r>
      <w:r>
        <w:fldChar w:fldCharType="end"/>
      </w:r>
    </w:p>
    <w:p w:rsidR="00F9603A" w:rsidRDefault="00F9603A">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_Toc349629340 \h </w:instrText>
      </w:r>
      <w:r>
        <w:fldChar w:fldCharType="separate"/>
      </w:r>
      <w:r>
        <w:t>7</w:t>
      </w:r>
      <w:r>
        <w:fldChar w:fldCharType="end"/>
      </w:r>
    </w:p>
    <w:p w:rsidR="00F9603A" w:rsidRDefault="00F9603A">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_Toc349629341 \h </w:instrText>
      </w:r>
      <w:r>
        <w:fldChar w:fldCharType="separate"/>
      </w:r>
      <w:r>
        <w:t>7</w:t>
      </w:r>
      <w:r>
        <w:fldChar w:fldCharType="end"/>
      </w:r>
    </w:p>
    <w:p w:rsidR="00F9603A" w:rsidRDefault="00F9603A">
      <w:pPr>
        <w:pStyle w:val="TOC3"/>
        <w:rPr>
          <w:rFonts w:eastAsiaTheme="minorEastAsia" w:cstheme="minorBidi"/>
          <w:sz w:val="22"/>
          <w:szCs w:val="22"/>
        </w:rPr>
      </w:pPr>
      <w:r>
        <w:t>1.3</w:t>
      </w:r>
      <w:r>
        <w:rPr>
          <w:rFonts w:eastAsiaTheme="minorEastAsia" w:cstheme="minorBidi"/>
          <w:sz w:val="22"/>
          <w:szCs w:val="22"/>
        </w:rPr>
        <w:tab/>
      </w:r>
      <w:r>
        <w:t>Changes for Athena 5</w:t>
      </w:r>
      <w:r>
        <w:tab/>
      </w:r>
      <w:r>
        <w:fldChar w:fldCharType="begin"/>
      </w:r>
      <w:r>
        <w:instrText xml:space="preserve"> PAGEREF _Toc349629342 \h </w:instrText>
      </w:r>
      <w:r>
        <w:fldChar w:fldCharType="separate"/>
      </w:r>
      <w:r>
        <w:t>8</w:t>
      </w:r>
      <w:r>
        <w:fldChar w:fldCharType="end"/>
      </w:r>
    </w:p>
    <w:p w:rsidR="00F9603A" w:rsidRDefault="00F9603A">
      <w:pPr>
        <w:pStyle w:val="TOC3"/>
        <w:rPr>
          <w:rFonts w:eastAsiaTheme="minorEastAsia" w:cstheme="minorBidi"/>
          <w:sz w:val="22"/>
          <w:szCs w:val="22"/>
        </w:rPr>
      </w:pPr>
      <w:r>
        <w:t>1.4</w:t>
      </w:r>
      <w:r>
        <w:rPr>
          <w:rFonts w:eastAsiaTheme="minorEastAsia" w:cstheme="minorBidi"/>
          <w:sz w:val="22"/>
          <w:szCs w:val="22"/>
        </w:rPr>
        <w:tab/>
      </w:r>
      <w:r>
        <w:t>Changes for Athena 4</w:t>
      </w:r>
      <w:r>
        <w:tab/>
      </w:r>
      <w:r>
        <w:fldChar w:fldCharType="begin"/>
      </w:r>
      <w:r>
        <w:instrText xml:space="preserve"> PAGEREF _Toc349629343 \h </w:instrText>
      </w:r>
      <w:r>
        <w:fldChar w:fldCharType="separate"/>
      </w:r>
      <w:r>
        <w:t>8</w:t>
      </w:r>
      <w:r>
        <w:fldChar w:fldCharType="end"/>
      </w:r>
    </w:p>
    <w:p w:rsidR="00F9603A" w:rsidRDefault="00F9603A">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_Toc349629344 \h </w:instrText>
      </w:r>
      <w:r>
        <w:fldChar w:fldCharType="separate"/>
      </w:r>
      <w:r>
        <w:t>10</w:t>
      </w:r>
      <w:r>
        <w:fldChar w:fldCharType="end"/>
      </w:r>
    </w:p>
    <w:p w:rsidR="00F9603A" w:rsidRDefault="00F9603A">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_Toc349629345 \h </w:instrText>
      </w:r>
      <w:r>
        <w:fldChar w:fldCharType="separate"/>
      </w:r>
      <w:r>
        <w:t>10</w:t>
      </w:r>
      <w:r>
        <w:fldChar w:fldCharType="end"/>
      </w:r>
    </w:p>
    <w:p w:rsidR="00F9603A" w:rsidRDefault="00F9603A">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_Toc349629346 \h </w:instrText>
      </w:r>
      <w:r>
        <w:fldChar w:fldCharType="separate"/>
      </w:r>
      <w:r>
        <w:t>10</w:t>
      </w:r>
      <w:r>
        <w:fldChar w:fldCharType="end"/>
      </w:r>
    </w:p>
    <w:p w:rsidR="00F9603A" w:rsidRDefault="00F9603A">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_Toc349629347 \h </w:instrText>
      </w:r>
      <w:r>
        <w:fldChar w:fldCharType="separate"/>
      </w:r>
      <w:r>
        <w:t>10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_Toc349629348 \h </w:instrText>
      </w:r>
      <w:r>
        <w:rPr>
          <w:noProof/>
        </w:rPr>
      </w:r>
      <w:r>
        <w:rPr>
          <w:noProof/>
        </w:rPr>
        <w:fldChar w:fldCharType="separate"/>
      </w:r>
      <w:r>
        <w:rPr>
          <w:noProof/>
        </w:rPr>
        <w:t>11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_Toc349629349 \h </w:instrText>
      </w:r>
      <w:r>
        <w:rPr>
          <w:noProof/>
        </w:rPr>
      </w:r>
      <w:r>
        <w:rPr>
          <w:noProof/>
        </w:rPr>
        <w:fldChar w:fldCharType="separate"/>
      </w:r>
      <w:r>
        <w:rPr>
          <w:noProof/>
        </w:rPr>
        <w:t>12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_Toc349629350 \h </w:instrText>
      </w:r>
      <w:r>
        <w:rPr>
          <w:noProof/>
        </w:rPr>
      </w:r>
      <w:r>
        <w:rPr>
          <w:noProof/>
        </w:rPr>
        <w:fldChar w:fldCharType="separate"/>
      </w:r>
      <w:r>
        <w:rPr>
          <w:noProof/>
        </w:rPr>
        <w:t>12</w:t>
      </w:r>
      <w:r>
        <w:rPr>
          <w:noProof/>
        </w:rPr>
        <w:fldChar w:fldCharType="end"/>
      </w:r>
    </w:p>
    <w:p w:rsidR="00F9603A" w:rsidRDefault="00F9603A">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_Toc349629351 \h </w:instrText>
      </w:r>
      <w:r>
        <w:fldChar w:fldCharType="separate"/>
      </w:r>
      <w:r>
        <w:t>13</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_Toc349629352 \h </w:instrText>
      </w:r>
      <w:r>
        <w:rPr>
          <w:noProof/>
        </w:rPr>
      </w:r>
      <w:r>
        <w:rPr>
          <w:noProof/>
        </w:rPr>
        <w:fldChar w:fldCharType="separate"/>
      </w:r>
      <w:r>
        <w:rPr>
          <w:noProof/>
        </w:rPr>
        <w:t>13</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_Toc349629353 \h </w:instrText>
      </w:r>
      <w:r>
        <w:rPr>
          <w:noProof/>
        </w:rPr>
      </w:r>
      <w:r>
        <w:rPr>
          <w:noProof/>
        </w:rPr>
        <w:fldChar w:fldCharType="separate"/>
      </w:r>
      <w:r>
        <w:rPr>
          <w:noProof/>
        </w:rPr>
        <w:t>13</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_Toc349629354 \h </w:instrText>
      </w:r>
      <w:r>
        <w:rPr>
          <w:noProof/>
        </w:rPr>
      </w:r>
      <w:r>
        <w:rPr>
          <w:noProof/>
        </w:rPr>
        <w:fldChar w:fldCharType="separate"/>
      </w:r>
      <w:r>
        <w:rPr>
          <w:noProof/>
        </w:rPr>
        <w:t>14</w:t>
      </w:r>
      <w:r>
        <w:rPr>
          <w:noProof/>
        </w:rPr>
        <w:fldChar w:fldCharType="end"/>
      </w:r>
    </w:p>
    <w:p w:rsidR="00F9603A" w:rsidRDefault="00F9603A">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_Toc349629355 \h </w:instrText>
      </w:r>
      <w:r>
        <w:fldChar w:fldCharType="separate"/>
      </w:r>
      <w:r>
        <w:t>14</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_Toc349629356 \h </w:instrText>
      </w:r>
      <w:r>
        <w:rPr>
          <w:noProof/>
        </w:rPr>
      </w:r>
      <w:r>
        <w:rPr>
          <w:noProof/>
        </w:rPr>
        <w:fldChar w:fldCharType="separate"/>
      </w:r>
      <w:r>
        <w:rPr>
          <w:noProof/>
        </w:rPr>
        <w:t>14</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_Toc349629357 \h </w:instrText>
      </w:r>
      <w:r>
        <w:rPr>
          <w:noProof/>
        </w:rPr>
      </w:r>
      <w:r>
        <w:rPr>
          <w:noProof/>
        </w:rPr>
        <w:fldChar w:fldCharType="separate"/>
      </w:r>
      <w:r>
        <w:rPr>
          <w:noProof/>
        </w:rPr>
        <w:t>15</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_Toc349629358 \h </w:instrText>
      </w:r>
      <w:r>
        <w:rPr>
          <w:noProof/>
        </w:rPr>
      </w:r>
      <w:r>
        <w:rPr>
          <w:noProof/>
        </w:rPr>
        <w:fldChar w:fldCharType="separate"/>
      </w:r>
      <w:r>
        <w:rPr>
          <w:noProof/>
        </w:rPr>
        <w:t>15</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_Toc349629359 \h </w:instrText>
      </w:r>
      <w:r>
        <w:rPr>
          <w:noProof/>
        </w:rPr>
      </w:r>
      <w:r>
        <w:rPr>
          <w:noProof/>
        </w:rPr>
        <w:fldChar w:fldCharType="separate"/>
      </w:r>
      <w:r>
        <w:rPr>
          <w:noProof/>
        </w:rPr>
        <w:t>15</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_Toc349629360 \h </w:instrText>
      </w:r>
      <w:r>
        <w:rPr>
          <w:noProof/>
        </w:rPr>
      </w:r>
      <w:r>
        <w:rPr>
          <w:noProof/>
        </w:rPr>
        <w:fldChar w:fldCharType="separate"/>
      </w:r>
      <w:r>
        <w:rPr>
          <w:noProof/>
        </w:rPr>
        <w:t>16</w:t>
      </w:r>
      <w:r>
        <w:rPr>
          <w:noProof/>
        </w:rPr>
        <w:fldChar w:fldCharType="end"/>
      </w:r>
    </w:p>
    <w:p w:rsidR="00F9603A" w:rsidRDefault="00F9603A">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_Toc349629361 \h </w:instrText>
      </w:r>
      <w:r>
        <w:fldChar w:fldCharType="separate"/>
      </w:r>
      <w:r>
        <w:t>16</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_Toc349629362 \h </w:instrText>
      </w:r>
      <w:r>
        <w:rPr>
          <w:noProof/>
        </w:rPr>
      </w:r>
      <w:r>
        <w:rPr>
          <w:noProof/>
        </w:rPr>
        <w:fldChar w:fldCharType="separate"/>
      </w:r>
      <w:r>
        <w:rPr>
          <w:noProof/>
        </w:rPr>
        <w:t>16</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_Toc349629363 \h </w:instrText>
      </w:r>
      <w:r>
        <w:rPr>
          <w:noProof/>
        </w:rPr>
      </w:r>
      <w:r>
        <w:rPr>
          <w:noProof/>
        </w:rPr>
        <w:fldChar w:fldCharType="separate"/>
      </w:r>
      <w:r>
        <w:rPr>
          <w:noProof/>
        </w:rPr>
        <w:t>16</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_Toc349629364 \h </w:instrText>
      </w:r>
      <w:r>
        <w:rPr>
          <w:noProof/>
        </w:rPr>
      </w:r>
      <w:r>
        <w:rPr>
          <w:noProof/>
        </w:rPr>
        <w:fldChar w:fldCharType="separate"/>
      </w:r>
      <w:r>
        <w:rPr>
          <w:noProof/>
        </w:rPr>
        <w:t>17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_Toc349629365 \h </w:instrText>
      </w:r>
      <w:r>
        <w:rPr>
          <w:noProof/>
        </w:rPr>
      </w:r>
      <w:r>
        <w:rPr>
          <w:noProof/>
        </w:rPr>
        <w:fldChar w:fldCharType="separate"/>
      </w:r>
      <w:r>
        <w:rPr>
          <w:noProof/>
        </w:rPr>
        <w:t>17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_Toc349629366 \h </w:instrText>
      </w:r>
      <w:r>
        <w:rPr>
          <w:noProof/>
        </w:rPr>
      </w:r>
      <w:r>
        <w:rPr>
          <w:noProof/>
        </w:rPr>
        <w:fldChar w:fldCharType="separate"/>
      </w:r>
      <w:r>
        <w:rPr>
          <w:noProof/>
        </w:rPr>
        <w:t>17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_Toc349629367 \h </w:instrText>
      </w:r>
      <w:r>
        <w:rPr>
          <w:noProof/>
        </w:rPr>
      </w:r>
      <w:r>
        <w:rPr>
          <w:noProof/>
        </w:rPr>
        <w:fldChar w:fldCharType="separate"/>
      </w:r>
      <w:r>
        <w:rPr>
          <w:noProof/>
        </w:rPr>
        <w:t>18</w:t>
      </w:r>
      <w:r>
        <w:rPr>
          <w:noProof/>
        </w:rPr>
        <w:fldChar w:fldCharType="end"/>
      </w:r>
    </w:p>
    <w:p w:rsidR="00F9603A" w:rsidRDefault="00F9603A">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_Toc349629368 \h </w:instrText>
      </w:r>
      <w:r>
        <w:fldChar w:fldCharType="separate"/>
      </w:r>
      <w:r>
        <w:t>18</w:t>
      </w:r>
      <w:r>
        <w:fldChar w:fldCharType="end"/>
      </w:r>
    </w:p>
    <w:p w:rsidR="00F9603A" w:rsidRDefault="00F9603A">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_Toc349629369 \h </w:instrText>
      </w:r>
      <w:r>
        <w:fldChar w:fldCharType="separate"/>
      </w:r>
      <w:r>
        <w:t>20</w:t>
      </w:r>
      <w:r>
        <w:fldChar w:fldCharType="end"/>
      </w:r>
    </w:p>
    <w:p w:rsidR="00F9603A" w:rsidRDefault="00F9603A">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_Toc349629370 \h </w:instrText>
      </w:r>
      <w:r>
        <w:fldChar w:fldCharType="separate"/>
      </w:r>
      <w:r>
        <w:t>20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_Toc349629371 \h </w:instrText>
      </w:r>
      <w:r>
        <w:rPr>
          <w:noProof/>
        </w:rPr>
      </w:r>
      <w:r>
        <w:rPr>
          <w:noProof/>
        </w:rPr>
        <w:fldChar w:fldCharType="separate"/>
      </w:r>
      <w:r>
        <w:rPr>
          <w:noProof/>
        </w:rPr>
        <w:t>20</w:t>
      </w:r>
      <w:r>
        <w:rPr>
          <w:noProof/>
        </w:rPr>
        <w:fldChar w:fldCharType="end"/>
      </w:r>
    </w:p>
    <w:p w:rsidR="00F9603A" w:rsidRDefault="00F9603A">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_Toc349629372 \h </w:instrText>
      </w:r>
      <w:r>
        <w:fldChar w:fldCharType="separate"/>
      </w:r>
      <w:r>
        <w:t>20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_Toc349629373 \h </w:instrText>
      </w:r>
      <w:r>
        <w:rPr>
          <w:noProof/>
        </w:rPr>
      </w:r>
      <w:r>
        <w:rPr>
          <w:noProof/>
        </w:rPr>
        <w:fldChar w:fldCharType="separate"/>
      </w:r>
      <w:r>
        <w:rPr>
          <w:noProof/>
        </w:rPr>
        <w:t>20</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_Toc349629374 \h </w:instrText>
      </w:r>
      <w:r>
        <w:rPr>
          <w:noProof/>
        </w:rPr>
      </w:r>
      <w:r>
        <w:rPr>
          <w:noProof/>
        </w:rPr>
        <w:fldChar w:fldCharType="separate"/>
      </w:r>
      <w:r>
        <w:rPr>
          <w:noProof/>
        </w:rPr>
        <w:t>21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_Toc349629375 \h </w:instrText>
      </w:r>
      <w:r>
        <w:rPr>
          <w:noProof/>
        </w:rPr>
      </w:r>
      <w:r>
        <w:rPr>
          <w:noProof/>
        </w:rPr>
        <w:fldChar w:fldCharType="separate"/>
      </w:r>
      <w:r>
        <w:rPr>
          <w:noProof/>
        </w:rPr>
        <w:t>21</w:t>
      </w:r>
      <w:r>
        <w:rPr>
          <w:noProof/>
        </w:rPr>
        <w:fldChar w:fldCharType="end"/>
      </w:r>
    </w:p>
    <w:p w:rsidR="00F9603A" w:rsidRDefault="00F9603A">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_Toc349629376 \h </w:instrText>
      </w:r>
      <w:r>
        <w:fldChar w:fldCharType="separate"/>
      </w:r>
      <w:r>
        <w:t>21</w:t>
      </w:r>
      <w:r>
        <w:fldChar w:fldCharType="end"/>
      </w:r>
    </w:p>
    <w:p w:rsidR="00F9603A" w:rsidRDefault="00F9603A">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_Toc349629377 \h </w:instrText>
      </w:r>
      <w:r>
        <w:fldChar w:fldCharType="separate"/>
      </w:r>
      <w:r>
        <w:t>22</w:t>
      </w:r>
      <w:r>
        <w:fldChar w:fldCharType="end"/>
      </w:r>
    </w:p>
    <w:p w:rsidR="00F9603A" w:rsidRDefault="00F9603A">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_Toc349629378 \h </w:instrText>
      </w:r>
      <w:r>
        <w:fldChar w:fldCharType="separate"/>
      </w:r>
      <w:r>
        <w:t>22</w:t>
      </w:r>
      <w:r>
        <w:fldChar w:fldCharType="end"/>
      </w:r>
    </w:p>
    <w:p w:rsidR="00F9603A" w:rsidRDefault="00F9603A">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_Toc349629379 \h </w:instrText>
      </w:r>
      <w:r>
        <w:fldChar w:fldCharType="separate"/>
      </w:r>
      <w:r>
        <w:t>23</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_Toc349629380 \h </w:instrText>
      </w:r>
      <w:r>
        <w:rPr>
          <w:noProof/>
        </w:rPr>
      </w:r>
      <w:r>
        <w:rPr>
          <w:noProof/>
        </w:rPr>
        <w:fldChar w:fldCharType="separate"/>
      </w:r>
      <w:r>
        <w:rPr>
          <w:noProof/>
        </w:rPr>
        <w:t>23</w:t>
      </w:r>
      <w:r>
        <w:rPr>
          <w:noProof/>
        </w:rPr>
        <w:fldChar w:fldCharType="end"/>
      </w:r>
    </w:p>
    <w:p w:rsidR="00F9603A" w:rsidRDefault="00F9603A">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_Toc349629381 \h </w:instrText>
      </w:r>
      <w:r>
        <w:fldChar w:fldCharType="separate"/>
      </w:r>
      <w:r>
        <w:t>24</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_Toc349629382 \h </w:instrText>
      </w:r>
      <w:r>
        <w:rPr>
          <w:noProof/>
        </w:rPr>
      </w:r>
      <w:r>
        <w:rPr>
          <w:noProof/>
        </w:rPr>
        <w:fldChar w:fldCharType="separate"/>
      </w:r>
      <w:r>
        <w:rPr>
          <w:noProof/>
        </w:rPr>
        <w:t>24</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_Toc349629383 \h </w:instrText>
      </w:r>
      <w:r>
        <w:rPr>
          <w:noProof/>
        </w:rPr>
      </w:r>
      <w:r>
        <w:rPr>
          <w:noProof/>
        </w:rPr>
        <w:fldChar w:fldCharType="separate"/>
      </w:r>
      <w:r>
        <w:rPr>
          <w:noProof/>
        </w:rPr>
        <w:t>25</w:t>
      </w:r>
      <w:r>
        <w:rPr>
          <w:noProof/>
        </w:rPr>
        <w:fldChar w:fldCharType="end"/>
      </w:r>
    </w:p>
    <w:p w:rsidR="00F9603A" w:rsidRDefault="00F9603A">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_Toc349629384 \h </w:instrText>
      </w:r>
      <w:r>
        <w:fldChar w:fldCharType="separate"/>
      </w:r>
      <w:r>
        <w:t>26</w:t>
      </w:r>
      <w:r>
        <w:fldChar w:fldCharType="end"/>
      </w:r>
    </w:p>
    <w:p w:rsidR="00F9603A" w:rsidRDefault="00F9603A">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_Toc349629385 \h </w:instrText>
      </w:r>
      <w:r>
        <w:fldChar w:fldCharType="separate"/>
      </w:r>
      <w:r>
        <w:t>26</w:t>
      </w:r>
      <w:r>
        <w:fldChar w:fldCharType="end"/>
      </w:r>
    </w:p>
    <w:p w:rsidR="00F9603A" w:rsidRDefault="00F9603A">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_Toc349629386 \h </w:instrText>
      </w:r>
      <w:r>
        <w:fldChar w:fldCharType="separate"/>
      </w:r>
      <w:r>
        <w:t>27</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_Toc349629387 \h </w:instrText>
      </w:r>
      <w:r>
        <w:rPr>
          <w:noProof/>
        </w:rPr>
      </w:r>
      <w:r>
        <w:rPr>
          <w:noProof/>
        </w:rPr>
        <w:fldChar w:fldCharType="separate"/>
      </w:r>
      <w:r>
        <w:rPr>
          <w:noProof/>
        </w:rPr>
        <w:t>27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_Toc349629388 \h </w:instrText>
      </w:r>
      <w:r>
        <w:rPr>
          <w:noProof/>
        </w:rPr>
      </w:r>
      <w:r>
        <w:rPr>
          <w:noProof/>
        </w:rPr>
        <w:fldChar w:fldCharType="separate"/>
      </w:r>
      <w:r>
        <w:rPr>
          <w:noProof/>
        </w:rPr>
        <w:t>27</w:t>
      </w:r>
      <w:r>
        <w:rPr>
          <w:noProof/>
        </w:rPr>
        <w:fldChar w:fldCharType="end"/>
      </w:r>
    </w:p>
    <w:p w:rsidR="00F9603A" w:rsidRDefault="00F9603A">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_Toc349629389 \h </w:instrText>
      </w:r>
      <w:r>
        <w:fldChar w:fldCharType="separate"/>
      </w:r>
      <w:r>
        <w:t>27</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_Toc349629390 \h </w:instrText>
      </w:r>
      <w:r>
        <w:rPr>
          <w:noProof/>
        </w:rPr>
      </w:r>
      <w:r>
        <w:rPr>
          <w:noProof/>
        </w:rPr>
        <w:fldChar w:fldCharType="separate"/>
      </w:r>
      <w:r>
        <w:rPr>
          <w:noProof/>
        </w:rPr>
        <w:t>28</w:t>
      </w:r>
      <w:r>
        <w:rPr>
          <w:noProof/>
        </w:rPr>
        <w:fldChar w:fldCharType="end"/>
      </w:r>
    </w:p>
    <w:p w:rsidR="00F9603A" w:rsidRDefault="00F9603A">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_Toc349629391 \h </w:instrText>
      </w:r>
      <w:r>
        <w:fldChar w:fldCharType="separate"/>
      </w:r>
      <w:r>
        <w:t>28</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_Toc349629392 \h </w:instrText>
      </w:r>
      <w:r>
        <w:rPr>
          <w:noProof/>
        </w:rPr>
      </w:r>
      <w:r>
        <w:rPr>
          <w:noProof/>
        </w:rPr>
        <w:fldChar w:fldCharType="separate"/>
      </w:r>
      <w:r>
        <w:rPr>
          <w:noProof/>
        </w:rPr>
        <w:t>29</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_Toc349629393 \h </w:instrText>
      </w:r>
      <w:r>
        <w:rPr>
          <w:noProof/>
        </w:rPr>
      </w:r>
      <w:r>
        <w:rPr>
          <w:noProof/>
        </w:rPr>
        <w:fldChar w:fldCharType="separate"/>
      </w:r>
      <w:r>
        <w:rPr>
          <w:noProof/>
        </w:rPr>
        <w:t>29</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_Toc349629394 \h </w:instrText>
      </w:r>
      <w:r>
        <w:rPr>
          <w:noProof/>
        </w:rPr>
      </w:r>
      <w:r>
        <w:rPr>
          <w:noProof/>
        </w:rPr>
        <w:fldChar w:fldCharType="separate"/>
      </w:r>
      <w:r>
        <w:rPr>
          <w:noProof/>
        </w:rPr>
        <w:t>30</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_Toc349629395 \h </w:instrText>
      </w:r>
      <w:r>
        <w:rPr>
          <w:noProof/>
        </w:rPr>
      </w:r>
      <w:r>
        <w:rPr>
          <w:noProof/>
        </w:rPr>
        <w:fldChar w:fldCharType="separate"/>
      </w:r>
      <w:r>
        <w:rPr>
          <w:noProof/>
        </w:rPr>
        <w:t>31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_Toc349629396 \h </w:instrText>
      </w:r>
      <w:r>
        <w:rPr>
          <w:noProof/>
        </w:rPr>
      </w:r>
      <w:r>
        <w:rPr>
          <w:noProof/>
        </w:rPr>
        <w:fldChar w:fldCharType="separate"/>
      </w:r>
      <w:r>
        <w:rPr>
          <w:noProof/>
        </w:rPr>
        <w:t>32</w:t>
      </w:r>
      <w:r>
        <w:rPr>
          <w:noProof/>
        </w:rPr>
        <w:fldChar w:fldCharType="end"/>
      </w:r>
    </w:p>
    <w:p w:rsidR="00F9603A" w:rsidRDefault="00F9603A">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_Toc349629397 \h </w:instrText>
      </w:r>
      <w:r>
        <w:fldChar w:fldCharType="separate"/>
      </w:r>
      <w:r>
        <w:t>32</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_Toc349629398 \h </w:instrText>
      </w:r>
      <w:r>
        <w:rPr>
          <w:noProof/>
        </w:rPr>
      </w:r>
      <w:r>
        <w:rPr>
          <w:noProof/>
        </w:rPr>
        <w:fldChar w:fldCharType="separate"/>
      </w:r>
      <w:r>
        <w:rPr>
          <w:noProof/>
        </w:rPr>
        <w:t>33</w:t>
      </w:r>
      <w:r>
        <w:rPr>
          <w:noProof/>
        </w:rPr>
        <w:fldChar w:fldCharType="end"/>
      </w:r>
    </w:p>
    <w:p w:rsidR="00F9603A" w:rsidRDefault="00F9603A">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_Toc349629399 \h </w:instrText>
      </w:r>
      <w:r>
        <w:fldChar w:fldCharType="separate"/>
      </w:r>
      <w:r>
        <w:t>35</w:t>
      </w:r>
      <w:r>
        <w:fldChar w:fldCharType="end"/>
      </w:r>
    </w:p>
    <w:p w:rsidR="00F9603A" w:rsidRDefault="00F9603A">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_Toc349629400 \h </w:instrText>
      </w:r>
      <w:r>
        <w:fldChar w:fldCharType="separate"/>
      </w:r>
      <w:r>
        <w:t>35</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_Toc349629401 \h </w:instrText>
      </w:r>
      <w:r>
        <w:rPr>
          <w:noProof/>
        </w:rPr>
      </w:r>
      <w:r>
        <w:rPr>
          <w:noProof/>
        </w:rPr>
        <w:fldChar w:fldCharType="separate"/>
      </w:r>
      <w:r>
        <w:rPr>
          <w:noProof/>
        </w:rPr>
        <w:t>36</w:t>
      </w:r>
      <w:r>
        <w:rPr>
          <w:noProof/>
        </w:rPr>
        <w:fldChar w:fldCharType="end"/>
      </w:r>
    </w:p>
    <w:p w:rsidR="00F9603A" w:rsidRDefault="00F9603A">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_Toc349629402 \h </w:instrText>
      </w:r>
      <w:r>
        <w:fldChar w:fldCharType="separate"/>
      </w:r>
      <w:r>
        <w:t>36</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_Toc349629403 \h </w:instrText>
      </w:r>
      <w:r>
        <w:rPr>
          <w:noProof/>
        </w:rPr>
      </w:r>
      <w:r>
        <w:rPr>
          <w:noProof/>
        </w:rPr>
        <w:fldChar w:fldCharType="separate"/>
      </w:r>
      <w:r>
        <w:rPr>
          <w:noProof/>
        </w:rPr>
        <w:t>37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_Toc349629404 \h </w:instrText>
      </w:r>
      <w:r>
        <w:rPr>
          <w:noProof/>
        </w:rPr>
      </w:r>
      <w:r>
        <w:rPr>
          <w:noProof/>
        </w:rPr>
        <w:fldChar w:fldCharType="separate"/>
      </w:r>
      <w:r>
        <w:rPr>
          <w:noProof/>
        </w:rPr>
        <w:t>37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_Toc349629405 \h </w:instrText>
      </w:r>
      <w:r>
        <w:rPr>
          <w:noProof/>
        </w:rPr>
      </w:r>
      <w:r>
        <w:rPr>
          <w:noProof/>
        </w:rPr>
        <w:fldChar w:fldCharType="separate"/>
      </w:r>
      <w:r>
        <w:rPr>
          <w:noProof/>
        </w:rPr>
        <w:t>37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_Toc349629406 \h </w:instrText>
      </w:r>
      <w:r>
        <w:rPr>
          <w:noProof/>
        </w:rPr>
      </w:r>
      <w:r>
        <w:rPr>
          <w:noProof/>
        </w:rPr>
        <w:fldChar w:fldCharType="separate"/>
      </w:r>
      <w:r>
        <w:rPr>
          <w:noProof/>
        </w:rPr>
        <w:t>38</w:t>
      </w:r>
      <w:r>
        <w:rPr>
          <w:noProof/>
        </w:rPr>
        <w:fldChar w:fldCharType="end"/>
      </w:r>
    </w:p>
    <w:p w:rsidR="00F9603A" w:rsidRDefault="00F9603A">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_Toc349629407 \h </w:instrText>
      </w:r>
      <w:r>
        <w:fldChar w:fldCharType="separate"/>
      </w:r>
      <w:r>
        <w:t>39</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_Toc349629408 \h </w:instrText>
      </w:r>
      <w:r>
        <w:rPr>
          <w:noProof/>
        </w:rPr>
      </w:r>
      <w:r>
        <w:rPr>
          <w:noProof/>
        </w:rPr>
        <w:fldChar w:fldCharType="separate"/>
      </w:r>
      <w:r>
        <w:rPr>
          <w:noProof/>
        </w:rPr>
        <w:t>39</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_Toc349629409 \h </w:instrText>
      </w:r>
      <w:r>
        <w:rPr>
          <w:noProof/>
        </w:rPr>
      </w:r>
      <w:r>
        <w:rPr>
          <w:noProof/>
        </w:rPr>
        <w:fldChar w:fldCharType="separate"/>
      </w:r>
      <w:r>
        <w:rPr>
          <w:noProof/>
        </w:rPr>
        <w:t>40</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_Toc349629410 \h </w:instrText>
      </w:r>
      <w:r>
        <w:rPr>
          <w:noProof/>
        </w:rPr>
      </w:r>
      <w:r>
        <w:rPr>
          <w:noProof/>
        </w:rPr>
        <w:fldChar w:fldCharType="separate"/>
      </w:r>
      <w:r>
        <w:rPr>
          <w:noProof/>
        </w:rPr>
        <w:t>41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_Toc349629411 \h </w:instrText>
      </w:r>
      <w:r>
        <w:rPr>
          <w:noProof/>
        </w:rPr>
      </w:r>
      <w:r>
        <w:rPr>
          <w:noProof/>
        </w:rPr>
        <w:fldChar w:fldCharType="separate"/>
      </w:r>
      <w:r>
        <w:rPr>
          <w:noProof/>
        </w:rPr>
        <w:t>42</w:t>
      </w:r>
      <w:r>
        <w:rPr>
          <w:noProof/>
        </w:rPr>
        <w:fldChar w:fldCharType="end"/>
      </w:r>
    </w:p>
    <w:p w:rsidR="00F9603A" w:rsidRDefault="00F9603A">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_Toc349629412 \h </w:instrText>
      </w:r>
      <w:r>
        <w:fldChar w:fldCharType="separate"/>
      </w:r>
      <w:r>
        <w:t>43</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_Toc349629413 \h </w:instrText>
      </w:r>
      <w:r>
        <w:rPr>
          <w:noProof/>
        </w:rPr>
      </w:r>
      <w:r>
        <w:rPr>
          <w:noProof/>
        </w:rPr>
        <w:fldChar w:fldCharType="separate"/>
      </w:r>
      <w:r>
        <w:rPr>
          <w:noProof/>
        </w:rPr>
        <w:t>43</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_Toc349629414 \h </w:instrText>
      </w:r>
      <w:r>
        <w:rPr>
          <w:noProof/>
        </w:rPr>
      </w:r>
      <w:r>
        <w:rPr>
          <w:noProof/>
        </w:rPr>
        <w:fldChar w:fldCharType="separate"/>
      </w:r>
      <w:r>
        <w:rPr>
          <w:noProof/>
        </w:rPr>
        <w:t>43</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_Toc349629415 \h </w:instrText>
      </w:r>
      <w:r>
        <w:rPr>
          <w:noProof/>
        </w:rPr>
      </w:r>
      <w:r>
        <w:rPr>
          <w:noProof/>
        </w:rPr>
        <w:fldChar w:fldCharType="separate"/>
      </w:r>
      <w:r>
        <w:rPr>
          <w:noProof/>
        </w:rPr>
        <w:t>44</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_Toc349629416 \h </w:instrText>
      </w:r>
      <w:r>
        <w:rPr>
          <w:noProof/>
        </w:rPr>
      </w:r>
      <w:r>
        <w:rPr>
          <w:noProof/>
        </w:rPr>
        <w:fldChar w:fldCharType="separate"/>
      </w:r>
      <w:r>
        <w:rPr>
          <w:noProof/>
        </w:rPr>
        <w:t>45</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_Toc349629417 \h </w:instrText>
      </w:r>
      <w:r>
        <w:rPr>
          <w:noProof/>
        </w:rPr>
      </w:r>
      <w:r>
        <w:rPr>
          <w:noProof/>
        </w:rPr>
        <w:fldChar w:fldCharType="separate"/>
      </w:r>
      <w:r>
        <w:rPr>
          <w:noProof/>
        </w:rPr>
        <w:t>46</w:t>
      </w:r>
      <w:r>
        <w:rPr>
          <w:noProof/>
        </w:rPr>
        <w:fldChar w:fldCharType="end"/>
      </w:r>
    </w:p>
    <w:p w:rsidR="00F9603A" w:rsidRDefault="00F9603A">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_Toc349629418 \h </w:instrText>
      </w:r>
      <w:r>
        <w:fldChar w:fldCharType="separate"/>
      </w:r>
      <w:r>
        <w:t>46</w:t>
      </w:r>
      <w:r>
        <w:fldChar w:fldCharType="end"/>
      </w:r>
    </w:p>
    <w:p w:rsidR="00F9603A" w:rsidRDefault="00F9603A">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_Toc349629419 \h </w:instrText>
      </w:r>
      <w:r>
        <w:fldChar w:fldCharType="separate"/>
      </w:r>
      <w:r>
        <w:t>48</w:t>
      </w:r>
      <w:r>
        <w:fldChar w:fldCharType="end"/>
      </w:r>
    </w:p>
    <w:p w:rsidR="00F9603A" w:rsidRDefault="00F9603A">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_Toc349629420 \h </w:instrText>
      </w:r>
      <w:r>
        <w:fldChar w:fldCharType="separate"/>
      </w:r>
      <w:r>
        <w:t>48</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_Toc349629421 \h </w:instrText>
      </w:r>
      <w:r>
        <w:rPr>
          <w:noProof/>
        </w:rPr>
      </w:r>
      <w:r>
        <w:rPr>
          <w:noProof/>
        </w:rPr>
        <w:fldChar w:fldCharType="separate"/>
      </w:r>
      <w:r>
        <w:rPr>
          <w:noProof/>
        </w:rPr>
        <w:t>49</w:t>
      </w:r>
      <w:r>
        <w:rPr>
          <w:noProof/>
        </w:rPr>
        <w:fldChar w:fldCharType="end"/>
      </w:r>
    </w:p>
    <w:p w:rsidR="00F9603A" w:rsidRDefault="00F9603A">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_Toc349629422 \h </w:instrText>
      </w:r>
      <w:r>
        <w:fldChar w:fldCharType="separate"/>
      </w:r>
      <w:r>
        <w:t>50</w:t>
      </w:r>
      <w:r>
        <w:fldChar w:fldCharType="end"/>
      </w:r>
    </w:p>
    <w:p w:rsidR="00F9603A" w:rsidRDefault="00F9603A">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_Toc349629423 \h </w:instrText>
      </w:r>
      <w:r>
        <w:fldChar w:fldCharType="separate"/>
      </w:r>
      <w:r>
        <w:t>50</w:t>
      </w:r>
      <w:r>
        <w:fldChar w:fldCharType="end"/>
      </w:r>
    </w:p>
    <w:p w:rsidR="00F9603A" w:rsidRDefault="00F9603A">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_Toc349629424 \h </w:instrText>
      </w:r>
      <w:r>
        <w:fldChar w:fldCharType="separate"/>
      </w:r>
      <w:r>
        <w:t>53</w:t>
      </w:r>
      <w:r>
        <w:fldChar w:fldCharType="end"/>
      </w:r>
    </w:p>
    <w:p w:rsidR="00F9603A" w:rsidRDefault="00F9603A">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_Toc349629425 \h </w:instrText>
      </w:r>
      <w:r>
        <w:fldChar w:fldCharType="separate"/>
      </w:r>
      <w:r>
        <w:t>53</w:t>
      </w:r>
      <w:r>
        <w:fldChar w:fldCharType="end"/>
      </w:r>
    </w:p>
    <w:p w:rsidR="00F9603A" w:rsidRDefault="00F9603A">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_Toc349629426 \h </w:instrText>
      </w:r>
      <w:r>
        <w:fldChar w:fldCharType="separate"/>
      </w:r>
      <w:r>
        <w:t>54</w:t>
      </w:r>
      <w:r>
        <w:fldChar w:fldCharType="end"/>
      </w:r>
    </w:p>
    <w:p w:rsidR="00F9603A" w:rsidRDefault="00F9603A">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_Toc349629427 \h </w:instrText>
      </w:r>
      <w:r>
        <w:fldChar w:fldCharType="separate"/>
      </w:r>
      <w:r>
        <w:t>55</w:t>
      </w:r>
      <w:r>
        <w:fldChar w:fldCharType="end"/>
      </w:r>
    </w:p>
    <w:p w:rsidR="00F9603A" w:rsidRDefault="00F9603A">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_Toc349629428 \h </w:instrText>
      </w:r>
      <w:r>
        <w:fldChar w:fldCharType="separate"/>
      </w:r>
      <w:r>
        <w:t>55</w:t>
      </w:r>
      <w:r>
        <w:fldChar w:fldCharType="end"/>
      </w:r>
    </w:p>
    <w:p w:rsidR="00F9603A" w:rsidRDefault="00F9603A">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_Toc349629429 \h </w:instrText>
      </w:r>
      <w:r>
        <w:fldChar w:fldCharType="separate"/>
      </w:r>
      <w:r>
        <w:t>56</w:t>
      </w:r>
      <w:r>
        <w:fldChar w:fldCharType="end"/>
      </w:r>
    </w:p>
    <w:p w:rsidR="00F9603A" w:rsidRDefault="00F9603A">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_Toc349629430 \h </w:instrText>
      </w:r>
      <w:r>
        <w:fldChar w:fldCharType="separate"/>
      </w:r>
      <w:r>
        <w:t>56</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_Toc349629431 \h </w:instrText>
      </w:r>
      <w:r>
        <w:rPr>
          <w:noProof/>
        </w:rPr>
      </w:r>
      <w:r>
        <w:rPr>
          <w:noProof/>
        </w:rPr>
        <w:fldChar w:fldCharType="separate"/>
      </w:r>
      <w:r>
        <w:rPr>
          <w:noProof/>
        </w:rPr>
        <w:t>56</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_Toc349629432 \h </w:instrText>
      </w:r>
      <w:r>
        <w:rPr>
          <w:noProof/>
        </w:rPr>
      </w:r>
      <w:r>
        <w:rPr>
          <w:noProof/>
        </w:rPr>
        <w:fldChar w:fldCharType="separate"/>
      </w:r>
      <w:r>
        <w:rPr>
          <w:noProof/>
        </w:rPr>
        <w:t>56</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_Toc349629433 \h </w:instrText>
      </w:r>
      <w:r>
        <w:rPr>
          <w:noProof/>
        </w:rPr>
      </w:r>
      <w:r>
        <w:rPr>
          <w:noProof/>
        </w:rPr>
        <w:fldChar w:fldCharType="separate"/>
      </w:r>
      <w:r>
        <w:rPr>
          <w:noProof/>
        </w:rPr>
        <w:t>57</w:t>
      </w:r>
      <w:r>
        <w:rPr>
          <w:noProof/>
        </w:rPr>
        <w:fldChar w:fldCharType="end"/>
      </w:r>
    </w:p>
    <w:p w:rsidR="00F9603A" w:rsidRDefault="00F9603A">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_Toc349629434 \h </w:instrText>
      </w:r>
      <w:r>
        <w:fldChar w:fldCharType="separate"/>
      </w:r>
      <w:r>
        <w:t>57</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_Toc349629435 \h </w:instrText>
      </w:r>
      <w:r>
        <w:rPr>
          <w:noProof/>
        </w:rPr>
      </w:r>
      <w:r>
        <w:rPr>
          <w:noProof/>
        </w:rPr>
        <w:fldChar w:fldCharType="separate"/>
      </w:r>
      <w:r>
        <w:rPr>
          <w:noProof/>
        </w:rPr>
        <w:t>58</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_Toc349629436 \h </w:instrText>
      </w:r>
      <w:r>
        <w:rPr>
          <w:noProof/>
        </w:rPr>
      </w:r>
      <w:r>
        <w:rPr>
          <w:noProof/>
        </w:rPr>
        <w:fldChar w:fldCharType="separate"/>
      </w:r>
      <w:r>
        <w:rPr>
          <w:noProof/>
        </w:rPr>
        <w:t>60</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_Toc349629437 \h </w:instrText>
      </w:r>
      <w:r>
        <w:rPr>
          <w:noProof/>
        </w:rPr>
      </w:r>
      <w:r>
        <w:rPr>
          <w:noProof/>
        </w:rPr>
        <w:fldChar w:fldCharType="separate"/>
      </w:r>
      <w:r>
        <w:rPr>
          <w:noProof/>
        </w:rPr>
        <w:t>60</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_Toc349629438 \h </w:instrText>
      </w:r>
      <w:r>
        <w:rPr>
          <w:noProof/>
        </w:rPr>
      </w:r>
      <w:r>
        <w:rPr>
          <w:noProof/>
        </w:rPr>
        <w:fldChar w:fldCharType="separate"/>
      </w:r>
      <w:r>
        <w:rPr>
          <w:noProof/>
        </w:rPr>
        <w:t>61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_Toc349629439 \h </w:instrText>
      </w:r>
      <w:r>
        <w:rPr>
          <w:noProof/>
        </w:rPr>
      </w:r>
      <w:r>
        <w:rPr>
          <w:noProof/>
        </w:rPr>
        <w:fldChar w:fldCharType="separate"/>
      </w:r>
      <w:r>
        <w:rPr>
          <w:noProof/>
        </w:rPr>
        <w:t>62</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_Toc349629440 \h </w:instrText>
      </w:r>
      <w:r>
        <w:rPr>
          <w:noProof/>
        </w:rPr>
      </w:r>
      <w:r>
        <w:rPr>
          <w:noProof/>
        </w:rPr>
        <w:fldChar w:fldCharType="separate"/>
      </w:r>
      <w:r>
        <w:rPr>
          <w:noProof/>
        </w:rPr>
        <w:t>62</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_Toc349629441 \h </w:instrText>
      </w:r>
      <w:r>
        <w:rPr>
          <w:noProof/>
        </w:rPr>
      </w:r>
      <w:r>
        <w:rPr>
          <w:noProof/>
        </w:rPr>
        <w:fldChar w:fldCharType="separate"/>
      </w:r>
      <w:r>
        <w:rPr>
          <w:noProof/>
        </w:rPr>
        <w:t>64</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_Toc349629442 \h </w:instrText>
      </w:r>
      <w:r>
        <w:rPr>
          <w:noProof/>
        </w:rPr>
      </w:r>
      <w:r>
        <w:rPr>
          <w:noProof/>
        </w:rPr>
        <w:fldChar w:fldCharType="separate"/>
      </w:r>
      <w:r>
        <w:rPr>
          <w:noProof/>
        </w:rPr>
        <w:t>65</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8.2.7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_Toc349629443 \h </w:instrText>
      </w:r>
      <w:r>
        <w:rPr>
          <w:noProof/>
        </w:rPr>
      </w:r>
      <w:r>
        <w:rPr>
          <w:noProof/>
        </w:rPr>
        <w:fldChar w:fldCharType="separate"/>
      </w:r>
      <w:r>
        <w:rPr>
          <w:noProof/>
        </w:rPr>
        <w:t>66</w:t>
      </w:r>
      <w:r>
        <w:rPr>
          <w:noProof/>
        </w:rPr>
        <w:fldChar w:fldCharType="end"/>
      </w:r>
    </w:p>
    <w:p w:rsidR="00F9603A" w:rsidRDefault="00F9603A">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_Toc349629444 \h </w:instrText>
      </w:r>
      <w:r>
        <w:fldChar w:fldCharType="separate"/>
      </w:r>
      <w:r>
        <w:t>67</w:t>
      </w:r>
      <w:r>
        <w:fldChar w:fldCharType="end"/>
      </w:r>
    </w:p>
    <w:p w:rsidR="00F9603A" w:rsidRDefault="00F9603A">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_Toc349629445 \h </w:instrText>
      </w:r>
      <w:r>
        <w:fldChar w:fldCharType="separate"/>
      </w:r>
      <w:r>
        <w:t>67</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_Toc349629446 \h </w:instrText>
      </w:r>
      <w:r>
        <w:rPr>
          <w:noProof/>
        </w:rPr>
      </w:r>
      <w:r>
        <w:rPr>
          <w:noProof/>
        </w:rPr>
        <w:fldChar w:fldCharType="separate"/>
      </w:r>
      <w:r>
        <w:rPr>
          <w:noProof/>
        </w:rPr>
        <w:t>67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lastRenderedPageBreak/>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_Toc349629447 \h </w:instrText>
      </w:r>
      <w:r>
        <w:rPr>
          <w:noProof/>
        </w:rPr>
      </w:r>
      <w:r>
        <w:rPr>
          <w:noProof/>
        </w:rPr>
        <w:fldChar w:fldCharType="separate"/>
      </w:r>
      <w:r>
        <w:rPr>
          <w:noProof/>
        </w:rPr>
        <w:t>68</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_Toc349629448 \h </w:instrText>
      </w:r>
      <w:r>
        <w:rPr>
          <w:noProof/>
        </w:rPr>
      </w:r>
      <w:r>
        <w:rPr>
          <w:noProof/>
        </w:rPr>
        <w:fldChar w:fldCharType="separate"/>
      </w:r>
      <w:r>
        <w:rPr>
          <w:noProof/>
        </w:rPr>
        <w:t>69</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_Toc349629449 \h </w:instrText>
      </w:r>
      <w:r>
        <w:rPr>
          <w:noProof/>
        </w:rPr>
      </w:r>
      <w:r>
        <w:rPr>
          <w:noProof/>
        </w:rPr>
        <w:fldChar w:fldCharType="separate"/>
      </w:r>
      <w:r>
        <w:rPr>
          <w:noProof/>
        </w:rPr>
        <w:t>69</w:t>
      </w:r>
      <w:r>
        <w:rPr>
          <w:noProof/>
        </w:rPr>
        <w:fldChar w:fldCharType="end"/>
      </w:r>
    </w:p>
    <w:p w:rsidR="00F9603A" w:rsidRDefault="00F9603A">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_Toc349629450 \h </w:instrText>
      </w:r>
      <w:r>
        <w:fldChar w:fldCharType="separate"/>
      </w:r>
      <w:r>
        <w:t>69</w:t>
      </w:r>
      <w:r>
        <w:fldChar w:fldCharType="end"/>
      </w:r>
    </w:p>
    <w:p w:rsidR="00F9603A" w:rsidRDefault="00F9603A">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_Toc349629451 \h </w:instrText>
      </w:r>
      <w:r>
        <w:fldChar w:fldCharType="separate"/>
      </w:r>
      <w:r>
        <w:t>69</w:t>
      </w:r>
      <w:r>
        <w:fldChar w:fldCharType="end"/>
      </w:r>
    </w:p>
    <w:p w:rsidR="00F9603A" w:rsidRDefault="00F9603A">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_Toc349629452 \h </w:instrText>
      </w:r>
      <w:r>
        <w:fldChar w:fldCharType="separate"/>
      </w:r>
      <w:r>
        <w:t>70</w:t>
      </w:r>
      <w:r>
        <w:fldChar w:fldCharType="end"/>
      </w:r>
    </w:p>
    <w:p w:rsidR="00F9603A" w:rsidRDefault="00F9603A">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_Toc349629453 \h </w:instrText>
      </w:r>
      <w:r>
        <w:fldChar w:fldCharType="separate"/>
      </w:r>
      <w:r>
        <w:t>70</w:t>
      </w:r>
      <w:r>
        <w:fldChar w:fldCharType="end"/>
      </w:r>
    </w:p>
    <w:p w:rsidR="00F9603A" w:rsidRDefault="00F9603A">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_Toc349629454 \h </w:instrText>
      </w:r>
      <w:r>
        <w:fldChar w:fldCharType="separate"/>
      </w:r>
      <w:r>
        <w:t>71</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_Toc349629455 \h </w:instrText>
      </w:r>
      <w:r>
        <w:rPr>
          <w:noProof/>
        </w:rPr>
      </w:r>
      <w:r>
        <w:rPr>
          <w:noProof/>
        </w:rPr>
        <w:fldChar w:fldCharType="separate"/>
      </w:r>
      <w:r>
        <w:rPr>
          <w:noProof/>
        </w:rPr>
        <w:t>71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_Toc349629456 \h </w:instrText>
      </w:r>
      <w:r>
        <w:rPr>
          <w:noProof/>
        </w:rPr>
      </w:r>
      <w:r>
        <w:rPr>
          <w:noProof/>
        </w:rPr>
        <w:fldChar w:fldCharType="separate"/>
      </w:r>
      <w:r>
        <w:rPr>
          <w:noProof/>
        </w:rPr>
        <w:t>71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_Toc349629457 \h </w:instrText>
      </w:r>
      <w:r>
        <w:rPr>
          <w:noProof/>
        </w:rPr>
      </w:r>
      <w:r>
        <w:rPr>
          <w:noProof/>
        </w:rPr>
        <w:fldChar w:fldCharType="separate"/>
      </w:r>
      <w:r>
        <w:rPr>
          <w:noProof/>
        </w:rPr>
        <w:t>71</w:t>
      </w:r>
      <w:r>
        <w:rPr>
          <w:noProof/>
        </w:rPr>
        <w:fldChar w:fldCharType="end"/>
      </w:r>
    </w:p>
    <w:p w:rsidR="00F9603A" w:rsidRDefault="00F9603A">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_Toc349629458 \h </w:instrText>
      </w:r>
      <w:r>
        <w:fldChar w:fldCharType="separate"/>
      </w:r>
      <w:r>
        <w:t>71</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_Toc349629459 \h </w:instrText>
      </w:r>
      <w:r>
        <w:rPr>
          <w:noProof/>
        </w:rPr>
      </w:r>
      <w:r>
        <w:rPr>
          <w:noProof/>
        </w:rPr>
        <w:fldChar w:fldCharType="separate"/>
      </w:r>
      <w:r>
        <w:rPr>
          <w:noProof/>
        </w:rPr>
        <w:t>71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_Toc349629460 \h </w:instrText>
      </w:r>
      <w:r>
        <w:rPr>
          <w:noProof/>
        </w:rPr>
      </w:r>
      <w:r>
        <w:rPr>
          <w:noProof/>
        </w:rPr>
        <w:fldChar w:fldCharType="separate"/>
      </w:r>
      <w:r>
        <w:rPr>
          <w:noProof/>
        </w:rPr>
        <w:t>71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_Toc349629461 \h </w:instrText>
      </w:r>
      <w:r>
        <w:rPr>
          <w:noProof/>
        </w:rPr>
      </w:r>
      <w:r>
        <w:rPr>
          <w:noProof/>
        </w:rPr>
        <w:fldChar w:fldCharType="separate"/>
      </w:r>
      <w:r>
        <w:rPr>
          <w:noProof/>
        </w:rPr>
        <w:t>72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_Toc349629462 \h </w:instrText>
      </w:r>
      <w:r>
        <w:rPr>
          <w:noProof/>
        </w:rPr>
      </w:r>
      <w:r>
        <w:rPr>
          <w:noProof/>
        </w:rPr>
        <w:fldChar w:fldCharType="separate"/>
      </w:r>
      <w:r>
        <w:rPr>
          <w:noProof/>
        </w:rPr>
        <w:t>73</w:t>
      </w:r>
      <w:r>
        <w:rPr>
          <w:noProof/>
        </w:rPr>
        <w:fldChar w:fldCharType="end"/>
      </w:r>
    </w:p>
    <w:p w:rsidR="00F9603A" w:rsidRDefault="00F9603A">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_Toc349629463 \h </w:instrText>
      </w:r>
      <w:r>
        <w:fldChar w:fldCharType="separate"/>
      </w:r>
      <w:r>
        <w:t>73</w:t>
      </w:r>
      <w:r>
        <w:fldChar w:fldCharType="end"/>
      </w:r>
    </w:p>
    <w:p w:rsidR="00F9603A" w:rsidRDefault="00F9603A">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_Toc349629464 \h </w:instrText>
      </w:r>
      <w:r>
        <w:fldChar w:fldCharType="separate"/>
      </w:r>
      <w:r>
        <w:t>74</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_Toc349629465 \h </w:instrText>
      </w:r>
      <w:r>
        <w:rPr>
          <w:noProof/>
        </w:rPr>
      </w:r>
      <w:r>
        <w:rPr>
          <w:noProof/>
        </w:rPr>
        <w:fldChar w:fldCharType="separate"/>
      </w:r>
      <w:r>
        <w:rPr>
          <w:noProof/>
        </w:rPr>
        <w:t>74</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_Toc349629466 \h </w:instrText>
      </w:r>
      <w:r>
        <w:rPr>
          <w:noProof/>
        </w:rPr>
      </w:r>
      <w:r>
        <w:rPr>
          <w:noProof/>
        </w:rPr>
        <w:fldChar w:fldCharType="separate"/>
      </w:r>
      <w:r>
        <w:rPr>
          <w:noProof/>
        </w:rPr>
        <w:t>76</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_Toc349629467 \h </w:instrText>
      </w:r>
      <w:r>
        <w:rPr>
          <w:noProof/>
        </w:rPr>
      </w:r>
      <w:r>
        <w:rPr>
          <w:noProof/>
        </w:rPr>
        <w:fldChar w:fldCharType="separate"/>
      </w:r>
      <w:r>
        <w:rPr>
          <w:noProof/>
        </w:rPr>
        <w:t>78</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_Toc349629468 \h </w:instrText>
      </w:r>
      <w:r>
        <w:rPr>
          <w:noProof/>
        </w:rPr>
      </w:r>
      <w:r>
        <w:rPr>
          <w:noProof/>
        </w:rPr>
        <w:fldChar w:fldCharType="separate"/>
      </w:r>
      <w:r>
        <w:rPr>
          <w:noProof/>
        </w:rPr>
        <w:t>78</w:t>
      </w:r>
      <w:r>
        <w:rPr>
          <w:noProof/>
        </w:rPr>
        <w:fldChar w:fldCharType="end"/>
      </w:r>
    </w:p>
    <w:p w:rsidR="00F9603A" w:rsidRDefault="00F9603A">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_Toc349629469 \h </w:instrText>
      </w:r>
      <w:r>
        <w:rPr>
          <w:noProof/>
        </w:rPr>
      </w:r>
      <w:r>
        <w:rPr>
          <w:noProof/>
        </w:rPr>
        <w:fldChar w:fldCharType="separate"/>
      </w:r>
      <w:r>
        <w:rPr>
          <w:noProof/>
        </w:rPr>
        <w:t>80</w:t>
      </w:r>
      <w:r>
        <w:rPr>
          <w:noProof/>
        </w:rPr>
        <w:fldChar w:fldCharType="end"/>
      </w:r>
    </w:p>
    <w:p w:rsidR="00F9603A" w:rsidRDefault="00F9603A">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_Toc349629470 \h </w:instrText>
      </w:r>
      <w:r>
        <w:fldChar w:fldCharType="separate"/>
      </w:r>
      <w:r>
        <w:t>80</w:t>
      </w:r>
      <w:r>
        <w:fldChar w:fldCharType="end"/>
      </w:r>
    </w:p>
    <w:p w:rsidR="00F9603A" w:rsidRDefault="00F9603A">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_Toc349629471 \h </w:instrText>
      </w:r>
      <w:r>
        <w:fldChar w:fldCharType="separate"/>
      </w:r>
      <w:r>
        <w:t>81</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_Toc349629472 \h </w:instrText>
      </w:r>
      <w:r>
        <w:rPr>
          <w:noProof/>
        </w:rPr>
      </w:r>
      <w:r>
        <w:rPr>
          <w:noProof/>
        </w:rPr>
        <w:fldChar w:fldCharType="separate"/>
      </w:r>
      <w:r>
        <w:rPr>
          <w:noProof/>
        </w:rPr>
        <w:t>81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_Toc349629473 \h </w:instrText>
      </w:r>
      <w:r>
        <w:rPr>
          <w:noProof/>
        </w:rPr>
      </w:r>
      <w:r>
        <w:rPr>
          <w:noProof/>
        </w:rPr>
        <w:fldChar w:fldCharType="separate"/>
      </w:r>
      <w:r>
        <w:rPr>
          <w:noProof/>
        </w:rPr>
        <w:t>82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_Toc349629474 \h </w:instrText>
      </w:r>
      <w:r>
        <w:rPr>
          <w:noProof/>
        </w:rPr>
      </w:r>
      <w:r>
        <w:rPr>
          <w:noProof/>
        </w:rPr>
        <w:fldChar w:fldCharType="separate"/>
      </w:r>
      <w:r>
        <w:rPr>
          <w:noProof/>
        </w:rPr>
        <w:t>82</w:t>
      </w:r>
      <w:r>
        <w:rPr>
          <w:noProof/>
        </w:rPr>
        <w:fldChar w:fldCharType="end"/>
      </w:r>
    </w:p>
    <w:p w:rsidR="00F9603A" w:rsidRDefault="00F9603A">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_Toc349629475 \h </w:instrText>
      </w:r>
      <w:r>
        <w:fldChar w:fldCharType="separate"/>
      </w:r>
      <w:r>
        <w:t>84</w:t>
      </w:r>
      <w:r>
        <w:fldChar w:fldCharType="end"/>
      </w:r>
    </w:p>
    <w:p w:rsidR="00F9603A" w:rsidRDefault="00F9603A">
      <w:pPr>
        <w:pStyle w:val="TOC3"/>
        <w:rPr>
          <w:rFonts w:eastAsiaTheme="minorEastAsia" w:cstheme="minorBidi"/>
          <w:sz w:val="22"/>
          <w:szCs w:val="22"/>
        </w:rPr>
      </w:pPr>
      <w:r>
        <w:t>10.1</w:t>
      </w:r>
      <w:r>
        <w:rPr>
          <w:rFonts w:eastAsiaTheme="minorEastAsia" w:cstheme="minorBidi"/>
          <w:sz w:val="22"/>
          <w:szCs w:val="22"/>
        </w:rPr>
        <w:tab/>
      </w:r>
      <w:r>
        <w:t>Connections with Other Models</w:t>
      </w:r>
      <w:r>
        <w:tab/>
      </w:r>
      <w:r>
        <w:fldChar w:fldCharType="begin"/>
      </w:r>
      <w:r>
        <w:instrText xml:space="preserve"> PAGEREF _Toc349629476 \h </w:instrText>
      </w:r>
      <w:r>
        <w:fldChar w:fldCharType="separate"/>
      </w:r>
      <w:r>
        <w:t>84</w:t>
      </w:r>
      <w:r>
        <w:fldChar w:fldCharType="end"/>
      </w:r>
    </w:p>
    <w:p w:rsidR="00F9603A" w:rsidRDefault="00F9603A">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_Toc349629477 \h </w:instrText>
      </w:r>
      <w:r>
        <w:fldChar w:fldCharType="separate"/>
      </w:r>
      <w:r>
        <w:t>84</w:t>
      </w:r>
      <w:r>
        <w:fldChar w:fldCharType="end"/>
      </w:r>
    </w:p>
    <w:p w:rsidR="00F9603A" w:rsidRDefault="00F9603A">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_Toc349629478 \h </w:instrText>
      </w:r>
      <w:r>
        <w:fldChar w:fldCharType="separate"/>
      </w:r>
      <w:r>
        <w:t>85</w:t>
      </w:r>
      <w:r>
        <w:fldChar w:fldCharType="end"/>
      </w:r>
    </w:p>
    <w:p w:rsidR="00F9603A" w:rsidRDefault="00F9603A">
      <w:pPr>
        <w:pStyle w:val="TOC3"/>
        <w:rPr>
          <w:rFonts w:eastAsiaTheme="minorEastAsia" w:cstheme="minorBidi"/>
          <w:sz w:val="22"/>
          <w:szCs w:val="22"/>
        </w:rPr>
      </w:pPr>
      <w:r>
        <w:t>10.4</w:t>
      </w:r>
      <w:r>
        <w:rPr>
          <w:rFonts w:eastAsiaTheme="minorEastAsia" w:cstheme="minorBidi"/>
          <w:sz w:val="22"/>
          <w:szCs w:val="22"/>
        </w:rPr>
        <w:tab/>
      </w:r>
      <w:r>
        <w:t>Civilian Group Population over Time</w:t>
      </w:r>
      <w:r>
        <w:tab/>
      </w:r>
      <w:r>
        <w:fldChar w:fldCharType="begin"/>
      </w:r>
      <w:r>
        <w:instrText xml:space="preserve"> PAGEREF _Toc349629479 \h </w:instrText>
      </w:r>
      <w:r>
        <w:fldChar w:fldCharType="separate"/>
      </w:r>
      <w:r>
        <w:t>85</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_Toc349629480 \h </w:instrText>
      </w:r>
      <w:r>
        <w:rPr>
          <w:noProof/>
        </w:rPr>
      </w:r>
      <w:r>
        <w:rPr>
          <w:noProof/>
        </w:rPr>
        <w:fldChar w:fldCharType="separate"/>
      </w:r>
      <w:r>
        <w:rPr>
          <w:noProof/>
        </w:rPr>
        <w:t>85</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_Toc349629481 \h </w:instrText>
      </w:r>
      <w:r>
        <w:rPr>
          <w:noProof/>
        </w:rPr>
      </w:r>
      <w:r>
        <w:rPr>
          <w:noProof/>
        </w:rPr>
        <w:fldChar w:fldCharType="separate"/>
      </w:r>
      <w:r>
        <w:rPr>
          <w:noProof/>
        </w:rPr>
        <w:t>86</w:t>
      </w:r>
      <w:r>
        <w:rPr>
          <w:noProof/>
        </w:rPr>
        <w:fldChar w:fldCharType="end"/>
      </w:r>
    </w:p>
    <w:p w:rsidR="00F9603A" w:rsidRDefault="00F9603A">
      <w:pPr>
        <w:pStyle w:val="TOC3"/>
        <w:rPr>
          <w:rFonts w:eastAsiaTheme="minorEastAsia" w:cstheme="minorBidi"/>
          <w:sz w:val="22"/>
          <w:szCs w:val="22"/>
        </w:rPr>
      </w:pPr>
      <w:r>
        <w:t>10.5</w:t>
      </w:r>
      <w:r>
        <w:rPr>
          <w:rFonts w:eastAsiaTheme="minorEastAsia" w:cstheme="minorBidi"/>
          <w:sz w:val="22"/>
          <w:szCs w:val="22"/>
        </w:rPr>
        <w:tab/>
      </w:r>
      <w:r>
        <w:t>Population Breakdowns</w:t>
      </w:r>
      <w:r>
        <w:tab/>
      </w:r>
      <w:r>
        <w:fldChar w:fldCharType="begin"/>
      </w:r>
      <w:r>
        <w:instrText xml:space="preserve"> PAGEREF _Toc349629482 \h </w:instrText>
      </w:r>
      <w:r>
        <w:fldChar w:fldCharType="separate"/>
      </w:r>
      <w:r>
        <w:t>86</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_Toc349629483 \h </w:instrText>
      </w:r>
      <w:r>
        <w:rPr>
          <w:noProof/>
        </w:rPr>
      </w:r>
      <w:r>
        <w:rPr>
          <w:noProof/>
        </w:rPr>
        <w:fldChar w:fldCharType="separate"/>
      </w:r>
      <w:r>
        <w:rPr>
          <w:noProof/>
        </w:rPr>
        <w:t>87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_Toc349629484 \h </w:instrText>
      </w:r>
      <w:r>
        <w:rPr>
          <w:noProof/>
        </w:rPr>
      </w:r>
      <w:r>
        <w:rPr>
          <w:noProof/>
        </w:rPr>
        <w:fldChar w:fldCharType="separate"/>
      </w:r>
      <w:r>
        <w:rPr>
          <w:noProof/>
        </w:rPr>
        <w:t>87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_Toc349629485 \h </w:instrText>
      </w:r>
      <w:r>
        <w:rPr>
          <w:noProof/>
        </w:rPr>
      </w:r>
      <w:r>
        <w:rPr>
          <w:noProof/>
        </w:rPr>
        <w:fldChar w:fldCharType="separate"/>
      </w:r>
      <w:r>
        <w:rPr>
          <w:noProof/>
        </w:rPr>
        <w:t>87</w:t>
      </w:r>
      <w:r>
        <w:rPr>
          <w:noProof/>
        </w:rPr>
        <w:fldChar w:fldCharType="end"/>
      </w:r>
    </w:p>
    <w:p w:rsidR="00F9603A" w:rsidRDefault="00F9603A">
      <w:pPr>
        <w:pStyle w:val="TOC3"/>
        <w:rPr>
          <w:rFonts w:eastAsiaTheme="minorEastAsia" w:cstheme="minorBidi"/>
          <w:sz w:val="22"/>
          <w:szCs w:val="22"/>
        </w:rPr>
      </w:pPr>
      <w:r>
        <w:t>10.6</w:t>
      </w:r>
      <w:r>
        <w:rPr>
          <w:rFonts w:eastAsiaTheme="minorEastAsia" w:cstheme="minorBidi"/>
          <w:sz w:val="22"/>
          <w:szCs w:val="22"/>
        </w:rPr>
        <w:tab/>
      </w:r>
      <w:r>
        <w:t>Aggregate Statistics</w:t>
      </w:r>
      <w:r>
        <w:tab/>
      </w:r>
      <w:r>
        <w:fldChar w:fldCharType="begin"/>
      </w:r>
      <w:r>
        <w:instrText xml:space="preserve"> PAGEREF _Toc349629486 \h </w:instrText>
      </w:r>
      <w:r>
        <w:fldChar w:fldCharType="separate"/>
      </w:r>
      <w:r>
        <w:t>88</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_Toc349629487 \h </w:instrText>
      </w:r>
      <w:r>
        <w:rPr>
          <w:noProof/>
        </w:rPr>
      </w:r>
      <w:r>
        <w:rPr>
          <w:noProof/>
        </w:rPr>
        <w:fldChar w:fldCharType="separate"/>
      </w:r>
      <w:r>
        <w:rPr>
          <w:noProof/>
        </w:rPr>
        <w:t>88</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_Toc349629488 \h </w:instrText>
      </w:r>
      <w:r>
        <w:rPr>
          <w:noProof/>
        </w:rPr>
      </w:r>
      <w:r>
        <w:rPr>
          <w:noProof/>
        </w:rPr>
        <w:fldChar w:fldCharType="separate"/>
      </w:r>
      <w:r>
        <w:rPr>
          <w:noProof/>
        </w:rPr>
        <w:t>88</w:t>
      </w:r>
      <w:r>
        <w:rPr>
          <w:noProof/>
        </w:rPr>
        <w:fldChar w:fldCharType="end"/>
      </w:r>
    </w:p>
    <w:p w:rsidR="00F9603A" w:rsidRDefault="00F9603A">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_Toc349629489 \h </w:instrText>
      </w:r>
      <w:r>
        <w:fldChar w:fldCharType="separate"/>
      </w:r>
      <w:r>
        <w:t>88</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_Toc349629490 \h </w:instrText>
      </w:r>
      <w:r>
        <w:rPr>
          <w:noProof/>
        </w:rPr>
      </w:r>
      <w:r>
        <w:rPr>
          <w:noProof/>
        </w:rPr>
        <w:fldChar w:fldCharType="separate"/>
      </w:r>
      <w:r>
        <w:rPr>
          <w:noProof/>
        </w:rPr>
        <w:t>88</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_Toc349629491 \h </w:instrText>
      </w:r>
      <w:r>
        <w:rPr>
          <w:noProof/>
        </w:rPr>
      </w:r>
      <w:r>
        <w:rPr>
          <w:noProof/>
        </w:rPr>
        <w:fldChar w:fldCharType="separate"/>
      </w:r>
      <w:r>
        <w:rPr>
          <w:noProof/>
        </w:rPr>
        <w:t>89</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_Toc349629492 \h </w:instrText>
      </w:r>
      <w:r>
        <w:rPr>
          <w:noProof/>
        </w:rPr>
      </w:r>
      <w:r>
        <w:rPr>
          <w:noProof/>
        </w:rPr>
        <w:fldChar w:fldCharType="separate"/>
      </w:r>
      <w:r>
        <w:rPr>
          <w:noProof/>
        </w:rPr>
        <w:t>89</w:t>
      </w:r>
      <w:r>
        <w:rPr>
          <w:noProof/>
        </w:rPr>
        <w:fldChar w:fldCharType="end"/>
      </w:r>
    </w:p>
    <w:p w:rsidR="00F9603A" w:rsidRDefault="00F9603A">
      <w:pPr>
        <w:pStyle w:val="TOC3"/>
        <w:rPr>
          <w:rFonts w:eastAsiaTheme="minorEastAsia" w:cstheme="minorBidi"/>
          <w:sz w:val="22"/>
          <w:szCs w:val="22"/>
        </w:rPr>
      </w:pPr>
      <w:r>
        <w:t>10.8</w:t>
      </w:r>
      <w:r>
        <w:rPr>
          <w:rFonts w:eastAsiaTheme="minorEastAsia" w:cstheme="minorBidi"/>
          <w:sz w:val="22"/>
          <w:szCs w:val="22"/>
        </w:rPr>
        <w:tab/>
      </w:r>
      <w:r>
        <w:t>Consumption of Goods</w:t>
      </w:r>
      <w:r>
        <w:tab/>
      </w:r>
      <w:r>
        <w:fldChar w:fldCharType="begin"/>
      </w:r>
      <w:r>
        <w:instrText xml:space="preserve"> PAGEREF _Toc349629493 \h </w:instrText>
      </w:r>
      <w:r>
        <w:fldChar w:fldCharType="separate"/>
      </w:r>
      <w:r>
        <w:t>90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_Toc349629494 \h </w:instrText>
      </w:r>
      <w:r>
        <w:rPr>
          <w:noProof/>
        </w:rPr>
      </w:r>
      <w:r>
        <w:rPr>
          <w:noProof/>
        </w:rPr>
        <w:fldChar w:fldCharType="separate"/>
      </w:r>
      <w:r>
        <w:rPr>
          <w:noProof/>
        </w:rPr>
        <w:t>91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_Toc349629495 \h </w:instrText>
      </w:r>
      <w:r>
        <w:rPr>
          <w:noProof/>
        </w:rPr>
      </w:r>
      <w:r>
        <w:rPr>
          <w:noProof/>
        </w:rPr>
        <w:fldChar w:fldCharType="separate"/>
      </w:r>
      <w:r>
        <w:rPr>
          <w:noProof/>
        </w:rPr>
        <w:t>92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_Toc349629496 \h </w:instrText>
      </w:r>
      <w:r>
        <w:rPr>
          <w:noProof/>
        </w:rPr>
      </w:r>
      <w:r>
        <w:rPr>
          <w:noProof/>
        </w:rPr>
        <w:fldChar w:fldCharType="separate"/>
      </w:r>
      <w:r>
        <w:rPr>
          <w:noProof/>
        </w:rPr>
        <w:t>92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_Toc349629497 \h </w:instrText>
      </w:r>
      <w:r>
        <w:rPr>
          <w:noProof/>
        </w:rPr>
      </w:r>
      <w:r>
        <w:rPr>
          <w:noProof/>
        </w:rPr>
        <w:fldChar w:fldCharType="separate"/>
      </w:r>
      <w:r>
        <w:rPr>
          <w:noProof/>
        </w:rPr>
        <w:t>93</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_Toc349629498 \h </w:instrText>
      </w:r>
      <w:r>
        <w:rPr>
          <w:noProof/>
        </w:rPr>
      </w:r>
      <w:r>
        <w:rPr>
          <w:noProof/>
        </w:rPr>
        <w:fldChar w:fldCharType="separate"/>
      </w:r>
      <w:r>
        <w:rPr>
          <w:noProof/>
        </w:rPr>
        <w:t>94</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_Toc349629499 \h </w:instrText>
      </w:r>
      <w:r>
        <w:rPr>
          <w:noProof/>
        </w:rPr>
      </w:r>
      <w:r>
        <w:rPr>
          <w:noProof/>
        </w:rPr>
        <w:fldChar w:fldCharType="separate"/>
      </w:r>
      <w:r>
        <w:rPr>
          <w:noProof/>
        </w:rPr>
        <w:t>95</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_Toc349629500 \h </w:instrText>
      </w:r>
      <w:r>
        <w:rPr>
          <w:noProof/>
        </w:rPr>
      </w:r>
      <w:r>
        <w:rPr>
          <w:noProof/>
        </w:rPr>
        <w:fldChar w:fldCharType="separate"/>
      </w:r>
      <w:r>
        <w:rPr>
          <w:noProof/>
        </w:rPr>
        <w:t>96</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_Toc349629501 \h </w:instrText>
      </w:r>
      <w:r>
        <w:rPr>
          <w:noProof/>
        </w:rPr>
      </w:r>
      <w:r>
        <w:rPr>
          <w:noProof/>
        </w:rPr>
        <w:fldChar w:fldCharType="separate"/>
      </w:r>
      <w:r>
        <w:rPr>
          <w:noProof/>
        </w:rPr>
        <w:t>97</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10.8.9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_Toc349629502 \h </w:instrText>
      </w:r>
      <w:r>
        <w:rPr>
          <w:noProof/>
        </w:rPr>
      </w:r>
      <w:r>
        <w:rPr>
          <w:noProof/>
        </w:rPr>
        <w:fldChar w:fldCharType="separate"/>
      </w:r>
      <w:r>
        <w:rPr>
          <w:noProof/>
        </w:rPr>
        <w:t>98</w:t>
      </w:r>
      <w:r>
        <w:rPr>
          <w:noProof/>
        </w:rPr>
        <w:fldChar w:fldCharType="end"/>
      </w:r>
    </w:p>
    <w:p w:rsidR="00F9603A" w:rsidRDefault="00F9603A">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_Toc349629503 \h </w:instrText>
      </w:r>
      <w:r>
        <w:fldChar w:fldCharType="separate"/>
      </w:r>
      <w:r>
        <w:t>99</w:t>
      </w:r>
      <w:r>
        <w:fldChar w:fldCharType="end"/>
      </w:r>
    </w:p>
    <w:p w:rsidR="00F9603A" w:rsidRDefault="00F9603A">
      <w:pPr>
        <w:pStyle w:val="TOC3"/>
        <w:rPr>
          <w:rFonts w:eastAsiaTheme="minorEastAsia" w:cstheme="minorBidi"/>
          <w:sz w:val="22"/>
          <w:szCs w:val="22"/>
        </w:rPr>
      </w:pPr>
      <w:r>
        <w:lastRenderedPageBreak/>
        <w:t>11.1</w:t>
      </w:r>
      <w:r>
        <w:rPr>
          <w:rFonts w:eastAsiaTheme="minorEastAsia" w:cstheme="minorBidi"/>
          <w:sz w:val="22"/>
          <w:szCs w:val="22"/>
        </w:rPr>
        <w:tab/>
      </w:r>
      <w:r>
        <w:t>Sectors</w:t>
      </w:r>
      <w:r>
        <w:tab/>
      </w:r>
      <w:r>
        <w:fldChar w:fldCharType="begin"/>
      </w:r>
      <w:r>
        <w:instrText xml:space="preserve"> PAGEREF _Toc349629504 \h </w:instrText>
      </w:r>
      <w:r>
        <w:fldChar w:fldCharType="separate"/>
      </w:r>
      <w:r>
        <w:t>99</w:t>
      </w:r>
      <w:r>
        <w:fldChar w:fldCharType="end"/>
      </w:r>
    </w:p>
    <w:p w:rsidR="00F9603A" w:rsidRDefault="00F9603A">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_Toc349629505 \h </w:instrText>
      </w:r>
      <w:r>
        <w:fldChar w:fldCharType="separate"/>
      </w:r>
      <w:r>
        <w:t>100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_Toc349629506 \h </w:instrText>
      </w:r>
      <w:r>
        <w:rPr>
          <w:noProof/>
        </w:rPr>
      </w:r>
      <w:r>
        <w:rPr>
          <w:noProof/>
        </w:rPr>
        <w:fldChar w:fldCharType="separate"/>
      </w:r>
      <w:r>
        <w:rPr>
          <w:noProof/>
        </w:rPr>
        <w:t>101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_Toc349629507 \h </w:instrText>
      </w:r>
      <w:r>
        <w:rPr>
          <w:noProof/>
        </w:rPr>
      </w:r>
      <w:r>
        <w:rPr>
          <w:noProof/>
        </w:rPr>
        <w:fldChar w:fldCharType="separate"/>
      </w:r>
      <w:r>
        <w:rPr>
          <w:noProof/>
        </w:rPr>
        <w:t>102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_Toc349629508 \h </w:instrText>
      </w:r>
      <w:r>
        <w:rPr>
          <w:noProof/>
        </w:rPr>
      </w:r>
      <w:r>
        <w:rPr>
          <w:noProof/>
        </w:rPr>
        <w:fldChar w:fldCharType="separate"/>
      </w:r>
      <w:r>
        <w:rPr>
          <w:noProof/>
        </w:rPr>
        <w:t>103</w:t>
      </w:r>
      <w:r>
        <w:rPr>
          <w:noProof/>
        </w:rPr>
        <w:fldChar w:fldCharType="end"/>
      </w:r>
    </w:p>
    <w:p w:rsidR="00F9603A" w:rsidRDefault="00F9603A">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_Toc349629509 \h </w:instrText>
      </w:r>
      <w:r>
        <w:fldChar w:fldCharType="separate"/>
      </w:r>
      <w:r>
        <w:t>104</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_Toc349629510 \h </w:instrText>
      </w:r>
      <w:r>
        <w:rPr>
          <w:noProof/>
        </w:rPr>
      </w:r>
      <w:r>
        <w:rPr>
          <w:noProof/>
        </w:rPr>
        <w:fldChar w:fldCharType="separate"/>
      </w:r>
      <w:r>
        <w:rPr>
          <w:noProof/>
        </w:rPr>
        <w:t>105</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_Toc349629511 \h </w:instrText>
      </w:r>
      <w:r>
        <w:rPr>
          <w:noProof/>
        </w:rPr>
      </w:r>
      <w:r>
        <w:rPr>
          <w:noProof/>
        </w:rPr>
        <w:fldChar w:fldCharType="separate"/>
      </w:r>
      <w:r>
        <w:rPr>
          <w:noProof/>
        </w:rPr>
        <w:t>107</w:t>
      </w:r>
      <w:r>
        <w:rPr>
          <w:noProof/>
        </w:rPr>
        <w:fldChar w:fldCharType="end"/>
      </w:r>
    </w:p>
    <w:p w:rsidR="00F9603A" w:rsidRDefault="00F9603A">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_Toc349629512 \h </w:instrText>
      </w:r>
      <w:r>
        <w:fldChar w:fldCharType="separate"/>
      </w:r>
      <w:r>
        <w:t>108</w:t>
      </w:r>
      <w:r>
        <w:fldChar w:fldCharType="end"/>
      </w:r>
    </w:p>
    <w:p w:rsidR="00F9603A" w:rsidRDefault="00F9603A">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_Toc349629513 \h </w:instrText>
      </w:r>
      <w:r>
        <w:fldChar w:fldCharType="separate"/>
      </w:r>
      <w:r>
        <w:t>109</w:t>
      </w:r>
      <w:r>
        <w:fldChar w:fldCharType="end"/>
      </w:r>
    </w:p>
    <w:p w:rsidR="00F9603A" w:rsidRDefault="00F9603A">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_Toc349629514 \h </w:instrText>
      </w:r>
      <w:r>
        <w:fldChar w:fldCharType="separate"/>
      </w:r>
      <w:r>
        <w:t>109</w:t>
      </w:r>
      <w:r>
        <w:fldChar w:fldCharType="end"/>
      </w:r>
    </w:p>
    <w:p w:rsidR="00F9603A" w:rsidRDefault="00F9603A">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_Toc349629515 \h </w:instrText>
      </w:r>
      <w:r>
        <w:fldChar w:fldCharType="separate"/>
      </w:r>
      <w:r>
        <w:t>110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_Toc349629516 \h </w:instrText>
      </w:r>
      <w:r>
        <w:rPr>
          <w:noProof/>
        </w:rPr>
      </w:r>
      <w:r>
        <w:rPr>
          <w:noProof/>
        </w:rPr>
        <w:fldChar w:fldCharType="separate"/>
      </w:r>
      <w:r>
        <w:rPr>
          <w:noProof/>
        </w:rPr>
        <w:t>110</w:t>
      </w:r>
      <w:r>
        <w:rPr>
          <w:noProof/>
        </w:rPr>
        <w:fldChar w:fldCharType="end"/>
      </w:r>
    </w:p>
    <w:p w:rsidR="00F9603A" w:rsidRDefault="00F9603A">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_Toc349629517 \h </w:instrText>
      </w:r>
      <w:r>
        <w:fldChar w:fldCharType="separate"/>
      </w:r>
      <w:r>
        <w:t>111</w:t>
      </w:r>
      <w:r>
        <w:fldChar w:fldCharType="end"/>
      </w:r>
    </w:p>
    <w:p w:rsidR="00F9603A" w:rsidRDefault="00F9603A">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_Toc349629518 \h </w:instrText>
      </w:r>
      <w:r>
        <w:fldChar w:fldCharType="separate"/>
      </w:r>
      <w:r>
        <w:t>112</w:t>
      </w:r>
      <w:r>
        <w:fldChar w:fldCharType="end"/>
      </w:r>
    </w:p>
    <w:p w:rsidR="00F9603A" w:rsidRDefault="00F9603A">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_Toc349629519 \h </w:instrText>
      </w:r>
      <w:r>
        <w:fldChar w:fldCharType="separate"/>
      </w:r>
      <w:r>
        <w:t>113</w:t>
      </w:r>
      <w:r>
        <w:fldChar w:fldCharType="end"/>
      </w:r>
    </w:p>
    <w:p w:rsidR="00F9603A" w:rsidRDefault="00F9603A">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_Toc349629520 \h </w:instrText>
      </w:r>
      <w:r>
        <w:fldChar w:fldCharType="separate"/>
      </w:r>
      <w:r>
        <w:t>113</w:t>
      </w:r>
      <w:r>
        <w:fldChar w:fldCharType="end"/>
      </w:r>
    </w:p>
    <w:p w:rsidR="00F9603A" w:rsidRDefault="00F9603A">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_Toc349629521 \h </w:instrText>
      </w:r>
      <w:r>
        <w:fldChar w:fldCharType="separate"/>
      </w:r>
      <w:r>
        <w:t>114</w:t>
      </w:r>
      <w:r>
        <w:fldChar w:fldCharType="end"/>
      </w:r>
    </w:p>
    <w:p w:rsidR="00F9603A" w:rsidRDefault="00F9603A">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_Toc349629522 \h </w:instrText>
      </w:r>
      <w:r>
        <w:fldChar w:fldCharType="separate"/>
      </w:r>
      <w:r>
        <w:t>115</w:t>
      </w:r>
      <w:r>
        <w:fldChar w:fldCharType="end"/>
      </w:r>
    </w:p>
    <w:p w:rsidR="00F9603A" w:rsidRDefault="00F9603A">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_Toc349629523 \h </w:instrText>
      </w:r>
      <w:r>
        <w:fldChar w:fldCharType="separate"/>
      </w:r>
      <w:r>
        <w:t>115</w:t>
      </w:r>
      <w:r>
        <w:fldChar w:fldCharType="end"/>
      </w:r>
    </w:p>
    <w:p w:rsidR="00F9603A" w:rsidRDefault="00F9603A">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_Toc349629524 \h </w:instrText>
      </w:r>
      <w:r>
        <w:fldChar w:fldCharType="separate"/>
      </w:r>
      <w:r>
        <w:t>115</w:t>
      </w:r>
      <w:r>
        <w:fldChar w:fldCharType="end"/>
      </w:r>
    </w:p>
    <w:p w:rsidR="00F9603A" w:rsidRDefault="00F9603A">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_Toc349629525 \h </w:instrText>
      </w:r>
      <w:r>
        <w:fldChar w:fldCharType="separate"/>
      </w:r>
      <w:r>
        <w:t>115</w:t>
      </w:r>
      <w:r>
        <w:fldChar w:fldCharType="end"/>
      </w:r>
    </w:p>
    <w:p w:rsidR="00F9603A" w:rsidRDefault="00F9603A">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_Toc349629526 \h </w:instrText>
      </w:r>
      <w:r>
        <w:fldChar w:fldCharType="separate"/>
      </w:r>
      <w:r>
        <w:t>116</w:t>
      </w:r>
      <w:r>
        <w:fldChar w:fldCharType="end"/>
      </w:r>
    </w:p>
    <w:p w:rsidR="00F9603A" w:rsidRDefault="00F9603A">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_Toc349629527 \h </w:instrText>
      </w:r>
      <w:r>
        <w:fldChar w:fldCharType="separate"/>
      </w:r>
      <w:r>
        <w:t>116</w:t>
      </w:r>
      <w:r>
        <w:fldChar w:fldCharType="end"/>
      </w:r>
    </w:p>
    <w:p w:rsidR="00F9603A" w:rsidRDefault="00F9603A">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_Toc349629528 \h </w:instrText>
      </w:r>
      <w:r>
        <w:fldChar w:fldCharType="separate"/>
      </w:r>
      <w:r>
        <w:t>116</w:t>
      </w:r>
      <w:r>
        <w:fldChar w:fldCharType="end"/>
      </w:r>
    </w:p>
    <w:p w:rsidR="00F9603A" w:rsidRDefault="00F9603A">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_Toc349629529 \h </w:instrText>
      </w:r>
      <w:r>
        <w:fldChar w:fldCharType="separate"/>
      </w:r>
      <w:r>
        <w:t>117</w:t>
      </w:r>
      <w:r>
        <w:fldChar w:fldCharType="end"/>
      </w:r>
    </w:p>
    <w:p w:rsidR="00F9603A" w:rsidRDefault="00F9603A">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_Toc349629530 \h </w:instrText>
      </w:r>
      <w:r>
        <w:fldChar w:fldCharType="separate"/>
      </w:r>
      <w:r>
        <w:t>118</w:t>
      </w:r>
      <w:r>
        <w:fldChar w:fldCharType="end"/>
      </w:r>
    </w:p>
    <w:p w:rsidR="00F9603A" w:rsidRDefault="00F9603A">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_Toc349629531 \h </w:instrText>
      </w:r>
      <w:r>
        <w:fldChar w:fldCharType="separate"/>
      </w:r>
      <w:r>
        <w:t>118</w:t>
      </w:r>
      <w:r>
        <w:fldChar w:fldCharType="end"/>
      </w:r>
    </w:p>
    <w:p w:rsidR="00F9603A" w:rsidRDefault="00F9603A">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_Toc349629532 \h </w:instrText>
      </w:r>
      <w:r>
        <w:fldChar w:fldCharType="separate"/>
      </w:r>
      <w:r>
        <w:t>119</w:t>
      </w:r>
      <w:r>
        <w:fldChar w:fldCharType="end"/>
      </w:r>
    </w:p>
    <w:p w:rsidR="00F9603A" w:rsidRDefault="00F9603A">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_Toc349629533 \h </w:instrText>
      </w:r>
      <w:r>
        <w:fldChar w:fldCharType="separate"/>
      </w:r>
      <w:r>
        <w:t>120</w:t>
      </w:r>
      <w: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_Toc349629534 \h </w:instrText>
      </w:r>
      <w:r>
        <w:rPr>
          <w:noProof/>
        </w:rPr>
      </w:r>
      <w:r>
        <w:rPr>
          <w:noProof/>
        </w:rPr>
        <w:fldChar w:fldCharType="separate"/>
      </w:r>
      <w:r>
        <w:rPr>
          <w:noProof/>
        </w:rPr>
        <w:t>121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_Toc349629535 \h </w:instrText>
      </w:r>
      <w:r>
        <w:rPr>
          <w:noProof/>
        </w:rPr>
      </w:r>
      <w:r>
        <w:rPr>
          <w:noProof/>
        </w:rPr>
        <w:fldChar w:fldCharType="separate"/>
      </w:r>
      <w:r>
        <w:rPr>
          <w:noProof/>
        </w:rPr>
        <w:t>121</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_Toc349629536 \h </w:instrText>
      </w:r>
      <w:r>
        <w:rPr>
          <w:noProof/>
        </w:rPr>
      </w:r>
      <w:r>
        <w:rPr>
          <w:noProof/>
        </w:rPr>
        <w:fldChar w:fldCharType="separate"/>
      </w:r>
      <w:r>
        <w:rPr>
          <w:noProof/>
        </w:rPr>
        <w:t>122</w:t>
      </w:r>
      <w:r>
        <w:rPr>
          <w:noProof/>
        </w:rPr>
        <w:fldChar w:fldCharType="end"/>
      </w:r>
    </w:p>
    <w:p w:rsidR="00F9603A" w:rsidRDefault="00F9603A">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_Toc349629537 \h </w:instrText>
      </w:r>
      <w:r>
        <w:rPr>
          <w:noProof/>
        </w:rPr>
      </w:r>
      <w:r>
        <w:rPr>
          <w:noProof/>
        </w:rPr>
        <w:fldChar w:fldCharType="separate"/>
      </w:r>
      <w:r>
        <w:rPr>
          <w:noProof/>
        </w:rPr>
        <w:t>123</w:t>
      </w:r>
      <w:r>
        <w:rPr>
          <w:noProof/>
        </w:rPr>
        <w:fldChar w:fldCharType="end"/>
      </w:r>
    </w:p>
    <w:p w:rsidR="00F9603A" w:rsidRDefault="00F9603A">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_Toc349629538 \h </w:instrText>
      </w:r>
      <w:r>
        <w:fldChar w:fldCharType="separate"/>
      </w:r>
      <w:r>
        <w:t>123</w:t>
      </w:r>
      <w:r>
        <w:fldChar w:fldCharType="end"/>
      </w:r>
    </w:p>
    <w:p w:rsidR="00F9603A" w:rsidRDefault="00F9603A">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_Toc349629539 \h </w:instrText>
      </w:r>
      <w:r>
        <w:rPr>
          <w:noProof/>
        </w:rPr>
      </w:r>
      <w:r>
        <w:rPr>
          <w:noProof/>
        </w:rPr>
        <w:fldChar w:fldCharType="separate"/>
      </w:r>
      <w:r>
        <w:rPr>
          <w:noProof/>
        </w:rPr>
        <w:t>126</w:t>
      </w:r>
      <w:r>
        <w:rPr>
          <w:noProof/>
        </w:rPr>
        <w:fldChar w:fldCharType="end"/>
      </w:r>
    </w:p>
    <w:p w:rsidR="00F9603A" w:rsidRDefault="00F9603A">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_Toc349629540 \h </w:instrText>
      </w:r>
      <w:r>
        <w:fldChar w:fldCharType="separate"/>
      </w:r>
      <w:r>
        <w:t>127</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9629338"/>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9629339"/>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F9603A">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9629340"/>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9629341"/>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9629342"/>
      <w:r>
        <w:t xml:space="preserve">Changes for Athena </w:t>
      </w:r>
      <w:bookmarkEnd w:id="10"/>
      <w:r w:rsidR="0020734C">
        <w:t>5</w:t>
      </w:r>
      <w:bookmarkEnd w:id="11"/>
    </w:p>
    <w:p w:rsidR="0020734C" w:rsidRPr="0020734C" w:rsidRDefault="0020734C" w:rsidP="0020734C">
      <w:r>
        <w:t>TBD.</w:t>
      </w:r>
    </w:p>
    <w:p w:rsidR="0020734C" w:rsidRDefault="0020734C" w:rsidP="0020734C">
      <w:pPr>
        <w:pStyle w:val="Heading3"/>
      </w:pPr>
      <w:bookmarkStart w:id="12" w:name="_Toc349629343"/>
      <w:r>
        <w:t>Changes for Athena 4</w:t>
      </w:r>
      <w:bookmarkEnd w:id="12"/>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3" w:name="_Ref309649305"/>
      <w:bookmarkStart w:id="14" w:name="_Toc310421733"/>
      <w:bookmarkStart w:id="15" w:name="_Toc349629344"/>
      <w:r>
        <w:lastRenderedPageBreak/>
        <w:t>Athena Concepts</w:t>
      </w:r>
      <w:bookmarkEnd w:id="13"/>
      <w:bookmarkEnd w:id="14"/>
      <w:bookmarkEnd w:id="15"/>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F9603A">
        <w:t>3</w:t>
      </w:r>
      <w:r w:rsidR="00BB3615">
        <w:fldChar w:fldCharType="end"/>
      </w:r>
      <w:r>
        <w:t xml:space="preserve"> and following for the detailed models.</w:t>
      </w:r>
    </w:p>
    <w:p w:rsidR="002B6704" w:rsidRDefault="002B6704" w:rsidP="002B6704">
      <w:pPr>
        <w:pStyle w:val="Heading3"/>
      </w:pPr>
      <w:bookmarkStart w:id="16" w:name="_Toc310421734"/>
      <w:bookmarkStart w:id="17" w:name="_Toc349629345"/>
      <w:r>
        <w:t>Model Parameters</w:t>
      </w:r>
      <w:bookmarkEnd w:id="16"/>
      <w:bookmarkEnd w:id="17"/>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8" w:name="_Toc310421735"/>
      <w:bookmarkStart w:id="19" w:name="_Toc349629346"/>
      <w:r>
        <w:t>Simulated Time</w:t>
      </w:r>
      <w:bookmarkEnd w:id="18"/>
      <w:bookmarkEnd w:id="19"/>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0" w:name="_Toc310421736"/>
      <w:bookmarkStart w:id="21" w:name="_Toc349629347"/>
      <w:r>
        <w:t>Geography</w:t>
      </w:r>
      <w:bookmarkEnd w:id="20"/>
      <w:bookmarkEnd w:id="21"/>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2" w:name="_Toc310421737"/>
      <w:bookmarkStart w:id="23" w:name="_Toc349629348"/>
      <w:r w:rsidRPr="002B6704">
        <w:lastRenderedPageBreak/>
        <w:t>Neighborhoods</w:t>
      </w:r>
      <w:bookmarkEnd w:id="22"/>
      <w:bookmarkEnd w:id="23"/>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C906A7"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E9429D" w:rsidRDefault="00E9429D"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E9429D" w:rsidRDefault="00E9429D"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E9429D" w:rsidRDefault="00E9429D"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E9429D" w:rsidRDefault="00E9429D"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E9429D" w:rsidRDefault="00E9429D"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E9429D" w:rsidRDefault="00E9429D"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E9429D" w:rsidRDefault="00E9429D"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E9429D" w:rsidRDefault="00E9429D"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E9429D" w:rsidRDefault="00E9429D"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4" w:name="_Toc310421738"/>
      <w:bookmarkStart w:id="25" w:name="_Toc349629349"/>
      <w:r>
        <w:lastRenderedPageBreak/>
        <w:t>Neighborhood Proximity</w:t>
      </w:r>
      <w:bookmarkEnd w:id="24"/>
      <w:bookmarkEnd w:id="25"/>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C906A7"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E9429D" w:rsidRDefault="00E9429D"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E9429D" w:rsidRDefault="00E9429D"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E9429D" w:rsidRDefault="00E9429D"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E9429D" w:rsidRDefault="00E9429D"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E9429D" w:rsidRDefault="00E9429D"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E9429D" w:rsidRDefault="00E9429D"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E9429D" w:rsidRDefault="00E9429D"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E9429D" w:rsidRDefault="00E9429D"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E9429D" w:rsidRDefault="00E9429D"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6" w:name="_Toc310421739"/>
      <w:bookmarkStart w:id="27" w:name="_Toc349629350"/>
      <w:r>
        <w:t>Local vs. Non-Local Neighborhoods</w:t>
      </w:r>
      <w:bookmarkEnd w:id="26"/>
      <w:bookmarkEnd w:id="27"/>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8" w:name="_Ref309651430"/>
      <w:bookmarkStart w:id="29" w:name="_Toc310421740"/>
      <w:bookmarkStart w:id="30" w:name="_Toc349629351"/>
      <w:r>
        <w:t>Actors</w:t>
      </w:r>
      <w:bookmarkEnd w:id="28"/>
      <w:bookmarkEnd w:id="29"/>
      <w:bookmarkEnd w:id="30"/>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1" w:name="_Toc310421741"/>
      <w:bookmarkStart w:id="32" w:name="_Toc349629352"/>
      <w:r>
        <w:t>Strategies: Goals, Tactics, and Conditions</w:t>
      </w:r>
      <w:bookmarkEnd w:id="31"/>
      <w:bookmarkEnd w:id="32"/>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3" w:name="_Toc310421742"/>
      <w:bookmarkStart w:id="34" w:name="_Toc349629353"/>
      <w:r>
        <w:t>Support, Influence, and Control</w:t>
      </w:r>
      <w:bookmarkEnd w:id="33"/>
      <w:bookmarkEnd w:id="34"/>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F9603A">
        <w:t>4</w:t>
      </w:r>
      <w:r w:rsidR="00BB3615">
        <w:fldChar w:fldCharType="end"/>
      </w:r>
      <w:r>
        <w:t>.</w:t>
      </w:r>
    </w:p>
    <w:p w:rsidR="002B6704" w:rsidRDefault="002B6704" w:rsidP="001E49E9">
      <w:pPr>
        <w:pStyle w:val="Heading4"/>
      </w:pPr>
      <w:bookmarkStart w:id="35" w:name="_Toc310421743"/>
      <w:bookmarkStart w:id="36" w:name="_Toc349629354"/>
      <w:r>
        <w:t>Stability</w:t>
      </w:r>
      <w:bookmarkEnd w:id="35"/>
      <w:bookmarkEnd w:id="36"/>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7" w:name="_Toc310421744"/>
      <w:bookmarkStart w:id="38" w:name="_Toc349629355"/>
      <w:r>
        <w:t>Groups</w:t>
      </w:r>
      <w:bookmarkEnd w:id="37"/>
      <w:bookmarkEnd w:id="38"/>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9" w:name="_Toc310421745"/>
      <w:bookmarkStart w:id="40" w:name="_Toc349629356"/>
      <w:r>
        <w:t>Civilian Groups</w:t>
      </w:r>
      <w:bookmarkEnd w:id="39"/>
      <w:bookmarkEnd w:id="40"/>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F9603A">
        <w:t>10</w:t>
      </w:r>
      <w:r w:rsidR="00BB3615">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rsidR="002B6704" w:rsidRDefault="002B6704" w:rsidP="001E49E9">
      <w:pPr>
        <w:pStyle w:val="Heading4"/>
      </w:pPr>
      <w:bookmarkStart w:id="41" w:name="_Toc310421746"/>
      <w:bookmarkStart w:id="42" w:name="_Toc349629357"/>
      <w:r>
        <w:t>Force Groups</w:t>
      </w:r>
      <w:bookmarkEnd w:id="41"/>
      <w:bookmarkEnd w:id="42"/>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3" w:name="_Ref309652671"/>
      <w:bookmarkStart w:id="44" w:name="_Toc310421747"/>
      <w:bookmarkStart w:id="45" w:name="_Toc349629358"/>
      <w:r w:rsidRPr="001E49E9">
        <w:t>Mobilization</w:t>
      </w:r>
      <w:r>
        <w:t xml:space="preserve">, </w:t>
      </w:r>
      <w:r w:rsidRPr="001E49E9">
        <w:t>Deployment</w:t>
      </w:r>
      <w:r>
        <w:t>, and Assignment</w:t>
      </w:r>
      <w:bookmarkEnd w:id="43"/>
      <w:bookmarkEnd w:id="44"/>
      <w:bookmarkEnd w:id="45"/>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6" w:name="_Toc310421748"/>
      <w:bookmarkStart w:id="47" w:name="_Toc349629359"/>
      <w:r>
        <w:t>Organization Groups</w:t>
      </w:r>
      <w:bookmarkEnd w:id="46"/>
      <w:bookmarkEnd w:id="47"/>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8" w:name="_Toc310421749"/>
      <w:bookmarkStart w:id="49" w:name="_Toc349629360"/>
      <w:r>
        <w:t>Force, Security, and Volatility</w:t>
      </w:r>
      <w:bookmarkEnd w:id="48"/>
      <w:bookmarkEnd w:id="49"/>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0" w:name="_Toc310421750"/>
      <w:bookmarkStart w:id="51" w:name="_Toc349629361"/>
      <w:r>
        <w:t>Modeling Areas</w:t>
      </w:r>
      <w:bookmarkEnd w:id="50"/>
      <w:bookmarkEnd w:id="51"/>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2" w:name="_Toc310421751"/>
      <w:bookmarkStart w:id="53" w:name="_Toc349629362"/>
      <w:r>
        <w:t>Ground</w:t>
      </w:r>
      <w:bookmarkEnd w:id="52"/>
      <w:bookmarkEnd w:id="53"/>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4" w:name="_Toc310421752"/>
      <w:bookmarkStart w:id="55" w:name="_Toc349629363"/>
      <w:r>
        <w:t>Demographics</w:t>
      </w:r>
      <w:bookmarkEnd w:id="54"/>
      <w:bookmarkEnd w:id="55"/>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6" w:name="__RefHeading__35345922"/>
      <w:bookmarkStart w:id="57" w:name="_Toc310421753"/>
      <w:bookmarkStart w:id="58" w:name="_Toc349629364"/>
      <w:r>
        <w:t>Attitudes</w:t>
      </w:r>
      <w:bookmarkEnd w:id="56"/>
      <w:bookmarkEnd w:id="57"/>
      <w:bookmarkEnd w:id="58"/>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9" w:name="_Toc349629365"/>
      <w:r>
        <w:t>Politics</w:t>
      </w:r>
      <w:bookmarkEnd w:id="59"/>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60" w:name="_Toc310421754"/>
      <w:bookmarkStart w:id="61" w:name="_Toc349629366"/>
      <w:r>
        <w:t>Economics</w:t>
      </w:r>
      <w:bookmarkEnd w:id="60"/>
      <w:bookmarkEnd w:id="61"/>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2" w:name="_Toc349629367"/>
      <w:r>
        <w:lastRenderedPageBreak/>
        <w:t>Information</w:t>
      </w:r>
      <w:bookmarkEnd w:id="62"/>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3" w:name="_Toc310421755"/>
      <w:bookmarkStart w:id="64" w:name="_Toc349629368"/>
      <w:r>
        <w:t>Simulation States and the Advancement of Time</w:t>
      </w:r>
      <w:bookmarkEnd w:id="63"/>
      <w:bookmarkEnd w:id="64"/>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5" w:name="_Toc310421756"/>
      <w:bookmarkStart w:id="66" w:name="_Ref316890631"/>
      <w:bookmarkStart w:id="67" w:name="_Ref341685117"/>
      <w:bookmarkStart w:id="68" w:name="_Ref341685118"/>
      <w:bookmarkStart w:id="69" w:name="_Toc349629369"/>
      <w:r>
        <w:lastRenderedPageBreak/>
        <w:t>Strategies and Strategy Execution</w:t>
      </w:r>
      <w:bookmarkEnd w:id="65"/>
      <w:bookmarkEnd w:id="66"/>
      <w:bookmarkEnd w:id="67"/>
      <w:bookmarkEnd w:id="68"/>
      <w:bookmarkEnd w:id="69"/>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F9603A">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70" w:name="_Toc310421757"/>
      <w:bookmarkStart w:id="71" w:name="_Toc349629370"/>
      <w:r>
        <w:t>Agents</w:t>
      </w:r>
      <w:bookmarkEnd w:id="70"/>
      <w:bookmarkEnd w:id="71"/>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F9603A">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2" w:name="_Toc310421758"/>
      <w:bookmarkStart w:id="73" w:name="_Toc349629371"/>
      <w:r>
        <w:t>The SYSTEM Agent</w:t>
      </w:r>
      <w:bookmarkEnd w:id="72"/>
      <w:bookmarkEnd w:id="73"/>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4" w:name="_Ref309652343"/>
      <w:bookmarkStart w:id="75" w:name="_Toc310421759"/>
      <w:bookmarkStart w:id="76" w:name="_Toc349629372"/>
      <w:r>
        <w:t>Actors</w:t>
      </w:r>
      <w:bookmarkEnd w:id="74"/>
      <w:bookmarkEnd w:id="75"/>
      <w:bookmarkEnd w:id="76"/>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7" w:name="_Toc310421760"/>
      <w:bookmarkStart w:id="78" w:name="_Toc349629373"/>
      <w:r>
        <w:t>Assets: Cash</w:t>
      </w:r>
      <w:bookmarkEnd w:id="77"/>
      <w:bookmarkEnd w:id="78"/>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F9603A">
        <w:t>11.3.2</w:t>
      </w:r>
      <w:r w:rsidR="00BB3615">
        <w:fldChar w:fldCharType="end"/>
      </w:r>
      <w:r w:rsidR="004A128D">
        <w:t xml:space="preserve"> for</w:t>
      </w:r>
      <w:r>
        <w:t xml:space="preserve"> details.</w:t>
      </w:r>
    </w:p>
    <w:p w:rsidR="00A41624" w:rsidRDefault="00A41624" w:rsidP="00A41624">
      <w:pPr>
        <w:pStyle w:val="Heading4"/>
      </w:pPr>
      <w:bookmarkStart w:id="79" w:name="_Toc310421761"/>
      <w:bookmarkStart w:id="80" w:name="_Toc349629374"/>
      <w:r>
        <w:t>Assets: Personnel</w:t>
      </w:r>
      <w:bookmarkEnd w:id="79"/>
      <w:bookmarkEnd w:id="80"/>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F9603A">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1" w:name="_Toc349629375"/>
      <w:r>
        <w:t>Assets: Communications</w:t>
      </w:r>
      <w:bookmarkEnd w:id="81"/>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2" w:name="_Toc310421762"/>
      <w:bookmarkStart w:id="83" w:name="_Toc349629376"/>
      <w:r>
        <w:t>Conditions</w:t>
      </w:r>
      <w:bookmarkEnd w:id="82"/>
      <w:bookmarkEnd w:id="83"/>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4" w:name="_Toc310421763"/>
      <w:bookmarkStart w:id="85" w:name="_Toc349629377"/>
      <w:r>
        <w:lastRenderedPageBreak/>
        <w:t>Goals</w:t>
      </w:r>
      <w:bookmarkEnd w:id="84"/>
      <w:bookmarkEnd w:id="85"/>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6" w:name="_Toc310421764"/>
      <w:bookmarkStart w:id="87" w:name="_Toc349629378"/>
      <w:r>
        <w:t>Tactics</w:t>
      </w:r>
      <w:bookmarkEnd w:id="86"/>
      <w:bookmarkEnd w:id="87"/>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8" w:name="_Toc310421765"/>
      <w:bookmarkStart w:id="89" w:name="_Toc349629379"/>
      <w:r>
        <w:lastRenderedPageBreak/>
        <w:t>Strategy Execution</w:t>
      </w:r>
      <w:bookmarkEnd w:id="88"/>
      <w:bookmarkEnd w:id="89"/>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90" w:name="_Toc310421766"/>
      <w:bookmarkStart w:id="91" w:name="_Toc349629380"/>
      <w:r>
        <w:t>Working Data</w:t>
      </w:r>
      <w:bookmarkEnd w:id="90"/>
      <w:bookmarkEnd w:id="91"/>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2" w:name="_Toc310421767"/>
      <w:bookmarkStart w:id="93" w:name="_Toc349629381"/>
      <w:r>
        <w:t>Roads Not Taken</w:t>
      </w:r>
      <w:bookmarkEnd w:id="92"/>
      <w:bookmarkEnd w:id="93"/>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4" w:name="_Toc310421768"/>
      <w:bookmarkStart w:id="95" w:name="_Toc349629382"/>
      <w:r>
        <w:t>Goal Extensions</w:t>
      </w:r>
      <w:bookmarkEnd w:id="94"/>
      <w:bookmarkEnd w:id="95"/>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6" w:name="_Toc310421769"/>
      <w:bookmarkStart w:id="97" w:name="_Toc349629383"/>
      <w:r>
        <w:t>Goal Prioritization</w:t>
      </w:r>
      <w:bookmarkEnd w:id="96"/>
      <w:bookmarkEnd w:id="97"/>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8" w:name="_Toc310421770"/>
      <w:bookmarkStart w:id="99" w:name="_Ref316890632"/>
      <w:bookmarkStart w:id="100" w:name="_Toc349629384"/>
      <w:r>
        <w:lastRenderedPageBreak/>
        <w:t>Relationships and Control</w:t>
      </w:r>
      <w:bookmarkEnd w:id="98"/>
      <w:bookmarkEnd w:id="99"/>
      <w:bookmarkEnd w:id="100"/>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1" w:name="_Toc310421771"/>
      <w:bookmarkStart w:id="102" w:name="_Ref339611827"/>
      <w:bookmarkStart w:id="103" w:name="_Toc349629385"/>
      <w:r>
        <w:t>Relationships and Affinity</w:t>
      </w:r>
      <w:bookmarkEnd w:id="101"/>
      <w:bookmarkEnd w:id="102"/>
      <w:bookmarkEnd w:id="103"/>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4" w:name="_Toc310421772"/>
      <w:bookmarkStart w:id="105" w:name="_Toc349629386"/>
      <w:r>
        <w:lastRenderedPageBreak/>
        <w:t>Horizontal Relationships</w:t>
      </w:r>
      <w:bookmarkEnd w:id="104"/>
      <w:bookmarkEnd w:id="105"/>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6" w:name="_Toc310421773"/>
      <w:bookmarkStart w:id="107" w:name="_Toc349629387"/>
      <w:r>
        <w:t>Force and Organization Group Affinities</w:t>
      </w:r>
      <w:bookmarkEnd w:id="106"/>
      <w:bookmarkEnd w:id="107"/>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8" w:name="_Toc310421774"/>
      <w:bookmarkStart w:id="109" w:name="_Toc349629388"/>
      <w:r>
        <w:t>Computing Horizontal Relationships</w:t>
      </w:r>
      <w:bookmarkEnd w:id="108"/>
      <w:bookmarkEnd w:id="109"/>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C906A7"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10" w:name="_Ref174775754"/>
      <w:bookmarkStart w:id="111" w:name="_Toc310421775"/>
      <w:bookmarkStart w:id="112" w:name="_Toc349629389"/>
      <w:r>
        <w:t>Vertical Relationship</w:t>
      </w:r>
      <w:bookmarkEnd w:id="110"/>
      <w:r>
        <w:t>s</w:t>
      </w:r>
      <w:bookmarkEnd w:id="111"/>
      <w:bookmarkEnd w:id="112"/>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3" w:name="_Toc349629390"/>
      <w:r>
        <w:t>Baseline Vertical Relationships</w:t>
      </w:r>
      <w:bookmarkEnd w:id="113"/>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C906A7"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C906A7"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4" w:name="_Toc310421784"/>
      <w:bookmarkStart w:id="115" w:name="_Toc349629391"/>
      <w:r>
        <w:t>Actor Support and Influence</w:t>
      </w:r>
      <w:bookmarkEnd w:id="114"/>
      <w:bookmarkEnd w:id="115"/>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6" w:name="_Toc310421785"/>
      <w:bookmarkStart w:id="117" w:name="_Toc349629392"/>
      <w:r>
        <w:lastRenderedPageBreak/>
        <w:t>Direct vs. Derived Support</w:t>
      </w:r>
      <w:bookmarkEnd w:id="116"/>
      <w:bookmarkEnd w:id="117"/>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8" w:name="_Toc310421786"/>
      <w:bookmarkStart w:id="119" w:name="_Toc349629393"/>
      <w:r>
        <w:t>Direct Support</w:t>
      </w:r>
      <w:bookmarkEnd w:id="118"/>
      <w:bookmarkEnd w:id="119"/>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F9603A">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C906A7"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C906A7"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C906A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C906A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C906A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C906A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C906A7"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C906A7"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14:anchorId="6210EB56" wp14:editId="3E212E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20" w:name="_Toc310421787"/>
      <w:bookmarkStart w:id="121" w:name="_Toc349629394"/>
      <w:r>
        <w:t>Derived Support</w:t>
      </w:r>
      <w:bookmarkEnd w:id="120"/>
      <w:bookmarkEnd w:id="121"/>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2" w:name="_Toc310421788"/>
      <w:bookmarkStart w:id="123" w:name="_Toc349629395"/>
      <w:r>
        <w:t>Total Support</w:t>
      </w:r>
      <w:bookmarkEnd w:id="122"/>
      <w:bookmarkEnd w:id="123"/>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C906A7"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4" w:name="_Toc310421789"/>
      <w:bookmarkStart w:id="125" w:name="_Toc349629396"/>
      <w:r>
        <w:t>Influence</w:t>
      </w:r>
      <w:bookmarkEnd w:id="124"/>
      <w:bookmarkEnd w:id="125"/>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C906A7"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6" w:name="_Toc310421790"/>
      <w:bookmarkStart w:id="127" w:name="_Toc349629397"/>
      <w:r>
        <w:t>Control of a Neighborhood</w:t>
      </w:r>
      <w:bookmarkEnd w:id="126"/>
      <w:bookmarkEnd w:id="127"/>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F9603A">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8" w:name="_Toc310421791"/>
      <w:bookmarkStart w:id="129" w:name="_Toc349629398"/>
      <w:r>
        <w:t>When Control Shifts</w:t>
      </w:r>
      <w:bookmarkEnd w:id="128"/>
      <w:bookmarkEnd w:id="129"/>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30" w:name="_Toc310421792"/>
      <w:bookmarkStart w:id="131" w:name="_Ref339455549"/>
      <w:bookmarkStart w:id="132" w:name="_Toc349629399"/>
      <w:r>
        <w:lastRenderedPageBreak/>
        <w:t>Force Analysis</w:t>
      </w:r>
      <w:bookmarkEnd w:id="130"/>
      <w:bookmarkEnd w:id="131"/>
      <w:bookmarkEnd w:id="132"/>
    </w:p>
    <w:p w:rsidR="00F73DC8" w:rsidRPr="00F73DC8" w:rsidRDefault="00F73DC8" w:rsidP="00F73DC8">
      <w:pPr>
        <w:pStyle w:val="Heading3"/>
      </w:pPr>
      <w:bookmarkStart w:id="133" w:name="_Toc349629400"/>
      <w:r>
        <w:t>Overview</w:t>
      </w:r>
      <w:bookmarkEnd w:id="133"/>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4" w:name="_Toc349629401"/>
      <w:r>
        <w:t>Changes in Athena 4</w:t>
      </w:r>
      <w:bookmarkEnd w:id="134"/>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5" w:name="_Toc349629402"/>
      <w:r>
        <w:t>Force Group Stance</w:t>
      </w:r>
      <w:r w:rsidR="00F73DC8">
        <w:t xml:space="preserve"> and Effective Relationships</w:t>
      </w:r>
      <w:bookmarkEnd w:id="135"/>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6" w:name="_Toc349629403"/>
      <w:r>
        <w:lastRenderedPageBreak/>
        <w:t>Stance</w:t>
      </w:r>
      <w:bookmarkEnd w:id="136"/>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7" w:name="_Toc349629404"/>
      <w:r>
        <w:t>Effect of Attacking ROEs</w:t>
      </w:r>
      <w:bookmarkEnd w:id="137"/>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C906A7"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F9603A">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8" w:name="_Ref339522391"/>
      <w:bookmarkStart w:id="139" w:name="_Toc349629405"/>
      <w:r>
        <w:t>Group Discipline</w:t>
      </w:r>
      <w:bookmarkEnd w:id="138"/>
      <w:bookmarkEnd w:id="139"/>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C906A7"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C906A7"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40" w:name="_Ref332872025"/>
      <w:bookmarkStart w:id="141" w:name="_Toc349629406"/>
      <w:r>
        <w:t>Effective Relationships</w:t>
      </w:r>
      <w:bookmarkEnd w:id="140"/>
      <w:bookmarkEnd w:id="141"/>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C906A7"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m:t>
                        </m:r>
                        <m:r>
                          <w:rPr>
                            <w:rFonts w:ascii="Cambria Math" w:hAnsi="Cambria Math"/>
                          </w:rPr>
                          <m:t>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2" w:name="_Ref339523218"/>
      <w:bookmarkStart w:id="143" w:name="_Toc349629407"/>
      <w:r>
        <w:lastRenderedPageBreak/>
        <w:t>Background Criminal Activity</w:t>
      </w:r>
      <w:bookmarkEnd w:id="142"/>
      <w:bookmarkEnd w:id="143"/>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4" w:name="_Toc349629408"/>
      <w:r>
        <w:t>Law Enforcement Personnel</w:t>
      </w:r>
      <w:bookmarkEnd w:id="144"/>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F9603A">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C906A7"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5" w:name="_Toc349629409"/>
      <w:r>
        <w:t>Suppression of Criminal Activity</w:t>
      </w:r>
      <w:bookmarkEnd w:id="145"/>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6" w:name="_Toc349629410"/>
      <w:r>
        <w:t>Nominal Criminal Fraction</w:t>
      </w:r>
      <w:bookmarkEnd w:id="146"/>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14:anchorId="19FF639E" wp14:editId="759D719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7" w:name="_Toc349629411"/>
      <w:r>
        <w:t>Actual Criminal Fraction</w:t>
      </w:r>
      <w:bookmarkEnd w:id="147"/>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C906A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C906A7"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C906A7"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C906A7"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C906A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8" w:name="_Toc310421793"/>
      <w:bookmarkStart w:id="149" w:name="_Toc349629412"/>
      <w:r>
        <w:lastRenderedPageBreak/>
        <w:t>Measuring Force</w:t>
      </w:r>
      <w:bookmarkEnd w:id="148"/>
      <w:bookmarkEnd w:id="149"/>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50" w:name="_Toc349629413"/>
      <w:r>
        <w:t>A Group's Own Force</w:t>
      </w:r>
      <w:bookmarkEnd w:id="150"/>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C906A7"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C906A7"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C906A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1" w:name="_Toc349629414"/>
      <w:r>
        <w:t>Civilian Group Force</w:t>
      </w:r>
      <w:bookmarkEnd w:id="151"/>
    </w:p>
    <w:p w:rsidR="001D79EC" w:rsidRDefault="009F4E0C" w:rsidP="001D79EC">
      <w:r>
        <w:t>The own force of a civilian group is defined to be</w:t>
      </w:r>
    </w:p>
    <w:p w:rsidR="009F4E0C" w:rsidRDefault="009F4E0C" w:rsidP="001D79EC"/>
    <w:p w:rsidR="001D79EC" w:rsidRPr="001D79EC" w:rsidRDefault="00C906A7"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C906A7"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C906A7"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C906A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C906A7"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C906A7"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2" w:name="_Toc349629415"/>
      <w:r>
        <w:t>Organization Group Force</w:t>
      </w:r>
      <w:bookmarkEnd w:id="152"/>
    </w:p>
    <w:p w:rsidR="003C07F5" w:rsidRDefault="003C07F5" w:rsidP="003C07F5">
      <w:r>
        <w:t>The own force of an organization group is defined to be</w:t>
      </w:r>
    </w:p>
    <w:p w:rsidR="003C07F5" w:rsidRDefault="003C07F5" w:rsidP="003C07F5"/>
    <w:p w:rsidR="003C07F5" w:rsidRPr="001D79EC" w:rsidRDefault="00C906A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C906A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C906A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C906A7"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3" w:name="_Toc349629416"/>
      <w:r>
        <w:lastRenderedPageBreak/>
        <w:t>Force Group Force</w:t>
      </w:r>
      <w:bookmarkEnd w:id="153"/>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C906A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C906A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C906A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F9603A">
        <w:t>6</w:t>
      </w:r>
      <w:r w:rsidR="00BB3615">
        <w:fldChar w:fldCharType="end"/>
      </w:r>
      <w:r>
        <w:t>).</w:t>
      </w:r>
    </w:p>
    <w:p w:rsidR="001A341C" w:rsidRPr="001A341C" w:rsidRDefault="00C906A7"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C906A7"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4" w:name="_Toc349629417"/>
      <w:r>
        <w:t>Non-Criminal and Criminal Force</w:t>
      </w:r>
      <w:bookmarkEnd w:id="154"/>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F9603A">
        <w:t>5.3</w:t>
      </w:r>
      <w:r w:rsidR="00BB3615">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C906A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C906A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5" w:name="_Toc349629418"/>
      <w:r>
        <w:t>Friends and Enemies</w:t>
      </w:r>
      <w:bookmarkEnd w:id="155"/>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C906A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C906A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C906A7"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C906A7"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C906A7"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C906A7"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C906A7"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6" w:name="_Toc310421794"/>
      <w:bookmarkStart w:id="157" w:name="_Toc349629419"/>
      <w:r>
        <w:t>Volatility</w:t>
      </w:r>
      <w:bookmarkEnd w:id="156"/>
      <w:bookmarkEnd w:id="157"/>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C906A7"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C906A7"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C906A7"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8" w:name="_Toc310421795"/>
      <w:bookmarkStart w:id="159" w:name="_Ref339455538"/>
      <w:bookmarkStart w:id="160" w:name="_Toc349629420"/>
      <w:r>
        <w:t>Security</w:t>
      </w:r>
      <w:bookmarkEnd w:id="158"/>
      <w:bookmarkEnd w:id="159"/>
      <w:bookmarkEnd w:id="160"/>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C906A7"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C906A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C906A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C906A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C906A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61" w:name="_Toc349629421"/>
      <w:r>
        <w:t>Security and Empty Groups</w:t>
      </w:r>
      <w:bookmarkEnd w:id="161"/>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2" w:name="__RefHeading__30424212"/>
      <w:bookmarkStart w:id="163" w:name="_Toc310421796"/>
      <w:bookmarkStart w:id="164" w:name="_Toc349629422"/>
      <w:r>
        <w:lastRenderedPageBreak/>
        <w:t>Effects of Unit Activities</w:t>
      </w:r>
      <w:bookmarkEnd w:id="162"/>
      <w:bookmarkEnd w:id="163"/>
      <w:bookmarkEnd w:id="164"/>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5" w:name="__RefHeading__35223422"/>
      <w:bookmarkStart w:id="166" w:name="_Toc310421797"/>
      <w:bookmarkStart w:id="167" w:name="_Toc349629423"/>
      <w:r>
        <w:t>Force Presence and Activities</w:t>
      </w:r>
      <w:bookmarkEnd w:id="165"/>
      <w:bookmarkEnd w:id="166"/>
      <w:bookmarkEnd w:id="167"/>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C906A7"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E9429D" w:rsidRDefault="00E9429D"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E9429D" w:rsidRDefault="00E9429D" w:rsidP="00392218"/>
                  <w:p w:rsidR="00E9429D" w:rsidRDefault="00E9429D"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E9429D" w:rsidRDefault="00E9429D"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E9429D" w:rsidRDefault="00E9429D"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E9429D" w:rsidRDefault="00E9429D"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E9429D" w:rsidRDefault="00E9429D"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E9429D" w:rsidRDefault="00E9429D"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C906A7"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C906A7"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8" w:name="_Toc310421798"/>
      <w:bookmarkStart w:id="169" w:name="_Toc349629424"/>
      <w:r>
        <w:t>Organization Activities</w:t>
      </w:r>
      <w:bookmarkEnd w:id="168"/>
      <w:bookmarkEnd w:id="169"/>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70" w:name="_Toc310421799"/>
      <w:bookmarkStart w:id="171" w:name="_Toc349629425"/>
      <w:r>
        <w:t>Civilian Activities</w:t>
      </w:r>
      <w:bookmarkEnd w:id="170"/>
      <w:bookmarkEnd w:id="171"/>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2" w:name="_Toc310421800"/>
      <w:bookmarkStart w:id="173" w:name="_Toc349629426"/>
      <w:r>
        <w:lastRenderedPageBreak/>
        <w:t>Activity Situations</w:t>
      </w:r>
      <w:bookmarkEnd w:id="172"/>
      <w:bookmarkEnd w:id="173"/>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4" w:name="_Ref310324877"/>
      <w:bookmarkStart w:id="175" w:name="_Toc310421801"/>
      <w:bookmarkStart w:id="176" w:name="_Toc349629427"/>
      <w:r>
        <w:lastRenderedPageBreak/>
        <w:t>Environmental Situations</w:t>
      </w:r>
      <w:bookmarkEnd w:id="174"/>
      <w:bookmarkEnd w:id="175"/>
      <w:bookmarkEnd w:id="176"/>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7" w:name="_Toc349629428"/>
      <w:r>
        <w:t>Athena 4 Changes</w:t>
      </w:r>
      <w:bookmarkEnd w:id="177"/>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8" w:name="_Ref310246902"/>
      <w:bookmarkStart w:id="179" w:name="_Ref310247782"/>
      <w:bookmarkStart w:id="180" w:name="_Toc310421802"/>
      <w:bookmarkStart w:id="181" w:name="_Toc349629429"/>
      <w:r>
        <w:lastRenderedPageBreak/>
        <w:t>Services</w:t>
      </w:r>
      <w:bookmarkEnd w:id="178"/>
      <w:bookmarkEnd w:id="179"/>
      <w:bookmarkEnd w:id="180"/>
      <w:bookmarkEnd w:id="181"/>
    </w:p>
    <w:p w:rsidR="00B75001" w:rsidRDefault="00B75001" w:rsidP="00B75001">
      <w:r>
        <w:t>A service is something provided to the civilians, the level of which affects civilian attitudes.</w:t>
      </w:r>
    </w:p>
    <w:p w:rsidR="00B75001" w:rsidRDefault="00B75001" w:rsidP="00B75001">
      <w:pPr>
        <w:pStyle w:val="Heading3"/>
      </w:pPr>
      <w:bookmarkStart w:id="182" w:name="_Toc310421803"/>
      <w:bookmarkStart w:id="183" w:name="_Toc349629430"/>
      <w:r>
        <w:t>Overview</w:t>
      </w:r>
      <w:bookmarkEnd w:id="182"/>
      <w:bookmarkEnd w:id="183"/>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F9603A">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4" w:name="_Toc310421804"/>
      <w:bookmarkStart w:id="185" w:name="_Toc349629431"/>
      <w:r>
        <w:t>Services vs. Environmental Situations</w:t>
      </w:r>
      <w:bookmarkEnd w:id="184"/>
      <w:bookmarkEnd w:id="185"/>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F9603A">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6" w:name="_Toc310421805"/>
      <w:bookmarkStart w:id="187" w:name="_Toc349629432"/>
      <w:r>
        <w:t>Levels of Service</w:t>
      </w:r>
      <w:bookmarkEnd w:id="186"/>
      <w:bookmarkEnd w:id="187"/>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8" w:name="_Ref310415360"/>
      <w:bookmarkStart w:id="189" w:name="_Toc310421806"/>
      <w:bookmarkStart w:id="190" w:name="_Toc349629433"/>
      <w:r>
        <w:t>Service Cases</w:t>
      </w:r>
      <w:bookmarkEnd w:id="188"/>
      <w:bookmarkEnd w:id="189"/>
      <w:bookmarkEnd w:id="190"/>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91" w:name="_Ref310327255"/>
      <w:bookmarkStart w:id="192" w:name="_Toc310421807"/>
      <w:bookmarkStart w:id="193" w:name="_Toc349629434"/>
      <w:r>
        <w:t>Essential Non-Infrastructure (ENI) Services</w:t>
      </w:r>
      <w:bookmarkEnd w:id="191"/>
      <w:bookmarkEnd w:id="192"/>
      <w:bookmarkEnd w:id="193"/>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4" w:name="_Toc310421808"/>
      <w:bookmarkStart w:id="195" w:name="_Toc349629435"/>
      <w:r>
        <w:t>Service vs. Funding</w:t>
      </w:r>
      <w:bookmarkEnd w:id="194"/>
      <w:bookmarkEnd w:id="195"/>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C906A7"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C906A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C906A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C906A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C906A7"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C906A7"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C906A7"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C906A7"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C906A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14:anchorId="341AF1B0" wp14:editId="08B6CC53">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6" w:name="_Toc310421809"/>
      <w:bookmarkStart w:id="197" w:name="_Toc349629436"/>
      <w:r>
        <w:t>Funding by Individual Actors</w:t>
      </w:r>
      <w:bookmarkEnd w:id="196"/>
      <w:bookmarkEnd w:id="197"/>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C906A7"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C906A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8" w:name="_Toc310421810"/>
      <w:bookmarkStart w:id="199" w:name="_Toc349629437"/>
      <w:r>
        <w:t>Expected Level of Service</w:t>
      </w:r>
      <w:bookmarkEnd w:id="198"/>
      <w:bookmarkEnd w:id="199"/>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C906A7"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C906A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C906A7"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C906A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200" w:name="_Toc310421815"/>
      <w:bookmarkStart w:id="201" w:name="_Toc349629438"/>
      <w:r>
        <w:t>Categorize the Actual Level of Service</w:t>
      </w:r>
      <w:bookmarkEnd w:id="200"/>
      <w:bookmarkEnd w:id="201"/>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F9603A">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C906A7"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C906A7"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C906A7"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2" w:name="_Toc310421811"/>
      <w:bookmarkStart w:id="203" w:name="_Toc349629439"/>
      <w:r>
        <w:t>Satisfaction Effects</w:t>
      </w:r>
      <w:bookmarkEnd w:id="202"/>
      <w:bookmarkEnd w:id="203"/>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4" w:name="_Toc310421812"/>
      <w:bookmarkStart w:id="205" w:name="_Toc349629440"/>
      <w:r>
        <w:t xml:space="preserve">The </w:t>
      </w:r>
      <w:r w:rsidRPr="00A4698B">
        <w:t>Needs</w:t>
      </w:r>
      <w:r>
        <w:t xml:space="preserve"> Factor</w:t>
      </w:r>
      <w:bookmarkEnd w:id="204"/>
      <w:bookmarkEnd w:id="205"/>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14:anchorId="67C94865" wp14:editId="2FEB2608">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C906A7"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C906A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C906A7"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C906A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C906A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6" w:name="_Toc310421813"/>
      <w:bookmarkStart w:id="207" w:name="_Toc349629441"/>
      <w:r>
        <w:t>The Expectations Factor</w:t>
      </w:r>
      <w:bookmarkEnd w:id="206"/>
      <w:bookmarkEnd w:id="207"/>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C906A7"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C906A7"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C906A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C906A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C906A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8" w:name="_Ref310342819"/>
      <w:bookmarkStart w:id="209" w:name="_Toc310421814"/>
      <w:bookmarkStart w:id="210" w:name="_Toc349629442"/>
      <w:r>
        <w:t>Vertical Relationship</w:t>
      </w:r>
      <w:bookmarkEnd w:id="208"/>
      <w:r>
        <w:t xml:space="preserve"> Effects</w:t>
      </w:r>
      <w:bookmarkEnd w:id="209"/>
      <w:bookmarkEnd w:id="210"/>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C906A7"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C906A7"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C906A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C906A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C906A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C906A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C906A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C906A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211" w:name="_Toc349629443"/>
      <w:r>
        <w:t>ENI Services and Empty Civilian Groups</w:t>
      </w:r>
      <w:bookmarkEnd w:id="211"/>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12" w:name="_Toc310421818"/>
      <w:bookmarkStart w:id="213" w:name="_Ref339521624"/>
      <w:bookmarkStart w:id="214" w:name="_Toc349629444"/>
      <w:r>
        <w:lastRenderedPageBreak/>
        <w:t>Athena Attrition Model (AAM)</w:t>
      </w:r>
      <w:bookmarkEnd w:id="212"/>
      <w:bookmarkEnd w:id="213"/>
      <w:bookmarkEnd w:id="214"/>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5" w:name="_Toc310421819"/>
      <w:bookmarkStart w:id="216" w:name="_Toc349629445"/>
      <w:r>
        <w:t>Overview</w:t>
      </w:r>
      <w:bookmarkEnd w:id="215"/>
      <w:bookmarkEnd w:id="216"/>
    </w:p>
    <w:p w:rsidR="002520B8" w:rsidRDefault="002520B8" w:rsidP="002520B8">
      <w:pPr>
        <w:pStyle w:val="Heading4"/>
      </w:pPr>
      <w:bookmarkStart w:id="217" w:name="_Toc310421820"/>
      <w:bookmarkStart w:id="218" w:name="_Toc349629446"/>
      <w:r>
        <w:t>Attrition in the Real World</w:t>
      </w:r>
      <w:bookmarkEnd w:id="217"/>
      <w:bookmarkEnd w:id="218"/>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9" w:name="__RefHeading__28413023"/>
      <w:bookmarkStart w:id="220" w:name="_Toc310421821"/>
      <w:bookmarkStart w:id="221" w:name="_Toc349629447"/>
      <w:r>
        <w:lastRenderedPageBreak/>
        <w:t xml:space="preserve">Requirements for This </w:t>
      </w:r>
      <w:bookmarkEnd w:id="219"/>
      <w:r>
        <w:t>Version</w:t>
      </w:r>
      <w:bookmarkEnd w:id="220"/>
      <w:bookmarkEnd w:id="221"/>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22" w:name="_Toc310421822"/>
      <w:bookmarkStart w:id="223" w:name="_Toc349629448"/>
      <w:r>
        <w:lastRenderedPageBreak/>
        <w:t>Requirements for Later Versions</w:t>
      </w:r>
      <w:bookmarkEnd w:id="222"/>
      <w:bookmarkEnd w:id="223"/>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4" w:name="_Toc310421823"/>
      <w:bookmarkStart w:id="225" w:name="_Toc349629449"/>
      <w:r>
        <w:t>Simplifying Assumptions</w:t>
      </w:r>
      <w:bookmarkEnd w:id="224"/>
      <w:bookmarkEnd w:id="225"/>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6" w:name="__RefHeading__28403723"/>
      <w:bookmarkStart w:id="227" w:name="_Toc310421824"/>
      <w:bookmarkStart w:id="228" w:name="_Toc349629450"/>
      <w:r>
        <w:t>Uniformed vs. Non-Uniformed Forces</w:t>
      </w:r>
      <w:bookmarkEnd w:id="226"/>
      <w:bookmarkEnd w:id="227"/>
      <w:bookmarkEnd w:id="228"/>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9" w:name="_Toc310421825"/>
      <w:bookmarkStart w:id="230" w:name="_Toc349629451"/>
      <w:r>
        <w:t>Units and Unit Activities</w:t>
      </w:r>
      <w:bookmarkEnd w:id="229"/>
      <w:bookmarkEnd w:id="230"/>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31" w:name="_Toc310421826"/>
      <w:bookmarkStart w:id="232" w:name="_Toc349629452"/>
      <w:r>
        <w:t>Unit Number and Unit Size</w:t>
      </w:r>
      <w:bookmarkEnd w:id="231"/>
      <w:bookmarkEnd w:id="232"/>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3" w:name="_Toc310421827"/>
      <w:bookmarkStart w:id="234" w:name="_Toc349629453"/>
      <w:r>
        <w:t>Attrition and Mobilized Troops</w:t>
      </w:r>
      <w:bookmarkEnd w:id="233"/>
      <w:bookmarkEnd w:id="234"/>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5" w:name="_Toc310421828"/>
      <w:bookmarkStart w:id="236" w:name="_Toc349629454"/>
      <w:r>
        <w:lastRenderedPageBreak/>
        <w:t>Magic Attrition</w:t>
      </w:r>
      <w:bookmarkEnd w:id="235"/>
      <w:bookmarkEnd w:id="236"/>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7" w:name="_Toc310421829"/>
      <w:bookmarkStart w:id="238" w:name="_Toc349629455"/>
      <w:r>
        <w:t>Magic Attrition to Units</w:t>
      </w:r>
      <w:bookmarkEnd w:id="237"/>
      <w:bookmarkEnd w:id="238"/>
    </w:p>
    <w:p w:rsidR="002520B8" w:rsidRDefault="002520B8" w:rsidP="002520B8">
      <w:r>
        <w:t>The analyst can attrit a specific unit, of any type.</w:t>
      </w:r>
    </w:p>
    <w:p w:rsidR="002520B8" w:rsidRDefault="002520B8" w:rsidP="002520B8">
      <w:pPr>
        <w:pStyle w:val="Heading4"/>
      </w:pPr>
      <w:bookmarkStart w:id="239" w:name="_Toc310421830"/>
      <w:bookmarkStart w:id="240" w:name="_Toc349629456"/>
      <w:r>
        <w:t>Magic Attrition to Groups</w:t>
      </w:r>
      <w:bookmarkEnd w:id="239"/>
      <w:bookmarkEnd w:id="240"/>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41" w:name="_Toc310421831"/>
      <w:bookmarkStart w:id="242" w:name="_Toc349629457"/>
      <w:r>
        <w:t>Magic Attrition to Neighborhoods</w:t>
      </w:r>
      <w:bookmarkEnd w:id="241"/>
      <w:bookmarkEnd w:id="242"/>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3" w:name="_Toc310421832"/>
      <w:bookmarkStart w:id="244" w:name="_Toc349629458"/>
      <w:r>
        <w:t>Antagonists and ROEs</w:t>
      </w:r>
      <w:bookmarkEnd w:id="243"/>
      <w:bookmarkEnd w:id="244"/>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F9603A">
        <w:t>9.2</w:t>
      </w:r>
      <w:r w:rsidR="00BB3615">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5" w:name="_Toc310421833"/>
      <w:bookmarkStart w:id="246" w:name="_Toc349629459"/>
      <w:r>
        <w:t>Attacking ROEs: Maximum Number of Attacks</w:t>
      </w:r>
      <w:bookmarkEnd w:id="245"/>
      <w:bookmarkEnd w:id="246"/>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7" w:name="_Toc310421834"/>
      <w:bookmarkStart w:id="248" w:name="_Toc349629460"/>
      <w:r>
        <w:t>Attacking ROEs: UF</w:t>
      </w:r>
      <w:bookmarkEnd w:id="247"/>
      <w:bookmarkEnd w:id="248"/>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9" w:name="_Toc310421835"/>
      <w:bookmarkStart w:id="250" w:name="_Toc349629461"/>
      <w:r>
        <w:t>Attacking ROEs: NF</w:t>
      </w:r>
      <w:bookmarkEnd w:id="249"/>
      <w:bookmarkEnd w:id="250"/>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51" w:name="_Toc310421836"/>
      <w:bookmarkStart w:id="252" w:name="_Toc349629462"/>
      <w:r>
        <w:t>Defending ROEs</w:t>
      </w:r>
      <w:bookmarkEnd w:id="251"/>
      <w:bookmarkEnd w:id="252"/>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3" w:name="_Toc310421837"/>
      <w:bookmarkStart w:id="254" w:name="_Toc349629463"/>
      <w:r>
        <w:t>The Attrition Cycle</w:t>
      </w:r>
      <w:bookmarkEnd w:id="253"/>
      <w:bookmarkEnd w:id="254"/>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5" w:name="_Toc310421838"/>
      <w:bookmarkStart w:id="256" w:name="_Toc349629464"/>
      <w:r>
        <w:t>Computing Attrition</w:t>
      </w:r>
      <w:bookmarkEnd w:id="255"/>
      <w:bookmarkEnd w:id="256"/>
    </w:p>
    <w:p w:rsidR="002520B8" w:rsidRDefault="002520B8" w:rsidP="002520B8">
      <w:pPr>
        <w:pStyle w:val="Heading4"/>
      </w:pPr>
      <w:bookmarkStart w:id="257" w:name="_Toc310421839"/>
      <w:bookmarkStart w:id="258" w:name="_Toc349629465"/>
      <w:r>
        <w:t>Uniformed vs. Non-uniformed</w:t>
      </w:r>
      <w:bookmarkEnd w:id="257"/>
      <w:bookmarkEnd w:id="258"/>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C906A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C906A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C906A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C906A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C906A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C906A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C906A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C906A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C906A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C906A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rsidR="002520B8" w:rsidRDefault="00C906A7"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C906A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C906A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9" w:name="_Toc310421840"/>
      <w:bookmarkStart w:id="260" w:name="_Toc349629466"/>
      <w:r>
        <w:t>Non-uniformed vs. Uniformed</w:t>
      </w:r>
      <w:bookmarkEnd w:id="259"/>
      <w:bookmarkEnd w:id="260"/>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rsidR="002520B8" w:rsidRDefault="00C906A7"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C906A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C906A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C906A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C906A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61" w:name="_Toc310421841"/>
      <w:bookmarkStart w:id="262" w:name="_Toc349629467"/>
      <w:r>
        <w:t>Loss Exchange Ratio</w:t>
      </w:r>
      <w:bookmarkEnd w:id="261"/>
      <w:bookmarkEnd w:id="262"/>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C906A7"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C906A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C906A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C906A7"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3" w:name="_Toc310421842"/>
      <w:bookmarkStart w:id="264" w:name="_Toc349629468"/>
      <w:r>
        <w:t>NF and UF Casualties</w:t>
      </w:r>
      <w:bookmarkEnd w:id="263"/>
      <w:bookmarkEnd w:id="264"/>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m:t>
            </m:r>
            <m:r>
              <w:rPr>
                <w:rFonts w:ascii="Cambria Math" w:hAnsi="Cambria Math"/>
              </w:rPr>
              <m:t>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C906A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5" w:name="_Toc310421843"/>
      <w:bookmarkStart w:id="266" w:name="_Toc349629469"/>
      <w:r>
        <w:t>Civilian Collateral Damage</w:t>
      </w:r>
      <w:bookmarkEnd w:id="265"/>
      <w:bookmarkEnd w:id="266"/>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C906A7"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7" w:name="__RefHeading__31420625"/>
      <w:bookmarkStart w:id="268" w:name="_Toc310421844"/>
      <w:bookmarkStart w:id="269" w:name="_Toc349629470"/>
      <w:r>
        <w:t>Applying Attrition</w:t>
      </w:r>
      <w:bookmarkEnd w:id="267"/>
      <w:bookmarkEnd w:id="268"/>
      <w:bookmarkEnd w:id="269"/>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C906A7"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70" w:name="_Toc310421845"/>
      <w:bookmarkStart w:id="271" w:name="_Toc349629471"/>
      <w:r>
        <w:t>Assessing the Attitude Implications</w:t>
      </w:r>
      <w:bookmarkEnd w:id="270"/>
      <w:bookmarkEnd w:id="271"/>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2" w:name="_Toc310421846"/>
      <w:bookmarkStart w:id="273" w:name="_Toc349629472"/>
      <w:r>
        <w:t>Contrasted with JNEM</w:t>
      </w:r>
      <w:bookmarkEnd w:id="272"/>
      <w:bookmarkEnd w:id="273"/>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4" w:name="_Toc310421847"/>
      <w:bookmarkStart w:id="275" w:name="_Toc349629473"/>
      <w:r>
        <w:t>Satisfaction Effects of Attrition</w:t>
      </w:r>
      <w:bookmarkEnd w:id="274"/>
      <w:bookmarkEnd w:id="275"/>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6" w:name="_Toc310421848"/>
      <w:bookmarkStart w:id="277" w:name="_Toc349629474"/>
      <w:r>
        <w:t>Cooperation Effects of Attrition</w:t>
      </w:r>
      <w:bookmarkEnd w:id="276"/>
      <w:bookmarkEnd w:id="277"/>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C906A7"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8" w:name="__RefHeading__11631_1190374725"/>
      <w:bookmarkStart w:id="279" w:name="_Toc310421849"/>
      <w:bookmarkStart w:id="280" w:name="_Toc349629475"/>
      <w:r>
        <w:lastRenderedPageBreak/>
        <w:t>Demographics</w:t>
      </w:r>
      <w:bookmarkEnd w:id="278"/>
      <w:bookmarkEnd w:id="279"/>
      <w:bookmarkEnd w:id="280"/>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281" w:name="_Toc349629476"/>
      <w:r>
        <w:t>Connections with Other Models</w:t>
      </w:r>
      <w:bookmarkEnd w:id="281"/>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82" w:name="_Toc310421851"/>
      <w:bookmarkStart w:id="283" w:name="_Toc349629477"/>
      <w:r>
        <w:t>Simplifying Assumptions</w:t>
      </w:r>
      <w:bookmarkEnd w:id="282"/>
      <w:bookmarkEnd w:id="283"/>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4" w:name="_Toc310421852"/>
      <w:bookmarkStart w:id="285" w:name="_Toc349629478"/>
      <w:r>
        <w:t>Population and Units</w:t>
      </w:r>
      <w:bookmarkEnd w:id="284"/>
      <w:bookmarkEnd w:id="285"/>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6" w:name="_Toc310421853"/>
      <w:bookmarkStart w:id="287" w:name="_Toc349629479"/>
      <w:r>
        <w:t>Civilian Group Population</w:t>
      </w:r>
      <w:bookmarkEnd w:id="286"/>
      <w:r w:rsidR="000D138E">
        <w:t xml:space="preserve"> over Time</w:t>
      </w:r>
      <w:bookmarkEnd w:id="287"/>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C906A7"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C906A7"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r>
        <w:t>where</w:t>
      </w:r>
    </w:p>
    <w:p w:rsidR="0097139E" w:rsidRDefault="0097139E" w:rsidP="0097139E"/>
    <w:p w:rsidR="0097139E" w:rsidRDefault="00C906A7"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C906A7"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C906A7"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C906A7"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C906A7"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C906A7"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88" w:name="_Toc349629480"/>
      <w:r>
        <w:t>Natural Population Change</w:t>
      </w:r>
      <w:bookmarkEnd w:id="288"/>
    </w:p>
    <w:p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C906A7"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C906A7"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89" w:name="_Toc310421854"/>
      <w:bookmarkStart w:id="290" w:name="_Toc349629481"/>
      <w:r>
        <w:t>Civilian Attrition</w:t>
      </w:r>
      <w:bookmarkEnd w:id="289"/>
      <w:bookmarkEnd w:id="290"/>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1" w:name="_Toc310421855"/>
    </w:p>
    <w:p w:rsidR="00333F4D" w:rsidRDefault="00333F4D" w:rsidP="00333F4D">
      <w:pPr>
        <w:pStyle w:val="Heading3"/>
      </w:pPr>
      <w:bookmarkStart w:id="292" w:name="_Toc349629482"/>
      <w:r>
        <w:t>Population Breakdowns</w:t>
      </w:r>
      <w:bookmarkEnd w:id="292"/>
    </w:p>
    <w:p w:rsidR="00333F4D" w:rsidRPr="00333F4D" w:rsidRDefault="00333F4D" w:rsidP="00333F4D">
      <w:r>
        <w:t>The Demographic model breaks each group's population down into categories.</w:t>
      </w:r>
    </w:p>
    <w:p w:rsidR="00753E07" w:rsidRDefault="00753E07" w:rsidP="00333F4D">
      <w:pPr>
        <w:pStyle w:val="Heading4"/>
      </w:pPr>
      <w:bookmarkStart w:id="293" w:name="_Toc349629483"/>
      <w:r>
        <w:lastRenderedPageBreak/>
        <w:t>Subsistence Population</w:t>
      </w:r>
      <w:bookmarkEnd w:id="291"/>
      <w:bookmarkEnd w:id="293"/>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C906A7"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94" w:name="_Toc310421856"/>
      <w:bookmarkStart w:id="295" w:name="_Toc349629484"/>
      <w:r>
        <w:t>Consumer Population</w:t>
      </w:r>
      <w:bookmarkEnd w:id="294"/>
      <w:bookmarkEnd w:id="295"/>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C906A7"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6" w:name="_Toc310421857"/>
      <w:bookmarkStart w:id="297" w:name="_Toc349629485"/>
      <w:r>
        <w:t>Labor Force</w:t>
      </w:r>
      <w:bookmarkEnd w:id="296"/>
      <w:bookmarkEnd w:id="297"/>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C906A7"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98" w:name="_Toc349629486"/>
      <w:r>
        <w:t>Aggregate Statistics</w:t>
      </w:r>
      <w:bookmarkEnd w:id="298"/>
    </w:p>
    <w:p w:rsidR="00753E07" w:rsidRDefault="00753E07" w:rsidP="00E561EC">
      <w:pPr>
        <w:pStyle w:val="Heading4"/>
      </w:pPr>
      <w:bookmarkStart w:id="299" w:name="_Toc310421858"/>
      <w:bookmarkStart w:id="300" w:name="_Toc349629487"/>
      <w:r>
        <w:t>Neighborhood Population</w:t>
      </w:r>
      <w:bookmarkEnd w:id="299"/>
      <w:bookmarkEnd w:id="300"/>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C906A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C906A7"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C906A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301" w:name="_Toc310421863"/>
      <w:bookmarkStart w:id="302" w:name="_Toc349629488"/>
      <w:r>
        <w:t>Regional Population</w:t>
      </w:r>
      <w:bookmarkEnd w:id="301"/>
      <w:bookmarkEnd w:id="302"/>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303" w:name="_Toc310421864"/>
      <w:bookmarkStart w:id="304" w:name="_Toc349629489"/>
      <w:r>
        <w:t>Unemployment</w:t>
      </w:r>
      <w:bookmarkEnd w:id="303"/>
      <w:bookmarkEnd w:id="304"/>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5" w:name="_Toc310421865"/>
      <w:bookmarkStart w:id="306" w:name="_Toc349629490"/>
      <w:r>
        <w:t>Disaggregation to Neighborhoods</w:t>
      </w:r>
      <w:bookmarkEnd w:id="305"/>
      <w:bookmarkEnd w:id="306"/>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C906A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C906A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lastRenderedPageBreak/>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C906A7"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07" w:name="_Toc310421866"/>
      <w:bookmarkStart w:id="308" w:name="_Toc349629491"/>
      <w:r>
        <w:t>Disaggregation to Civilian Groups</w:t>
      </w:r>
      <w:bookmarkEnd w:id="307"/>
      <w:bookmarkEnd w:id="308"/>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C906A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C906A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C906A7"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m:t>
                  </m:r>
                  <m:r>
                    <w:rPr>
                      <w:rFonts w:ascii="Cambria Math" w:hAnsi="Cambria Math"/>
                    </w:rPr>
                    <m:t>pulation</m:t>
                  </m:r>
                </m:e>
                <m:sub>
                  <m:r>
                    <w:rPr>
                      <w:rFonts w:ascii="Cambria Math" w:hAnsi="Cambria Math"/>
                    </w:rPr>
                    <m:t>g</m:t>
                  </m:r>
                </m:sub>
              </m:sSub>
            </m:den>
          </m:f>
        </m:oMath>
      </m:oMathPara>
    </w:p>
    <w:p w:rsidR="00753E07" w:rsidRDefault="00753E07" w:rsidP="00753E07">
      <w:pPr>
        <w:pStyle w:val="Heading4"/>
      </w:pPr>
      <w:bookmarkStart w:id="309" w:name="_Toc310421867"/>
      <w:bookmarkStart w:id="310" w:name="_Toc349629492"/>
      <w:r>
        <w:t>Unemployment Situations</w:t>
      </w:r>
      <w:bookmarkEnd w:id="309"/>
      <w:bookmarkEnd w:id="310"/>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fldChar w:fldCharType="begin"/>
      </w:r>
      <w:r>
        <w:instrText xml:space="preserve"> REF _Ref349547059 \r \h </w:instrText>
      </w:r>
      <w:r>
        <w:fldChar w:fldCharType="separate"/>
      </w:r>
      <w:r w:rsidR="00F9603A">
        <w:t>10.8</w:t>
      </w:r>
      <w:r>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7AD99BE7" wp14:editId="093ED53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2"/>
      </w:r>
    </w:p>
    <w:p w:rsidR="00131AC4" w:rsidRDefault="00131AC4" w:rsidP="00131AC4"/>
    <w:p w:rsidR="00753E07" w:rsidRPr="00131AC4" w:rsidRDefault="00C906A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fldChar w:fldCharType="begin"/>
      </w:r>
      <w:r>
        <w:instrText xml:space="preserve"> REF _Ref349547059 \r \h </w:instrText>
      </w:r>
      <w:r>
        <w:fldChar w:fldCharType="separate"/>
      </w:r>
      <w:r w:rsidR="00F9603A">
        <w:t>10.8</w:t>
      </w:r>
      <w:r>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311" w:name="_Ref349547059"/>
      <w:bookmarkStart w:id="312" w:name="_Toc349629493"/>
      <w:r>
        <w:t>Consumption of Goods</w:t>
      </w:r>
      <w:bookmarkEnd w:id="311"/>
      <w:bookmarkEnd w:id="312"/>
    </w:p>
    <w:p w:rsidR="004F6A40" w:rsidRDefault="00375906" w:rsidP="00131AC4">
      <w:r>
        <w:t xml:space="preserve">The Consumption of Goods model covers the effects on civilian attitudes of consuming a greater or lesser quantity of goods.  It is similar to the ENI Services model (Section </w:t>
      </w:r>
      <w:r>
        <w:fldChar w:fldCharType="begin"/>
      </w:r>
      <w:r>
        <w:instrText xml:space="preserve"> REF _Ref310246902 \r \h </w:instrText>
      </w:r>
      <w:r>
        <w:fldChar w:fldCharType="separate"/>
      </w:r>
      <w:r w:rsidR="00F9603A">
        <w:t>8</w:t>
      </w:r>
      <w:r>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73"/>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4D413F">
      <w:pPr>
        <w:pStyle w:val="ListParagraph"/>
        <w:numPr>
          <w:ilvl w:val="0"/>
          <w:numId w:val="67"/>
        </w:numPr>
      </w:pPr>
      <w:r>
        <w:t>Negative attitude effects due to the fraction of the group living in poverty, i.e., effects due to actual hardship.</w:t>
      </w:r>
    </w:p>
    <w:p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313" w:name="_Toc349629494"/>
      <w:r>
        <w:t>The Actual Level of Consumption (ALOC)</w:t>
      </w:r>
      <w:bookmarkEnd w:id="313"/>
    </w:p>
    <w:p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C906A7"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r>
        <w:t>where</w:t>
      </w:r>
    </w:p>
    <w:p w:rsidR="00375906" w:rsidRDefault="00375906" w:rsidP="00375906"/>
    <w:p w:rsidR="00375906" w:rsidRDefault="00C906A7"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r>
        <w:rPr>
          <w:i/>
        </w:rPr>
        <w:t>QD.goods.pop</w:t>
      </w:r>
      <w:r>
        <w:tab/>
        <w:t>=</w:t>
      </w:r>
      <w:r>
        <w:tab/>
        <w:t>The total consumption of goods in the regional economy, this week, expressed in goods-baskets/year.</w:t>
      </w:r>
    </w:p>
    <w:p w:rsidR="00375906" w:rsidRDefault="00C906A7"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C906A7"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314" w:name="_Toc349629495"/>
      <w:r>
        <w:t>The Expected Level of Consumption (ELOC)</w:t>
      </w:r>
      <w:bookmarkEnd w:id="314"/>
    </w:p>
    <w:p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C906A7"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r>
        <w:t>then</w:t>
      </w:r>
    </w:p>
    <w:p w:rsidR="00EC0FBF" w:rsidRDefault="00EC0FBF" w:rsidP="001962C0"/>
    <w:p w:rsidR="00EC0FBF" w:rsidRPr="00EC0FBF" w:rsidRDefault="00C906A7"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C906A7"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r>
        <w:t>where</w:t>
      </w:r>
    </w:p>
    <w:p w:rsidR="00EC0FBF" w:rsidRDefault="00EC0FBF" w:rsidP="00EC0FBF"/>
    <w:p w:rsidR="00EC0FBF" w:rsidRDefault="00C906A7"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4"/>
      </w:r>
    </w:p>
    <w:p w:rsidR="00EC0FBF" w:rsidRDefault="00C906A7"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5"/>
      </w:r>
    </w:p>
    <w:p w:rsidR="00EC0FBF" w:rsidRDefault="00EC0FBF" w:rsidP="0072199B"/>
    <w:p w:rsidR="0072199B" w:rsidRDefault="0072199B" w:rsidP="0072199B">
      <w:pPr>
        <w:pStyle w:val="Heading4"/>
      </w:pPr>
      <w:bookmarkStart w:id="315" w:name="_Toc349629496"/>
      <w:r>
        <w:t>The Expectations Factor</w:t>
      </w:r>
      <w:bookmarkEnd w:id="315"/>
    </w:p>
    <w:p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C906A7"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C906A7"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6"/>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rsidR="005879D2" w:rsidRDefault="005879D2" w:rsidP="0072199B"/>
    <w:p w:rsidR="00AD35A5" w:rsidRDefault="00AD35A5" w:rsidP="00AD35A5">
      <w:pPr>
        <w:pStyle w:val="Heading4"/>
      </w:pPr>
      <w:bookmarkStart w:id="316" w:name="_Ref349562050"/>
      <w:bookmarkStart w:id="317" w:name="_Toc349629497"/>
      <w:r>
        <w:t>The Required Level of Consumption (RLOC)</w:t>
      </w:r>
      <w:bookmarkEnd w:id="316"/>
      <w:bookmarkEnd w:id="317"/>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C906A7"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r>
        <w:t>where</w:t>
      </w:r>
    </w:p>
    <w:p w:rsidR="00217C83" w:rsidRDefault="00217C83" w:rsidP="00217C83"/>
    <w:p w:rsidR="00217C83" w:rsidRDefault="00217C83" w:rsidP="00217C83">
      <w:pPr>
        <w:pStyle w:val="Definitions"/>
      </w:pPr>
      <w:r>
        <w:rPr>
          <w:i/>
        </w:rPr>
        <w:t>u</w:t>
      </w:r>
      <w:r>
        <w:rPr>
          <w:i/>
        </w:rPr>
        <w:tab/>
      </w:r>
      <w:r>
        <w:t>=</w:t>
      </w:r>
      <w:r>
        <w:tab/>
        <w:t xml:space="preserve">The urbanization level of </w:t>
      </w:r>
      <w:r>
        <w:rPr>
          <w:i/>
        </w:rPr>
        <w:t>g</w:t>
      </w:r>
      <w:r>
        <w:t>'s neighborhood</w:t>
      </w:r>
    </w:p>
    <w:p w:rsidR="00217C83" w:rsidRDefault="00C906A7"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7"/>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318" w:name="_Toc349629498"/>
      <w:r>
        <w:t>The Lorenz Curve</w:t>
      </w:r>
      <w:bookmarkEnd w:id="318"/>
    </w:p>
    <w:p w:rsidR="00463F7B" w:rsidRDefault="00463F7B" w:rsidP="00463F7B">
      <w:r>
        <w:t>The Lorenz Curve is a common method for describing the distribution of income among a population.</w:t>
      </w:r>
      <w:r>
        <w:rPr>
          <w:rStyle w:val="FootnoteReference"/>
        </w:rPr>
        <w:footnoteReference w:id="78"/>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14:anchorId="13F3B093" wp14:editId="06C9C0B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C906A7"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C906A7"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319" w:name="_Toc349629499"/>
      <w:r>
        <w:t>The Consumption Curve</w:t>
      </w:r>
      <w:bookmarkEnd w:id="319"/>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C906A7"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79"/>
      </w:r>
      <w:r w:rsidR="00301755">
        <w:t xml:space="preserve"> and is simply</w:t>
      </w:r>
    </w:p>
    <w:p w:rsidR="00301755" w:rsidRDefault="00301755" w:rsidP="00835DEE"/>
    <w:p w:rsidR="00301755" w:rsidRPr="00301755" w:rsidRDefault="00C906A7"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C906A7"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r>
        <w:t>or, equivalently,</w:t>
      </w:r>
    </w:p>
    <w:p w:rsidR="00AE0769" w:rsidRDefault="00AE0769" w:rsidP="00AE0769"/>
    <w:p w:rsidR="00AE0769" w:rsidRPr="00AE0769" w:rsidRDefault="00C906A7"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320" w:name="_Toc349629500"/>
      <w:r>
        <w:t>The Poverty Fraction</w:t>
      </w:r>
      <w:bookmarkEnd w:id="320"/>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341CFE">
        <w:fldChar w:fldCharType="begin"/>
      </w:r>
      <w:r w:rsidR="00341CFE">
        <w:instrText xml:space="preserve"> REF _Ref349562050 \r \h </w:instrText>
      </w:r>
      <w:r w:rsidR="00341CFE">
        <w:fldChar w:fldCharType="separate"/>
      </w:r>
      <w:r w:rsidR="00F9603A">
        <w:t>10.8.4</w:t>
      </w:r>
      <w:r w:rsidR="00341CFE">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C906A7"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r>
        <w:t xml:space="preserve">where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C906A7"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C906A7"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C906A7"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r>
        <w:rPr>
          <w:i/>
        </w:rPr>
        <w:t>P.goods</w:t>
      </w:r>
      <w:r>
        <w:t xml:space="preserve"> in both the numerator and the denominator, so we can further simplify this to</w:t>
      </w:r>
    </w:p>
    <w:p w:rsidR="00C41ED0" w:rsidRDefault="00C41ED0" w:rsidP="00C41ED0"/>
    <w:p w:rsidR="00C41ED0" w:rsidRPr="00C41ED0" w:rsidRDefault="00C906A7"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RCOL</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C906A7"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321" w:name="_Toc349629501"/>
      <w:r>
        <w:t>The Poverty Factor</w:t>
      </w:r>
      <w:bookmarkEnd w:id="321"/>
    </w:p>
    <w:p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0"/>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m:t>
          </m:r>
          <m:r>
            <w:rPr>
              <w:rFonts w:ascii="Cambria Math" w:hAnsi="Cambria Math"/>
            </w:rPr>
            <m:t>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1"/>
      </w:r>
    </w:p>
    <w:p w:rsidR="002C6245" w:rsidRDefault="002C6245" w:rsidP="003D7B9B"/>
    <w:p w:rsidR="002C6245" w:rsidRDefault="002C6245" w:rsidP="002C6245">
      <w:pPr>
        <w:pStyle w:val="Heading4"/>
      </w:pPr>
      <w:bookmarkStart w:id="322" w:name="_Toc349629502"/>
      <w:r>
        <w:t>Consumption Situations</w:t>
      </w:r>
      <w:bookmarkEnd w:id="322"/>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323" w:name="_Toc310421868"/>
      <w:bookmarkStart w:id="324" w:name="_Toc349629503"/>
      <w:r>
        <w:lastRenderedPageBreak/>
        <w:t>Economics</w:t>
      </w:r>
      <w:bookmarkEnd w:id="323"/>
      <w:bookmarkEnd w:id="324"/>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25" w:name="__RefHeading__1441_2040446466"/>
      <w:bookmarkStart w:id="326" w:name="_Toc310421869"/>
      <w:bookmarkStart w:id="327" w:name="_Toc349629504"/>
      <w:r>
        <w:t>Sectors</w:t>
      </w:r>
      <w:bookmarkEnd w:id="325"/>
      <w:bookmarkEnd w:id="326"/>
      <w:bookmarkEnd w:id="327"/>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2"/>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28" w:name="_Toc310421870"/>
      <w:bookmarkStart w:id="329" w:name="_Ref341686785"/>
      <w:bookmarkStart w:id="330" w:name="_Toc349629505"/>
      <w:r>
        <w:t xml:space="preserve">The </w:t>
      </w:r>
      <w:r w:rsidR="005264EC">
        <w:t>Social Accounting Matrix (SAM)</w:t>
      </w:r>
      <w:r>
        <w:t xml:space="preserve"> Tableau</w:t>
      </w:r>
      <w:bookmarkEnd w:id="328"/>
      <w:bookmarkEnd w:id="329"/>
      <w:bookmarkEnd w:id="330"/>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31" w:name="_Toc349629506"/>
      <w:r>
        <w:lastRenderedPageBreak/>
        <w:t>SAM Matrix Inputs</w:t>
      </w:r>
      <w:bookmarkEnd w:id="331"/>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3"/>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4"/>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C906A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C906A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C906A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C906A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C906A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C906A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C906A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C906A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C906A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C906A7"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C906A7"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C906A7"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C906A7"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C906A7"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AE31CE" w:rsidRDefault="00AE31CE"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F9603A">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C906A7"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C906A7"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C906A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C906A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32" w:name="_Toc349629507"/>
      <w:r>
        <w:t>Other Inputs</w:t>
      </w:r>
      <w:bookmarkEnd w:id="332"/>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Black mkt Feedstock Price</w:t>
            </w:r>
          </w:p>
        </w:tc>
        <w:tc>
          <w:tcPr>
            <w:tcW w:w="1778" w:type="dxa"/>
          </w:tcPr>
          <w:p w:rsidR="00324956" w:rsidRPr="00324956" w:rsidRDefault="00324956" w:rsidP="00324956">
            <w:pPr>
              <w:jc w:val="center"/>
              <w:rPr>
                <w:i/>
              </w:rPr>
            </w:pPr>
            <w:r w:rsidRPr="00324956">
              <w:rPr>
                <w:i/>
              </w:rPr>
              <w:t>PF</w:t>
            </w:r>
            <w:r w:rsidRPr="00324956">
              <w:rPr>
                <w:i/>
                <w:vertAlign w:val="subscript"/>
              </w:rPr>
              <w:t>wb</w:t>
            </w:r>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r w:rsidRPr="00324956">
              <w:rPr>
                <w:i/>
              </w:rPr>
              <w:t>AF</w:t>
            </w:r>
            <w:r w:rsidRPr="00324956">
              <w:rPr>
                <w:i/>
                <w:vertAlign w:val="subscript"/>
              </w:rPr>
              <w:t>wb</w:t>
            </w:r>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r w:rsidRPr="00324956">
              <w:rPr>
                <w:i/>
              </w:rPr>
              <w:t>MF</w:t>
            </w:r>
            <w:r w:rsidRPr="00324956">
              <w:rPr>
                <w:i/>
                <w:vertAlign w:val="subscript"/>
              </w:rPr>
              <w:t>wb</w:t>
            </w:r>
          </w:p>
        </w:tc>
        <w:tc>
          <w:tcPr>
            <w:tcW w:w="4733" w:type="dxa"/>
          </w:tcPr>
          <w:p w:rsidR="00324956" w:rsidRDefault="00324956" w:rsidP="00FA048A">
            <w:r>
              <w:t>The maximum amount of feedstock available</w:t>
            </w:r>
          </w:p>
        </w:tc>
        <w:tc>
          <w:tcPr>
            <w:tcW w:w="1557" w:type="dxa"/>
          </w:tcPr>
          <w:p w:rsidR="00324956" w:rsidRDefault="00324956" w:rsidP="00FA048A">
            <w:r>
              <w:t>tonnes/year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r w:rsidRPr="00324956">
              <w:rPr>
                <w:i/>
              </w:rPr>
              <w:t>BaseConsumers</w:t>
            </w:r>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r w:rsidRPr="00324956">
              <w:rPr>
                <w:i/>
              </w:rPr>
              <w:t>BaseSubWage</w:t>
            </w:r>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33" w:name="_Toc349629508"/>
      <w:r>
        <w:lastRenderedPageBreak/>
        <w:t>SAM Outputs</w:t>
      </w:r>
      <w:bookmarkEnd w:id="333"/>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C906A7"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rsidR="000F1391" w:rsidRDefault="00C906A7"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C906A7"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C906A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C906A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C906A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C906A7"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C906A7"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5"/>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rsidR="000F1391" w:rsidRDefault="00D2387F" w:rsidP="007047AE">
            <w:r>
              <w:t>The average per capita demand for goods</w:t>
            </w:r>
          </w:p>
        </w:tc>
        <w:tc>
          <w:tcPr>
            <w:tcW w:w="1557" w:type="dxa"/>
          </w:tcPr>
          <w:p w:rsidR="000F1391" w:rsidRDefault="00D2387F" w:rsidP="007047AE">
            <w:r>
              <w:t>GBasket/yr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C906A7"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C906A7"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C906A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C906A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C906A7"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34" w:name="_Ref341700214"/>
      <w:bookmarkStart w:id="335" w:name="_Toc349629509"/>
      <w:r>
        <w:t>Computing the Actors Sector</w:t>
      </w:r>
      <w:bookmarkEnd w:id="334"/>
      <w:bookmarkEnd w:id="335"/>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 </w:t>
      </w:r>
      <w:r w:rsidR="00825884">
        <w:t xml:space="preserve"> It is important to note that when discussing the sector in the economy for actors (which is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r>
        <w:rPr>
          <w:b/>
        </w:rPr>
        <w:t xml:space="preserve">actors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36" w:name="_Toc349629510"/>
      <w:r>
        <w:t>Computing Actor’s Expenditures</w:t>
      </w:r>
      <w:bookmarkEnd w:id="336"/>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actors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6"/>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C906A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for </w:t>
      </w:r>
      <m:oMath>
        <m:r>
          <w:rPr>
            <w:rFonts w:ascii="Cambria Math" w:hAnsi="Cambria Math"/>
          </w:rPr>
          <m:t>i∈g,p,b, r,w</m:t>
        </m:r>
      </m:oMath>
    </w:p>
    <w:p w:rsidR="005B409B" w:rsidRDefault="005B409B" w:rsidP="005B409B">
      <w:pPr>
        <w:ind w:left="630"/>
      </w:pPr>
    </w:p>
    <w:p w:rsidR="005B409B" w:rsidRDefault="005B409B" w:rsidP="005B409B">
      <w:r>
        <w:t>where</w:t>
      </w:r>
    </w:p>
    <w:p w:rsidR="005B409B" w:rsidRDefault="005B409B" w:rsidP="005B409B"/>
    <w:p w:rsidR="005B409B" w:rsidRDefault="00C906A7"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r w:rsidR="005B409B">
        <w:rPr>
          <w:i/>
        </w:rPr>
        <w:t>i</w:t>
      </w:r>
      <w:r w:rsidR="005B409B">
        <w:t>.</w:t>
      </w:r>
    </w:p>
    <w:p w:rsidR="005B409B" w:rsidRDefault="005B409B" w:rsidP="005B409B">
      <w:pPr>
        <w:pStyle w:val="Definitions"/>
      </w:pPr>
      <w:r>
        <w:rPr>
          <w:i/>
        </w:rPr>
        <w:t>ov</w:t>
      </w:r>
      <w:r>
        <w:rPr>
          <w:i/>
          <w:vertAlign w:val="subscript"/>
        </w:rPr>
        <w:t>i</w:t>
      </w:r>
      <w:r>
        <w:tab/>
        <w:t>=</w:t>
      </w:r>
      <w:r>
        <w:tab/>
        <w:t xml:space="preserve">Fraction of revenue spent on sector </w:t>
      </w:r>
      <w:r>
        <w:rPr>
          <w:i/>
        </w:rPr>
        <w:t xml:space="preserve">i </w:t>
      </w:r>
      <w:r>
        <w:t>due to overhead.</w:t>
      </w:r>
    </w:p>
    <w:p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rsidR="00F9603A">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C906A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C906A7"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7"/>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37" w:name="_Ref340133761"/>
      <w:bookmarkStart w:id="338" w:name="_Toc349629511"/>
      <w:r>
        <w:lastRenderedPageBreak/>
        <w:t>Computing Actor’s Income</w:t>
      </w:r>
      <w:bookmarkEnd w:id="337"/>
      <w:bookmarkEnd w:id="338"/>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C906A7"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C906A7"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C906A7"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C906A7"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C906A7"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C906A7"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C906A7"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C906A7"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C906A7"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C906A7"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lastRenderedPageBreak/>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C906A7"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C906A7"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C906A7"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C906A7"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C906A7"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C906A7"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C906A7"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C906A7"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39" w:name="_Toc310421871"/>
      <w:bookmarkStart w:id="340" w:name="_Toc349629512"/>
      <w:r>
        <w:t>Text Notation</w:t>
      </w:r>
      <w:bookmarkEnd w:id="339"/>
      <w:bookmarkEnd w:id="340"/>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C906A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C906A7"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C906A7"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C906A7"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C906A7"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C906A7"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41" w:name="_Toc310421872"/>
      <w:bookmarkStart w:id="342" w:name="_Toc349629513"/>
      <w:r>
        <w:t>Shape vs. Size</w:t>
      </w:r>
      <w:bookmarkEnd w:id="341"/>
      <w:bookmarkEnd w:id="342"/>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F9603A">
        <w:t>11.2</w:t>
      </w:r>
      <w:r w:rsidR="00BB3615">
        <w:fldChar w:fldCharType="end"/>
      </w:r>
      <w:r>
        <w:t>.</w:t>
      </w:r>
    </w:p>
    <w:p w:rsidR="004F6A40" w:rsidRDefault="004F6A40" w:rsidP="004F6A40">
      <w:pPr>
        <w:pStyle w:val="Heading3"/>
      </w:pPr>
      <w:bookmarkStart w:id="343" w:name="_Toc310421873"/>
      <w:bookmarkStart w:id="344" w:name="_Toc349629514"/>
      <w:r>
        <w:t>Production Functions</w:t>
      </w:r>
      <w:bookmarkEnd w:id="343"/>
      <w:bookmarkEnd w:id="344"/>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88"/>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45" w:name="__RefHeading__1421_2040446466"/>
      <w:bookmarkStart w:id="346" w:name="_Toc310421874"/>
      <w:bookmarkStart w:id="347" w:name="_Toc349629515"/>
      <w:r>
        <w:t>Calibrating the CGE</w:t>
      </w:r>
      <w:bookmarkEnd w:id="345"/>
      <w:bookmarkEnd w:id="346"/>
      <w:bookmarkEnd w:id="347"/>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48" w:name="_Toc310421877"/>
      <w:bookmarkStart w:id="349" w:name="_Toc349629516"/>
      <w:r>
        <w:t>Set the Base Consumption</w:t>
      </w:r>
      <w:bookmarkEnd w:id="348"/>
      <w:bookmarkEnd w:id="349"/>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50" w:name="_Toc310421878"/>
      <w:bookmarkStart w:id="351" w:name="_Toc349629517"/>
      <w:r>
        <w:t>Scenario Inputs</w:t>
      </w:r>
      <w:bookmarkEnd w:id="350"/>
      <w:bookmarkEnd w:id="351"/>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52" w:name="__RefHeading__1469_2040446466"/>
      <w:bookmarkStart w:id="353" w:name="_Toc310421879"/>
      <w:bookmarkStart w:id="354" w:name="_Toc349629518"/>
      <w:r>
        <w:lastRenderedPageBreak/>
        <w:t>Run-time Inputs</w:t>
      </w:r>
      <w:bookmarkEnd w:id="352"/>
      <w:bookmarkEnd w:id="353"/>
      <w:bookmarkEnd w:id="354"/>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55" w:name="_Toc310421880"/>
      <w:bookmarkStart w:id="356" w:name="_Toc349629519"/>
      <w:r>
        <w:lastRenderedPageBreak/>
        <w:t>Outputs</w:t>
      </w:r>
      <w:bookmarkEnd w:id="355"/>
      <w:bookmarkEnd w:id="356"/>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57" w:name="_Toc310421881"/>
      <w:bookmarkStart w:id="358" w:name="_Toc349629520"/>
      <w:r>
        <w:t>Ways to Affect the Economy</w:t>
      </w:r>
      <w:bookmarkEnd w:id="357"/>
      <w:bookmarkEnd w:id="358"/>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F9603A">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59" w:name="_Toc310421882"/>
      <w:bookmarkStart w:id="360" w:name="_Toc349629521"/>
      <w:r>
        <w:t>Ways the Economy Affects Athena</w:t>
      </w:r>
      <w:bookmarkEnd w:id="359"/>
      <w:bookmarkEnd w:id="360"/>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F9603A">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61" w:name="_Toc349629522"/>
      <w:r>
        <w:lastRenderedPageBreak/>
        <w:t>Communications Infrastructure</w:t>
      </w:r>
      <w:bookmarkEnd w:id="361"/>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F9603A">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62" w:name="_Toc349629523"/>
      <w:r>
        <w:t>Communications Asset Packages</w:t>
      </w:r>
      <w:bookmarkEnd w:id="362"/>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63" w:name="_Toc349629524"/>
      <w:r>
        <w:t>CAP Capacity</w:t>
      </w:r>
      <w:bookmarkEnd w:id="363"/>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C906A7"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C906A7"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9"/>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64" w:name="_Toc349629525"/>
      <w:r>
        <w:t>CAP Neighborhood Coverage</w:t>
      </w:r>
      <w:bookmarkEnd w:id="364"/>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C906A7"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65" w:name="_Toc349629526"/>
      <w:r>
        <w:t>CAP Group Penetration</w:t>
      </w:r>
      <w:bookmarkEnd w:id="365"/>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C906A7"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66" w:name="_Ref339611268"/>
      <w:bookmarkStart w:id="367" w:name="_Toc349629527"/>
      <w:r>
        <w:t>CAP Audience</w:t>
      </w:r>
      <w:bookmarkEnd w:id="366"/>
      <w:bookmarkEnd w:id="367"/>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C906A7"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68" w:name="_Toc349629528"/>
      <w:r>
        <w:t>Broadcast Cost</w:t>
      </w:r>
      <w:bookmarkEnd w:id="368"/>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0"/>
      </w:r>
    </w:p>
    <w:p w:rsidR="00A03411" w:rsidRPr="00A03411" w:rsidRDefault="00A03411" w:rsidP="00A03411"/>
    <w:p w:rsidR="00A03411" w:rsidRDefault="005068B6" w:rsidP="005068B6">
      <w:pPr>
        <w:pStyle w:val="Heading3"/>
      </w:pPr>
      <w:bookmarkStart w:id="369" w:name="_Toc349629529"/>
      <w:r>
        <w:lastRenderedPageBreak/>
        <w:t>CAP Ownership and Access Control</w:t>
      </w:r>
      <w:bookmarkEnd w:id="369"/>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F9603A">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1"/>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70" w:name="_Ref339608710"/>
      <w:bookmarkStart w:id="371" w:name="_Toc349629530"/>
      <w:r>
        <w:lastRenderedPageBreak/>
        <w:t>Information Operations</w:t>
      </w:r>
      <w:bookmarkEnd w:id="370"/>
      <w:bookmarkEnd w:id="371"/>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F9603A">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72" w:name="_Toc349629531"/>
      <w:r>
        <w:t>Semantic Hooks</w:t>
      </w:r>
      <w:r w:rsidR="005B747B">
        <w:t xml:space="preserve">, </w:t>
      </w:r>
      <w:r>
        <w:t>Congruence</w:t>
      </w:r>
      <w:r w:rsidR="005B747B">
        <w:t>, and Resonance</w:t>
      </w:r>
      <w:bookmarkEnd w:id="372"/>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92"/>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F9603A">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F9603A">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BB3615">
        <w:fldChar w:fldCharType="begin"/>
      </w:r>
      <w:r>
        <w:instrText xml:space="preserve"> REF _Ref339614530 \r \h </w:instrText>
      </w:r>
      <w:r w:rsidR="00BB3615">
        <w:fldChar w:fldCharType="separate"/>
      </w:r>
      <w:r w:rsidR="00F9603A">
        <w:t>13.3.2</w:t>
      </w:r>
      <w:r w:rsidR="00BB3615">
        <w:fldChar w:fldCharType="end"/>
      </w:r>
      <w:r>
        <w:t>.</w:t>
      </w:r>
    </w:p>
    <w:p w:rsidR="007F4B46" w:rsidRDefault="007F4B46" w:rsidP="007F4B46">
      <w:pPr>
        <w:pStyle w:val="Heading3"/>
      </w:pPr>
      <w:bookmarkStart w:id="373" w:name="_Toc349629532"/>
      <w:r>
        <w:t>Payloads</w:t>
      </w:r>
      <w:bookmarkEnd w:id="373"/>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F9603A">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F9603A">
        <w:t>13.3</w:t>
      </w:r>
      <w:r w:rsidR="00BB3615">
        <w:fldChar w:fldCharType="end"/>
      </w:r>
      <w:r w:rsidR="0042329A">
        <w:t>,</w:t>
      </w:r>
      <w:r>
        <w:t xml:space="preserve"> before it is given to URAM.</w:t>
      </w:r>
    </w:p>
    <w:p w:rsidR="00D45F22" w:rsidRPr="00D65825" w:rsidRDefault="00D45F22" w:rsidP="00D45F22">
      <w:pPr>
        <w:pStyle w:val="Heading3"/>
      </w:pPr>
      <w:bookmarkStart w:id="374" w:name="_Ref339612168"/>
      <w:bookmarkStart w:id="375" w:name="_Toc349629533"/>
      <w:r>
        <w:t>Broadcasting an IOM</w:t>
      </w:r>
      <w:bookmarkEnd w:id="374"/>
      <w:bookmarkEnd w:id="375"/>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76" w:name="_Toc349629534"/>
      <w:r>
        <w:lastRenderedPageBreak/>
        <w:t>Access to the Broadcast CAP</w:t>
      </w:r>
      <w:bookmarkEnd w:id="376"/>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77" w:name="_Ref339614530"/>
      <w:bookmarkStart w:id="378" w:name="_Toc349629535"/>
      <w:r>
        <w:t>IOM Acceptability</w:t>
      </w:r>
      <w:bookmarkEnd w:id="377"/>
      <w:bookmarkEnd w:id="378"/>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C906A7" w:rsidP="009A392F">
      <w:pPr>
        <w:ind w:left="360"/>
      </w:pPr>
      <m:oMathPara>
        <m:oMath>
          <m:sSub>
            <m:sSubPr>
              <m:ctrlPr>
                <w:rPr>
                  <w:rFonts w:ascii="Cambria Math" w:hAnsi="Cambria Math"/>
                  <w:i/>
                </w:rPr>
              </m:ctrlPr>
            </m:sSubPr>
            <m:e>
              <m:r>
                <w:rPr>
                  <w:rFonts w:ascii="Cambria Math" w:hAnsi="Cambria Math"/>
                </w:rPr>
                <m:t>acceptabili</m:t>
              </m:r>
              <m:r>
                <w:rPr>
                  <w:rFonts w:ascii="Cambria Math" w:hAnsi="Cambria Math"/>
                </w:rPr>
                <m:t>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C906A7"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C906A7"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C906A7"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3"/>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C906A7"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E9429D" w:rsidRDefault="00E9429D"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E9429D" w:rsidRDefault="00E9429D"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C906A7"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79" w:name="_Toc349629536"/>
      <w:r>
        <w:t>Payload Magnitudes</w:t>
      </w:r>
      <w:bookmarkEnd w:id="379"/>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C906A7"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m:t>
            </m:r>
            <m:r>
              <w:rPr>
                <w:rFonts w:ascii="Cambria Math" w:hAnsi="Cambria Math"/>
              </w:rPr>
              <m:t>udience</m:t>
            </m:r>
          </m:e>
          <m:sub>
            <m:r>
              <w:rPr>
                <w:rFonts w:ascii="Cambria Math" w:hAnsi="Cambria Math"/>
              </w:rPr>
              <m:t>nominal</m:t>
            </m:r>
          </m:sub>
        </m:sSub>
      </m:oMath>
      <w:r>
        <w:t xml:space="preserve"> defaults to 2/3rds.</w:t>
      </w:r>
      <w:r>
        <w:rPr>
          <w:rStyle w:val="FootnoteReference"/>
        </w:rPr>
        <w:footnoteReference w:id="94"/>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80" w:name="_Toc349629537"/>
      <w:r>
        <w:t>Summary</w:t>
      </w:r>
      <w:bookmarkEnd w:id="380"/>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81" w:name="_Toc349629538"/>
      <w:r>
        <w:t>IOM Example</w:t>
      </w:r>
      <w:bookmarkEnd w:id="381"/>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82" w:name="_Toc349629539"/>
      <w:r>
        <w:lastRenderedPageBreak/>
        <w:t>Appendices</w:t>
      </w:r>
      <w:bookmarkEnd w:id="382"/>
    </w:p>
    <w:p w:rsidR="001F5946" w:rsidRDefault="001F5946" w:rsidP="001F5946"/>
    <w:p w:rsidR="001F5946" w:rsidRDefault="001F5946" w:rsidP="001F5946"/>
    <w:p w:rsidR="00AE0A41" w:rsidRDefault="00AE0A41" w:rsidP="000F64E9">
      <w:pPr>
        <w:pStyle w:val="Heading2"/>
        <w:numPr>
          <w:ilvl w:val="1"/>
          <w:numId w:val="64"/>
        </w:numPr>
      </w:pPr>
      <w:bookmarkStart w:id="383" w:name="_Toc310421885"/>
      <w:bookmarkStart w:id="384" w:name="_Toc349629540"/>
      <w:r>
        <w:lastRenderedPageBreak/>
        <w:t>Acronyms</w:t>
      </w:r>
      <w:bookmarkEnd w:id="383"/>
      <w:bookmarkEnd w:id="384"/>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even" r:id="rId16"/>
      <w:headerReference w:type="default" r:id="rId17"/>
      <w:footerReference w:type="even" r:id="rId18"/>
      <w:footerReference w:type="default" r:id="rId19"/>
      <w:headerReference w:type="first" r:id="rId20"/>
      <w:footerReference w:type="first" r:id="rId21"/>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6A7" w:rsidRDefault="00C906A7">
      <w:r>
        <w:separator/>
      </w:r>
    </w:p>
    <w:p w:rsidR="00C906A7" w:rsidRDefault="00C906A7"/>
    <w:p w:rsidR="00C906A7" w:rsidRDefault="00C906A7" w:rsidP="00D7666B"/>
  </w:endnote>
  <w:endnote w:type="continuationSeparator" w:id="0">
    <w:p w:rsidR="00C906A7" w:rsidRDefault="00C906A7">
      <w:r>
        <w:continuationSeparator/>
      </w:r>
    </w:p>
    <w:p w:rsidR="00C906A7" w:rsidRDefault="00C906A7"/>
    <w:p w:rsidR="00C906A7" w:rsidRDefault="00C906A7"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A6" w:rsidRDefault="00CC2B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9D" w:rsidRDefault="00E9429D"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CC2BA6">
      <w:rPr>
        <w:rStyle w:val="PageNumber"/>
        <w:noProof/>
      </w:rPr>
      <w:t>7</w:t>
    </w:r>
    <w:r>
      <w:rPr>
        <w:rStyle w:val="PageNumber"/>
      </w:rPr>
      <w:fldChar w:fldCharType="end"/>
    </w:r>
  </w:p>
  <w:p w:rsidR="00E9429D" w:rsidRDefault="00E9429D"/>
  <w:p w:rsidR="00E9429D" w:rsidRDefault="00E9429D" w:rsidP="00D766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A6" w:rsidRDefault="00CC2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6A7" w:rsidRDefault="00C906A7">
      <w:r>
        <w:separator/>
      </w:r>
    </w:p>
    <w:p w:rsidR="00C906A7" w:rsidRDefault="00C906A7"/>
    <w:p w:rsidR="00C906A7" w:rsidRDefault="00C906A7" w:rsidP="00D7666B"/>
  </w:footnote>
  <w:footnote w:type="continuationSeparator" w:id="0">
    <w:p w:rsidR="00C906A7" w:rsidRDefault="00C906A7">
      <w:r>
        <w:continuationSeparator/>
      </w:r>
    </w:p>
    <w:p w:rsidR="00C906A7" w:rsidRDefault="00C906A7"/>
    <w:p w:rsidR="00C906A7" w:rsidRDefault="00C906A7" w:rsidP="00D7666B"/>
  </w:footnote>
  <w:footnote w:id="1">
    <w:p w:rsidR="00E9429D" w:rsidRDefault="00E9429D">
      <w:pPr>
        <w:pStyle w:val="FootnoteText"/>
      </w:pPr>
      <w:r>
        <w:rPr>
          <w:rStyle w:val="FootnoteReference"/>
        </w:rPr>
        <w:footnoteRef/>
      </w:r>
      <w:r>
        <w:t xml:space="preserve"> i.e., knowledgeable about both the problem domain and Athena’s models.</w:t>
      </w:r>
    </w:p>
  </w:footnote>
  <w:footnote w:id="2">
    <w:p w:rsidR="00E9429D" w:rsidRDefault="00E9429D"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E9429D" w:rsidRDefault="00E9429D"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E9429D" w:rsidRDefault="00E9429D"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E9429D" w:rsidRDefault="00E9429D">
      <w:pPr>
        <w:pStyle w:val="FootnoteText"/>
      </w:pPr>
      <w:r>
        <w:rPr>
          <w:rStyle w:val="FootnoteReference"/>
        </w:rPr>
        <w:footnoteRef/>
      </w:r>
      <w:r>
        <w:t xml:space="preserve"> Or models!  Stability has social, economic, and political dimensions.</w:t>
      </w:r>
    </w:p>
  </w:footnote>
  <w:footnote w:id="6">
    <w:p w:rsidR="00E9429D" w:rsidRDefault="00E9429D"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E9429D" w:rsidRDefault="00E9429D">
      <w:pPr>
        <w:pStyle w:val="FootnoteText"/>
      </w:pPr>
      <w:r>
        <w:rPr>
          <w:rStyle w:val="FootnoteReference"/>
        </w:rPr>
        <w:footnoteRef/>
      </w:r>
      <w:r>
        <w:t xml:space="preserve"> Static, that is, unless magic attitude drivers (MADs) are used to change them.</w:t>
      </w:r>
    </w:p>
  </w:footnote>
  <w:footnote w:id="8">
    <w:p w:rsidR="00E9429D" w:rsidRPr="005D6ECD" w:rsidRDefault="00E9429D"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E9429D" w:rsidRDefault="00E9429D"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E9429D" w:rsidRPr="00D2373B" w:rsidRDefault="00E9429D"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E9429D" w:rsidRDefault="00E9429D"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E9429D" w:rsidRDefault="00E9429D" w:rsidP="00502610">
      <w:pPr>
        <w:pStyle w:val="FootnoteText"/>
      </w:pPr>
      <w:r>
        <w:rPr>
          <w:rStyle w:val="FootnoteReference"/>
          <w:rFonts w:eastAsia="Wingdings"/>
        </w:rPr>
        <w:footnoteRef/>
      </w:r>
      <w:r>
        <w:t xml:space="preserve"> We will make this notion more precise below.</w:t>
      </w:r>
    </w:p>
  </w:footnote>
  <w:footnote w:id="13">
    <w:p w:rsidR="00E9429D" w:rsidRPr="008E5602" w:rsidRDefault="00E9429D"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E9429D" w:rsidRDefault="00E9429D"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E9429D" w:rsidRDefault="00E9429D"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E9429D" w:rsidRDefault="00E9429D"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E9429D" w:rsidRDefault="00E9429D"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E9429D" w:rsidRDefault="00E9429D"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E9429D" w:rsidRDefault="00E9429D"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E9429D" w:rsidRPr="005758BA" w:rsidRDefault="00E9429D"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E9429D" w:rsidRDefault="00E9429D"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E9429D" w:rsidRDefault="00E9429D">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E9429D" w:rsidRDefault="00E9429D"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E9429D" w:rsidRDefault="00E9429D"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E9429D" w:rsidRDefault="00E9429D">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E9429D" w:rsidRPr="00853A0E" w:rsidRDefault="00E9429D"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E9429D" w:rsidRDefault="00E9429D"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E9429D" w:rsidRDefault="00E9429D"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E9429D" w:rsidRDefault="00E9429D"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E9429D" w:rsidRDefault="00E9429D"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E9429D" w:rsidRDefault="00E9429D"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E9429D" w:rsidRDefault="00E9429D"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E9429D" w:rsidRDefault="00E9429D"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E9429D" w:rsidRDefault="00E9429D"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E9429D" w:rsidRDefault="00E9429D"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E9429D" w:rsidRDefault="00E9429D">
      <w:pPr>
        <w:pStyle w:val="FootnoteText"/>
      </w:pPr>
      <w:r>
        <w:rPr>
          <w:rStyle w:val="FootnoteReference"/>
        </w:rPr>
        <w:footnoteRef/>
      </w:r>
      <w:r>
        <w:t xml:space="preserve"> In future versions, actors may also be able to interfere with the provision of a service.</w:t>
      </w:r>
    </w:p>
  </w:footnote>
  <w:footnote w:id="37">
    <w:p w:rsidR="00E9429D" w:rsidRDefault="00E9429D"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E9429D" w:rsidRPr="008D4F12" w:rsidRDefault="00E9429D"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rsidR="00E9429D" w:rsidRDefault="00E9429D"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rsidR="00E9429D" w:rsidRDefault="00E9429D"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rsidR="00E9429D" w:rsidRDefault="00E9429D"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rsidR="00E9429D" w:rsidRDefault="00E9429D"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rsidR="00E9429D" w:rsidRDefault="00E9429D"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rsidR="00E9429D" w:rsidRDefault="00E9429D"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rsidR="00E9429D" w:rsidRDefault="00E9429D"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rsidR="00E9429D" w:rsidRDefault="00E9429D">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rsidR="00E9429D" w:rsidRDefault="00E9429D" w:rsidP="002520B8">
      <w:pPr>
        <w:pStyle w:val="Footnote"/>
      </w:pPr>
      <w:r>
        <w:rPr>
          <w:rStyle w:val="FootnoteReference"/>
        </w:rPr>
        <w:footnoteRef/>
      </w:r>
      <w:r>
        <w:t>At Athena's timescale, most crowd-related phenomena are events rather than situations.</w:t>
      </w:r>
    </w:p>
  </w:footnote>
  <w:footnote w:id="48">
    <w:p w:rsidR="00E9429D" w:rsidRDefault="00E9429D" w:rsidP="002520B8">
      <w:pPr>
        <w:pStyle w:val="Footnote"/>
      </w:pPr>
      <w:r>
        <w:rPr>
          <w:rStyle w:val="FootnoteReference"/>
        </w:rPr>
        <w:footnoteRef/>
      </w:r>
      <w:r>
        <w:t>We are ignoring civilian and organization group "forces" for the time being.</w:t>
      </w:r>
    </w:p>
  </w:footnote>
  <w:footnote w:id="49">
    <w:p w:rsidR="00E9429D" w:rsidRDefault="00E9429D"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E9429D" w:rsidRDefault="00E9429D"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rsidR="00E9429D" w:rsidRDefault="00E9429D"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rsidR="00E9429D" w:rsidRDefault="00E9429D"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rsidR="00E9429D" w:rsidRDefault="00E9429D"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rsidR="00E9429D" w:rsidRDefault="00E9429D"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E9429D" w:rsidRDefault="00E9429D"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E9429D" w:rsidRDefault="00E9429D"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rsidR="00E9429D" w:rsidRDefault="00E9429D"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rsidR="00E9429D" w:rsidRDefault="00E9429D"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rsidR="00E9429D" w:rsidRDefault="00E9429D"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rsidR="00E9429D" w:rsidRDefault="00E9429D"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rsidR="00E9429D" w:rsidRDefault="00E9429D"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rsidR="00E9429D" w:rsidRDefault="00E9429D"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rsidR="00E9429D" w:rsidRDefault="00E9429D"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rsidR="00E9429D" w:rsidRDefault="00E9429D"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rsidR="00E9429D" w:rsidRDefault="00E9429D"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rsidR="00E9429D" w:rsidRPr="00730406" w:rsidRDefault="00E9429D">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rsidR="00E9429D" w:rsidRDefault="00E9429D" w:rsidP="00753E07">
      <w:pPr>
        <w:pStyle w:val="Footnote"/>
      </w:pPr>
      <w:r>
        <w:rPr>
          <w:rStyle w:val="FootnoteReference"/>
        </w:rPr>
        <w:footnoteRef/>
      </w:r>
      <w:r>
        <w:t>By "labor force" we mean that portion of the population that seeks to be employed, whether they are in fact employed or not.</w:t>
      </w:r>
    </w:p>
  </w:footnote>
  <w:footnote w:id="72">
    <w:p w:rsidR="00E9429D" w:rsidRDefault="00E9429D">
      <w:pPr>
        <w:pStyle w:val="FootnoteText"/>
      </w:pPr>
      <w:r>
        <w:rPr>
          <w:rStyle w:val="FootnoteReference"/>
        </w:rPr>
        <w:footnoteRef/>
      </w:r>
      <w:r>
        <w:t xml:space="preserve"> Athena 5 also computes the UAF for each individual civilian group; however, this is no longer used.</w:t>
      </w:r>
    </w:p>
  </w:footnote>
  <w:footnote w:id="73">
    <w:p w:rsidR="00E9429D" w:rsidRDefault="00E9429D">
      <w:pPr>
        <w:pStyle w:val="FootnoteText"/>
      </w:pPr>
      <w:r>
        <w:rPr>
          <w:rStyle w:val="FootnoteReference"/>
        </w:rPr>
        <w:footnoteRef/>
      </w:r>
      <w:r>
        <w:t xml:space="preserve"> The income disparity model is based on "Wage Distributions and Survival," by Rebecca Lawler; Lawler was a Summer </w:t>
      </w:r>
      <w:r w:rsidR="00DA609D">
        <w:t>Undergraduate</w:t>
      </w:r>
      <w:r>
        <w:t xml:space="preserve"> Research Fellow (SURF) on the Athena team the summer of 2010.  The rest of the model was developed by Brian Kahovec with inputs from the </w:t>
      </w:r>
      <w:r w:rsidR="00655D83">
        <w:t>other members</w:t>
      </w:r>
      <w:r>
        <w:t xml:space="preserve"> of the modeling team.</w:t>
      </w:r>
    </w:p>
  </w:footnote>
  <w:footnote w:id="74">
    <w:p w:rsidR="00E9429D" w:rsidRDefault="00E9429D">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5">
    <w:p w:rsidR="00E9429D" w:rsidRDefault="00E9429D">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6">
    <w:p w:rsidR="00E9429D" w:rsidRDefault="00E9429D">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77">
    <w:p w:rsidR="00E9429D" w:rsidRDefault="00E9429D">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78">
    <w:p w:rsidR="00E9429D" w:rsidRDefault="00E9429D">
      <w:pPr>
        <w:pStyle w:val="FootnoteText"/>
      </w:pPr>
      <w:r>
        <w:rPr>
          <w:rStyle w:val="FootnoteReference"/>
        </w:rPr>
        <w:footnoteRef/>
      </w:r>
      <w:r>
        <w:t xml:space="preserve"> See "Wage Distributions and Survival", by  Rebecca Lawler.</w:t>
      </w:r>
    </w:p>
  </w:footnote>
  <w:footnote w:id="79">
    <w:p w:rsidR="00E9429D" w:rsidRPr="00301755" w:rsidRDefault="00E9429D">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0">
    <w:p w:rsidR="003D7B9B" w:rsidRDefault="003D7B9B">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1">
    <w:p w:rsidR="003D7B9B" w:rsidRPr="003D7B9B" w:rsidRDefault="003D7B9B">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2">
    <w:p w:rsidR="00E9429D" w:rsidRDefault="00E9429D">
      <w:pPr>
        <w:pStyle w:val="FootnoteText"/>
      </w:pPr>
      <w:r>
        <w:rPr>
          <w:rStyle w:val="FootnoteReference"/>
        </w:rPr>
        <w:footnoteRef/>
      </w:r>
      <w:r>
        <w:t xml:space="preserve"> Actors may have up to two forms of income from the black market: a tax-like rate on gross revenue and shares of net revenue.  </w:t>
      </w:r>
    </w:p>
  </w:footnote>
  <w:footnote w:id="83">
    <w:p w:rsidR="00E9429D" w:rsidRDefault="00E9429D">
      <w:pPr>
        <w:pStyle w:val="FootnoteText"/>
      </w:pPr>
      <w:r>
        <w:rPr>
          <w:rStyle w:val="FootnoteReference"/>
        </w:rPr>
        <w:footnoteRef/>
      </w:r>
      <w:r>
        <w:t xml:space="preserve"> See “Athena’s CGE Model” by Chamberlain, Duquette and Kahovec included with the Athena documentation.</w:t>
      </w:r>
    </w:p>
  </w:footnote>
  <w:footnote w:id="84">
    <w:p w:rsidR="00E9429D" w:rsidRDefault="00E9429D">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5">
    <w:p w:rsidR="00E9429D" w:rsidRDefault="00E9429D">
      <w:pPr>
        <w:pStyle w:val="FootnoteText"/>
      </w:pPr>
      <w:r>
        <w:rPr>
          <w:rStyle w:val="FootnoteReference"/>
        </w:rPr>
        <w:footnoteRef/>
      </w:r>
      <w:r>
        <w:t xml:space="preserve"> See “Athena’s CGE Model” by Chamberlain, Duquette and Kahovec included with the Athena documentation.</w:t>
      </w:r>
    </w:p>
  </w:footnote>
  <w:footnote w:id="86">
    <w:p w:rsidR="00E9429D" w:rsidRPr="002F4FF1" w:rsidRDefault="00E9429D"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7">
    <w:p w:rsidR="00E9429D" w:rsidRPr="006468F2" w:rsidRDefault="00E9429D"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88">
    <w:p w:rsidR="00E9429D" w:rsidRDefault="00E9429D">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9">
    <w:p w:rsidR="00E9429D" w:rsidRPr="00415184" w:rsidRDefault="00E9429D">
      <w:pPr>
        <w:pStyle w:val="FootnoteText"/>
      </w:pPr>
      <w:r>
        <w:rPr>
          <w:rStyle w:val="FootnoteReference"/>
        </w:rPr>
        <w:footnoteRef/>
      </w:r>
      <w:r>
        <w:t xml:space="preserve"> See the </w:t>
      </w:r>
      <w:r>
        <w:rPr>
          <w:i/>
        </w:rPr>
        <w:t>Athena User's Guide</w:t>
      </w:r>
      <w:r>
        <w:t xml:space="preserve"> and on-line help for details on orders and tactics.</w:t>
      </w:r>
    </w:p>
  </w:footnote>
  <w:footnote w:id="90">
    <w:p w:rsidR="00E9429D" w:rsidRDefault="00E9429D"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91">
    <w:p w:rsidR="00E9429D" w:rsidRDefault="00E9429D"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2">
    <w:p w:rsidR="00E9429D" w:rsidRPr="007B388E" w:rsidRDefault="00E9429D"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93">
    <w:p w:rsidR="00E9429D" w:rsidRDefault="00E9429D">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94">
    <w:p w:rsidR="00E9429D" w:rsidRDefault="00E9429D">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A6" w:rsidRDefault="00CC2B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9D" w:rsidRPr="004D07B9" w:rsidRDefault="00E9429D">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sidR="00CC2BA6">
      <w:rPr>
        <w:rFonts w:ascii="Arial" w:hAnsi="Arial" w:cs="Arial"/>
      </w:rPr>
      <w:t>February</w:t>
    </w:r>
    <w:bookmarkStart w:id="385" w:name="_GoBack"/>
    <w:bookmarkEnd w:id="385"/>
    <w:r>
      <w:rPr>
        <w:rFonts w:ascii="Arial" w:hAnsi="Arial" w:cs="Arial"/>
      </w:rPr>
      <w:t>, 2013</w:t>
    </w:r>
  </w:p>
  <w:p w:rsidR="00E9429D" w:rsidRDefault="00E9429D"/>
  <w:p w:rsidR="00E9429D" w:rsidRDefault="00E9429D" w:rsidP="00D7666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A6" w:rsidRDefault="00CC2B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8">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3">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3">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37"/>
  </w:num>
  <w:num w:numId="4">
    <w:abstractNumId w:val="62"/>
  </w:num>
  <w:num w:numId="5">
    <w:abstractNumId w:val="22"/>
  </w:num>
  <w:num w:numId="6">
    <w:abstractNumId w:val="20"/>
  </w:num>
  <w:num w:numId="7">
    <w:abstractNumId w:val="10"/>
  </w:num>
  <w:num w:numId="8">
    <w:abstractNumId w:val="55"/>
  </w:num>
  <w:num w:numId="9">
    <w:abstractNumId w:val="54"/>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39"/>
  </w:num>
  <w:num w:numId="14">
    <w:abstractNumId w:val="28"/>
  </w:num>
  <w:num w:numId="15">
    <w:abstractNumId w:val="19"/>
  </w:num>
  <w:num w:numId="16">
    <w:abstractNumId w:val="44"/>
  </w:num>
  <w:num w:numId="17">
    <w:abstractNumId w:val="33"/>
  </w:num>
  <w:num w:numId="18">
    <w:abstractNumId w:val="14"/>
  </w:num>
  <w:num w:numId="19">
    <w:abstractNumId w:val="58"/>
  </w:num>
  <w:num w:numId="20">
    <w:abstractNumId w:val="56"/>
  </w:num>
  <w:num w:numId="21">
    <w:abstractNumId w:val="51"/>
  </w:num>
  <w:num w:numId="22">
    <w:abstractNumId w:val="61"/>
  </w:num>
  <w:num w:numId="23">
    <w:abstractNumId w:val="1"/>
  </w:num>
  <w:num w:numId="24">
    <w:abstractNumId w:val="40"/>
  </w:num>
  <w:num w:numId="25">
    <w:abstractNumId w:val="32"/>
  </w:num>
  <w:num w:numId="26">
    <w:abstractNumId w:val="50"/>
  </w:num>
  <w:num w:numId="27">
    <w:abstractNumId w:val="45"/>
  </w:num>
  <w:num w:numId="28">
    <w:abstractNumId w:val="41"/>
  </w:num>
  <w:num w:numId="29">
    <w:abstractNumId w:val="52"/>
  </w:num>
  <w:num w:numId="30">
    <w:abstractNumId w:val="26"/>
  </w:num>
  <w:num w:numId="31">
    <w:abstractNumId w:val="15"/>
  </w:num>
  <w:num w:numId="32">
    <w:abstractNumId w:val="31"/>
  </w:num>
  <w:num w:numId="33">
    <w:abstractNumId w:val="21"/>
  </w:num>
  <w:num w:numId="34">
    <w:abstractNumId w:val="34"/>
  </w:num>
  <w:num w:numId="35">
    <w:abstractNumId w:val="5"/>
  </w:num>
  <w:num w:numId="36">
    <w:abstractNumId w:val="17"/>
  </w:num>
  <w:num w:numId="37">
    <w:abstractNumId w:val="46"/>
  </w:num>
  <w:num w:numId="38">
    <w:abstractNumId w:val="11"/>
  </w:num>
  <w:num w:numId="39">
    <w:abstractNumId w:val="0"/>
  </w:num>
  <w:num w:numId="40">
    <w:abstractNumId w:val="12"/>
  </w:num>
  <w:num w:numId="41">
    <w:abstractNumId w:val="16"/>
  </w:num>
  <w:num w:numId="42">
    <w:abstractNumId w:val="36"/>
  </w:num>
  <w:num w:numId="43">
    <w:abstractNumId w:val="29"/>
  </w:num>
  <w:num w:numId="44">
    <w:abstractNumId w:val="13"/>
  </w:num>
  <w:num w:numId="45">
    <w:abstractNumId w:val="53"/>
  </w:num>
  <w:num w:numId="46">
    <w:abstractNumId w:val="48"/>
  </w:num>
  <w:num w:numId="47">
    <w:abstractNumId w:val="63"/>
  </w:num>
  <w:num w:numId="48">
    <w:abstractNumId w:val="9"/>
  </w:num>
  <w:num w:numId="49">
    <w:abstractNumId w:val="49"/>
  </w:num>
  <w:num w:numId="50">
    <w:abstractNumId w:val="57"/>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7"/>
  </w:num>
  <w:num w:numId="54">
    <w:abstractNumId w:val="6"/>
  </w:num>
  <w:num w:numId="55">
    <w:abstractNumId w:val="7"/>
  </w:num>
  <w:num w:numId="56">
    <w:abstractNumId w:val="23"/>
  </w:num>
  <w:num w:numId="57">
    <w:abstractNumId w:val="60"/>
  </w:num>
  <w:num w:numId="58">
    <w:abstractNumId w:val="30"/>
  </w:num>
  <w:num w:numId="59">
    <w:abstractNumId w:val="25"/>
  </w:num>
  <w:num w:numId="60">
    <w:abstractNumId w:val="18"/>
  </w:num>
  <w:num w:numId="61">
    <w:abstractNumId w:val="38"/>
  </w:num>
  <w:num w:numId="62">
    <w:abstractNumId w:val="4"/>
  </w:num>
  <w:num w:numId="63">
    <w:abstractNumId w:val="59"/>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5"/>
  </w:num>
  <w:num w:numId="66">
    <w:abstractNumId w:val="43"/>
  </w:num>
  <w:num w:numId="67">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76B5F"/>
    <w:rsid w:val="000821DC"/>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62C0"/>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1B56"/>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112F"/>
    <w:rsid w:val="004C35CE"/>
    <w:rsid w:val="004C3FC0"/>
    <w:rsid w:val="004C4DE0"/>
    <w:rsid w:val="004C5F9B"/>
    <w:rsid w:val="004D07B9"/>
    <w:rsid w:val="004D413F"/>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27"/>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7F9"/>
    <w:rsid w:val="00771818"/>
    <w:rsid w:val="007729D7"/>
    <w:rsid w:val="007734D6"/>
    <w:rsid w:val="007753E4"/>
    <w:rsid w:val="00777760"/>
    <w:rsid w:val="00784C80"/>
    <w:rsid w:val="007853DF"/>
    <w:rsid w:val="00786F3A"/>
    <w:rsid w:val="007912CF"/>
    <w:rsid w:val="00794481"/>
    <w:rsid w:val="007A42EC"/>
    <w:rsid w:val="007A7EB7"/>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D785C"/>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203"/>
    <w:rsid w:val="009E18FB"/>
    <w:rsid w:val="009E5C44"/>
    <w:rsid w:val="009E790F"/>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2AE0"/>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C0728"/>
    <w:rsid w:val="00CC2304"/>
    <w:rsid w:val="00CC2BA6"/>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248ED"/>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609D"/>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603A"/>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83261824"/>
        <c:axId val="92386816"/>
      </c:lineChart>
      <c:catAx>
        <c:axId val="183261824"/>
        <c:scaling>
          <c:orientation val="minMax"/>
        </c:scaling>
        <c:delete val="0"/>
        <c:axPos val="b"/>
        <c:numFmt formatCode="General" sourceLinked="1"/>
        <c:majorTickMark val="out"/>
        <c:minorTickMark val="none"/>
        <c:tickLblPos val="nextTo"/>
        <c:crossAx val="92386816"/>
        <c:crosses val="autoZero"/>
        <c:auto val="1"/>
        <c:lblAlgn val="ctr"/>
        <c:lblOffset val="100"/>
        <c:noMultiLvlLbl val="0"/>
      </c:catAx>
      <c:valAx>
        <c:axId val="92386816"/>
        <c:scaling>
          <c:orientation val="minMax"/>
        </c:scaling>
        <c:delete val="0"/>
        <c:axPos val="l"/>
        <c:majorGridlines/>
        <c:numFmt formatCode="General" sourceLinked="1"/>
        <c:majorTickMark val="out"/>
        <c:minorTickMark val="none"/>
        <c:tickLblPos val="nextTo"/>
        <c:crossAx val="1832618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Sheet1!$D$4:$D$9</c:f>
              <c:numCache>
                <c:formatCode>General</c:formatCode>
                <c:ptCount val="6"/>
                <c:pt idx="0">
                  <c:v>0</c:v>
                </c:pt>
                <c:pt idx="1">
                  <c:v>1.7139774672827901E-2</c:v>
                </c:pt>
                <c:pt idx="2">
                  <c:v>9.8759233315599201E-2</c:v>
                </c:pt>
                <c:pt idx="3">
                  <c:v>0.27509592724537801</c:v>
                </c:pt>
                <c:pt idx="4">
                  <c:v>0.56904984757747501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c:v>
                </c:pt>
                <c:pt idx="4">
                  <c:v>0.8</c:v>
                </c:pt>
                <c:pt idx="5">
                  <c:v>1</c:v>
                </c:pt>
              </c:numCache>
            </c:numRef>
          </c:xVal>
          <c:yVal>
            <c:numRef>
              <c:f>Sheet1!$E$4:$E$9</c:f>
              <c:numCache>
                <c:formatCode>General</c:formatCode>
                <c:ptCount val="6"/>
                <c:pt idx="0">
                  <c:v>0</c:v>
                </c:pt>
                <c:pt idx="1">
                  <c:v>0.2</c:v>
                </c:pt>
                <c:pt idx="2">
                  <c:v>0.4</c:v>
                </c:pt>
                <c:pt idx="3">
                  <c:v>0.6</c:v>
                </c:pt>
                <c:pt idx="4">
                  <c:v>0.8</c:v>
                </c:pt>
                <c:pt idx="5">
                  <c:v>1</c:v>
                </c:pt>
              </c:numCache>
            </c:numRef>
          </c:yVal>
          <c:smooth val="0"/>
        </c:ser>
        <c:dLbls>
          <c:showLegendKey val="0"/>
          <c:showVal val="0"/>
          <c:showCatName val="0"/>
          <c:showSerName val="0"/>
          <c:showPercent val="0"/>
          <c:showBubbleSize val="0"/>
        </c:dLbls>
        <c:axId val="147585664"/>
        <c:axId val="184419072"/>
      </c:scatterChart>
      <c:valAx>
        <c:axId val="147585664"/>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84419072"/>
        <c:crosses val="autoZero"/>
        <c:crossBetween val="midCat"/>
        <c:minorUnit val="0.05"/>
      </c:valAx>
      <c:valAx>
        <c:axId val="184419072"/>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47585664"/>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EFFFB-F6F6-438B-B308-AB5DE2A0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14196</TotalTime>
  <Pages>127</Pages>
  <Words>33763</Words>
  <Characters>192455</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225767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276</cp:revision>
  <cp:lastPrinted>2012-01-20T17:10:00Z</cp:lastPrinted>
  <dcterms:created xsi:type="dcterms:W3CDTF">2012-02-10T18:28:00Z</dcterms:created>
  <dcterms:modified xsi:type="dcterms:W3CDTF">2013-02-26T16:07:00Z</dcterms:modified>
</cp:coreProperties>
</file>