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68DC3145" w:rsidR="004D07B9" w:rsidRDefault="00706F27" w:rsidP="004D07B9">
      <w:pPr>
        <w:pStyle w:val="Subtitle"/>
        <w:rPr>
          <w:i w:val="0"/>
          <w:iCs w:val="0"/>
        </w:rPr>
      </w:pPr>
      <w:r>
        <w:rPr>
          <w:i w:val="0"/>
          <w:iCs w:val="0"/>
        </w:rPr>
        <w:t>February</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16891042"/>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16891043"/>
      <w:r>
        <w:lastRenderedPageBreak/>
        <w:t>Introduction</w:t>
      </w:r>
      <w:bookmarkEnd w:id="2"/>
      <w:bookmarkEnd w:id="3"/>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16891044"/>
      <w:r w:rsidRPr="001C1CCF">
        <w:t>Overview</w:t>
      </w:r>
      <w:bookmarkEnd w:id="4"/>
      <w:bookmarkEnd w:id="5"/>
    </w:p>
    <w:p w14:paraId="40EA1516" w14:textId="77777777" w:rsidR="000604F7" w:rsidRDefault="000604F7" w:rsidP="000604F7">
      <w:r w:rsidRPr="000604F7">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 Athena is a stand-alone single-user application.</w:t>
      </w:r>
    </w:p>
    <w:p w14:paraId="7313086C" w14:textId="77777777" w:rsidR="000604F7" w:rsidRPr="000604F7" w:rsidRDefault="000604F7" w:rsidP="000604F7"/>
    <w:p w14:paraId="6F37C63B" w14:textId="77777777" w:rsidR="000604F7" w:rsidRDefault="000604F7" w:rsidP="000604F7">
      <w:pPr>
        <w:pStyle w:val="Textbody"/>
      </w:pPr>
      <w:r>
        <w:t xml:space="preserve">The intent of Athena’s models is first to capture and make explicit a wide variety of first order causal links, each of which makes sense on the face of it, and then present the second and third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16891045"/>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1"/>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77777777" w:rsidR="000604F7" w:rsidRDefault="000604F7" w:rsidP="000604F7">
      <w:pPr>
        <w:pStyle w:val="termdef"/>
      </w:pPr>
      <w:r>
        <w:t>This document combines a higher-level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lastRenderedPageBreak/>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77777777" w:rsidR="000604F7" w:rsidRDefault="000604F7" w:rsidP="000604F7">
      <w:pPr>
        <w:pStyle w:val="termdef"/>
      </w:pPr>
      <w:r>
        <w:t>Athena is built upon a software infrastructure layer called Mars.  Models implemented by Mars, including the Generalized Regional Attitude Model (GRAM), are documented in the Mars Analyst's Guide (MAG), which may be found in the Athena documentation tree.</w:t>
      </w:r>
    </w:p>
    <w:p w14:paraId="041D3F28" w14:textId="77777777" w:rsidR="000604F7" w:rsidRDefault="000604F7" w:rsidP="000604F7">
      <w:pPr>
        <w:pStyle w:val="Heading3"/>
      </w:pPr>
      <w:bookmarkStart w:id="9" w:name="_Toc310421732"/>
      <w:bookmarkStart w:id="10" w:name="_Toc316891046"/>
      <w:r>
        <w:t>Changes for Athena 3.1</w:t>
      </w:r>
      <w:bookmarkEnd w:id="9"/>
      <w:bookmarkEnd w:id="10"/>
    </w:p>
    <w:p w14:paraId="710C8498" w14:textId="77777777" w:rsidR="000604F7" w:rsidRDefault="000604F7" w:rsidP="00B80934">
      <w:pPr>
        <w:pStyle w:val="ListParagraph"/>
        <w:numPr>
          <w:ilvl w:val="0"/>
          <w:numId w:val="12"/>
        </w:numPr>
      </w:pPr>
      <w:r>
        <w:t>Added actors and their strategies (goals, tactics, and attached conditions)</w:t>
      </w:r>
    </w:p>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42F96F77" w14:textId="77777777" w:rsidR="000604F7" w:rsidRDefault="000604F7" w:rsidP="00B80934">
      <w:pPr>
        <w:pStyle w:val="ListParagraph"/>
        <w:numPr>
          <w:ilvl w:val="0"/>
          <w:numId w:val="12"/>
        </w:numPr>
      </w:pPr>
      <w:r>
        <w:t>Added a model of actor support, influence, and control of neighborhoods.</w:t>
      </w:r>
    </w:p>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6D9A77FF" w14:textId="77777777" w:rsidR="002B6704" w:rsidRDefault="002B6704" w:rsidP="002B6704">
      <w:pPr>
        <w:pStyle w:val="Heading2"/>
      </w:pPr>
      <w:bookmarkStart w:id="11" w:name="_Ref309649305"/>
      <w:bookmarkStart w:id="12" w:name="_Toc310421733"/>
      <w:bookmarkStart w:id="13" w:name="_Toc316891047"/>
      <w:r>
        <w:lastRenderedPageBreak/>
        <w:t>Athena Concepts</w:t>
      </w:r>
      <w:bookmarkEnd w:id="11"/>
      <w:bookmarkEnd w:id="12"/>
      <w:bookmarkEnd w:id="13"/>
    </w:p>
    <w:p w14:paraId="59FA60FB" w14:textId="77777777" w:rsidR="002B6704" w:rsidRDefault="002B6704" w:rsidP="002B6704">
      <w:r>
        <w:t>Athena’s models describe, within a region of interest, the significant political, social and economic actors, the actions they take, the effect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16891048"/>
      <w:r>
        <w:t>Model Parameters</w:t>
      </w:r>
      <w:bookmarkEnd w:id="14"/>
      <w:bookmarkEnd w:id="15"/>
    </w:p>
    <w:p w14:paraId="4323EF2D" w14:textId="77777777" w:rsidR="002B6704" w:rsidRPr="00026D3A" w:rsidRDefault="002B6704" w:rsidP="002B6704">
      <w:r>
        <w:t xml:space="preserve">Many of the Athena models contain numeric parameters 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xml:space="preserve">.  Although not part of an Athena scenario proper, the model parameters are accessible to the Athena user, who can view them and set them on a scenario-by-scenario basis.  When such parameter appears in a model,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16891049"/>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77777777" w:rsidR="002B6704" w:rsidRDefault="002B6704" w:rsidP="002B6704">
      <w:r>
        <w:t xml:space="preserve">Athena's clock measures time in integer </w:t>
      </w:r>
      <w:r>
        <w:rPr>
          <w:i/>
          <w:iCs/>
        </w:rPr>
        <w:t>days</w:t>
      </w:r>
      <w:r>
        <w:t xml:space="preserve"> since time 0.  The day is the smallest time interval with which Athena is concerned; simulation time always advances day-by-day.  Days are also sometimes referred to as time </w:t>
      </w:r>
      <w:r>
        <w:rPr>
          <w:i/>
        </w:rPr>
        <w:t>ticks</w:t>
      </w:r>
      <w:r>
        <w:t>.</w:t>
      </w:r>
    </w:p>
    <w:p w14:paraId="18C8935D" w14:textId="77777777" w:rsidR="002B6704" w:rsidRPr="00E03798" w:rsidRDefault="002B6704" w:rsidP="002B6704"/>
    <w:p w14:paraId="6655E158"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14:paraId="61CA2349" w14:textId="77777777" w:rsidR="002B6704" w:rsidRDefault="002B6704" w:rsidP="002B6704"/>
    <w:p w14:paraId="07B2CC22" w14:textId="77777777"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For example, economics and attrition are assessed every seven days (by default); thus, we say that the economics tock and the attrition tock are each one week.</w:t>
      </w:r>
    </w:p>
    <w:p w14:paraId="714DDBB0" w14:textId="77777777" w:rsidR="002B6704" w:rsidRDefault="002B6704" w:rsidP="002B6704">
      <w:pPr>
        <w:pStyle w:val="Heading3"/>
      </w:pPr>
      <w:bookmarkStart w:id="18" w:name="_Toc310421736"/>
      <w:bookmarkStart w:id="19" w:name="_Toc316891050"/>
      <w:r>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16891051"/>
      <w:r w:rsidRPr="002B6704">
        <w:lastRenderedPageBreak/>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2"/>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4C2665C9">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1342B4" w:rsidRDefault="001342B4"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1342B4" w:rsidRDefault="001342B4"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1342B4" w:rsidRDefault="001342B4"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1342B4" w:rsidRDefault="001342B4"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781151" y="584217"/>
                            <a:ext cx="315207" cy="265236"/>
                          </a:xfrm>
                          <a:prstGeom prst="rect">
                            <a:avLst/>
                          </a:prstGeom>
                          <a:noFill/>
                          <a:ln>
                            <a:noFill/>
                          </a:ln>
                        </wps:spPr>
                        <wps:txbx>
                          <w:txbxContent>
                            <w:p w14:paraId="2C9E51A4" w14:textId="77777777" w:rsidR="001342B4" w:rsidRDefault="001342B4" w:rsidP="002B6704"/>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77777777" w:rsidR="001342B4" w:rsidRDefault="001342B4" w:rsidP="002B6704">
                              <w:r>
                                <w:t>A</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77777777" w:rsidR="001342B4" w:rsidRDefault="001342B4" w:rsidP="002B6704">
                              <w:r>
                                <w:t>A</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77777777" w:rsidR="001342B4" w:rsidRDefault="001342B4" w:rsidP="002B6704">
                              <w:r>
                                <w:t>B</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77777777" w:rsidR="001342B4" w:rsidRDefault="001342B4" w:rsidP="002B6704">
                              <w:r>
                                <w:t>C</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B9beF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1342B4" w:rsidRDefault="001342B4"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1342B4" w:rsidRDefault="001342B4"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1342B4" w:rsidRDefault="001342B4"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1342B4" w:rsidRDefault="001342B4"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77777777" w:rsidR="001342B4" w:rsidRDefault="001342B4" w:rsidP="002B6704"/>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77777777" w:rsidR="001342B4" w:rsidRDefault="001342B4" w:rsidP="002B6704">
                        <w:r>
                          <w:t>A</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77777777" w:rsidR="001342B4" w:rsidRDefault="001342B4" w:rsidP="002B6704">
                        <w:r>
                          <w:t>A</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77777777" w:rsidR="001342B4" w:rsidRDefault="001342B4" w:rsidP="002B6704">
                        <w:r>
                          <w:t>B</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77777777" w:rsidR="001342B4" w:rsidRDefault="001342B4" w:rsidP="002B6704">
                        <w:r>
                          <w:t>C</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16891052"/>
      <w:r>
        <w:lastRenderedPageBreak/>
        <w:t>Neighborhood Proximity</w:t>
      </w:r>
      <w:bookmarkEnd w:id="22"/>
      <w:bookmarkEnd w:id="23"/>
    </w:p>
    <w:p w14:paraId="2C0749CC" w14:textId="77777777" w:rsidR="002B6704" w:rsidRDefault="002B6704" w:rsidP="002B6704">
      <w:r>
        <w:t xml:space="preserve">In Athena, simulation events take place within neighborhoods, and affect the population of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67CC70E6" w14:textId="77777777" w:rsidR="002B6704" w:rsidRDefault="002B6704" w:rsidP="002B6704"/>
    <w:p w14:paraId="2EA6DB98" w14:textId="77777777" w:rsidR="002B6704" w:rsidRDefault="002B6704" w:rsidP="002B6704">
      <w:pPr>
        <w:jc w:val="center"/>
      </w:pPr>
      <w:r>
        <w:rPr>
          <w:noProof/>
        </w:rPr>
        <mc:AlternateContent>
          <mc:Choice Requires="wpg">
            <w:drawing>
              <wp:inline distT="0" distB="0" distL="0" distR="0" wp14:anchorId="781BB28C" wp14:editId="599D9F97">
                <wp:extent cx="2324130" cy="1856872"/>
                <wp:effectExtent l="0" t="0" r="38100" b="29210"/>
                <wp:docPr id="25" name="Group 25"/>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6" name="Freeform 26"/>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060AB23" w14:textId="77777777" w:rsidR="001342B4" w:rsidRDefault="001342B4" w:rsidP="002B6704">
                              <w:r>
                                <w:t>D</w:t>
                              </w:r>
                            </w:p>
                          </w:txbxContent>
                        </wps:txbx>
                        <wps:bodyPr vert="horz" lIns="89976" tIns="44988" rIns="89976" bIns="44988" anchor="ctr" anchorCtr="1" compatLnSpc="0"/>
                      </wps:wsp>
                      <wps:wsp>
                        <wps:cNvPr id="27" name="Freeform 27"/>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69655993" w14:textId="77777777" w:rsidR="001342B4" w:rsidRDefault="001342B4" w:rsidP="002B6704">
                              <w:r>
                                <w:t>E</w:t>
                              </w:r>
                            </w:p>
                          </w:txbxContent>
                        </wps:txbx>
                        <wps:bodyPr vert="horz" lIns="89976" tIns="44988" rIns="89976" bIns="44988" anchor="ctr" anchorCtr="1" compatLnSpc="0"/>
                      </wps:wsp>
                      <wps:wsp>
                        <wps:cNvPr id="28" name="Freeform 28"/>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21B154B1" w14:textId="77777777" w:rsidR="001342B4" w:rsidRDefault="001342B4" w:rsidP="002B6704"/>
                          </w:txbxContent>
                        </wps:txbx>
                        <wps:bodyPr vert="horz" lIns="89976" tIns="44988" rIns="89976" bIns="44988" anchor="ctr" anchorCtr="1" compatLnSpc="0"/>
                      </wps:wsp>
                      <wps:wsp>
                        <wps:cNvPr id="29" name="Freeform 29"/>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AED959D" w14:textId="77777777" w:rsidR="001342B4" w:rsidRDefault="001342B4" w:rsidP="002B6704"/>
                          </w:txbxContent>
                        </wps:txbx>
                        <wps:bodyPr vert="horz" lIns="89976" tIns="44988" rIns="89976" bIns="44988" anchor="ctr" anchorCtr="1" compatLnSpc="0"/>
                      </wps:wsp>
                      <wps:wsp>
                        <wps:cNvPr id="30" name="Straight Connector 30"/>
                        <wps:cNvCnPr/>
                        <wps:spPr>
                          <a:xfrm flipH="1">
                            <a:off x="642914" y="1523481"/>
                            <a:ext cx="56967" cy="333391"/>
                          </a:xfrm>
                          <a:prstGeom prst="line">
                            <a:avLst/>
                          </a:prstGeom>
                          <a:noFill/>
                          <a:ln w="0">
                            <a:solidFill>
                              <a:srgbClr val="000000"/>
                            </a:solidFill>
                            <a:prstDash val="solid"/>
                          </a:ln>
                        </wps:spPr>
                        <wps:bodyPr/>
                      </wps:wsp>
                      <wps:wsp>
                        <wps:cNvPr id="31" name="Straight Connector 31"/>
                        <wps:cNvCnPr/>
                        <wps:spPr>
                          <a:xfrm>
                            <a:off x="1938253" y="1090422"/>
                            <a:ext cx="385877" cy="285841"/>
                          </a:xfrm>
                          <a:prstGeom prst="line">
                            <a:avLst/>
                          </a:prstGeom>
                          <a:noFill/>
                          <a:ln w="0">
                            <a:solidFill>
                              <a:srgbClr val="000000"/>
                            </a:solidFill>
                            <a:prstDash val="solid"/>
                          </a:ln>
                        </wps:spPr>
                        <wps:bodyPr/>
                      </wps:wsp>
                      <wps:wsp>
                        <wps:cNvPr id="32" name="Text Box 32"/>
                        <wps:cNvSpPr txBox="1"/>
                        <wps:spPr>
                          <a:xfrm>
                            <a:off x="781151" y="584217"/>
                            <a:ext cx="315207" cy="265236"/>
                          </a:xfrm>
                          <a:prstGeom prst="rect">
                            <a:avLst/>
                          </a:prstGeom>
                          <a:noFill/>
                          <a:ln>
                            <a:noFill/>
                          </a:ln>
                        </wps:spPr>
                        <wps:txbx>
                          <w:txbxContent>
                            <w:p w14:paraId="54417F45" w14:textId="77777777" w:rsidR="001342B4" w:rsidRDefault="001342B4" w:rsidP="002B6704"/>
                          </w:txbxContent>
                        </wps:txbx>
                        <wps:bodyPr vert="horz" lIns="89976" tIns="44988" rIns="89976" bIns="44988" anchorCtr="0" compatLnSpc="0">
                          <a:spAutoFit/>
                        </wps:bodyPr>
                      </wps:wsp>
                      <wps:wsp>
                        <wps:cNvPr id="33" name="Text Box 33"/>
                        <wps:cNvSpPr txBox="1"/>
                        <wps:spPr>
                          <a:xfrm>
                            <a:off x="504734" y="783986"/>
                            <a:ext cx="315207" cy="265236"/>
                          </a:xfrm>
                          <a:prstGeom prst="rect">
                            <a:avLst/>
                          </a:prstGeom>
                          <a:noFill/>
                          <a:ln>
                            <a:noFill/>
                          </a:ln>
                        </wps:spPr>
                        <wps:txbx>
                          <w:txbxContent>
                            <w:p w14:paraId="28E5A632" w14:textId="77777777" w:rsidR="001342B4" w:rsidRDefault="001342B4" w:rsidP="002B6704"/>
                          </w:txbxContent>
                        </wps:txbx>
                        <wps:bodyPr vert="horz" lIns="89976" tIns="44988" rIns="89976" bIns="44988" anchorCtr="0" compatLnSpc="0">
                          <a:spAutoFit/>
                        </wps:bodyPr>
                      </wps:wsp>
                      <wps:wsp>
                        <wps:cNvPr id="34" name="Text Box 34"/>
                        <wps:cNvSpPr txBox="1"/>
                        <wps:spPr>
                          <a:xfrm>
                            <a:off x="1238339" y="504676"/>
                            <a:ext cx="324732" cy="265236"/>
                          </a:xfrm>
                          <a:prstGeom prst="rect">
                            <a:avLst/>
                          </a:prstGeom>
                          <a:noFill/>
                          <a:ln>
                            <a:noFill/>
                          </a:ln>
                        </wps:spPr>
                        <wps:txbx>
                          <w:txbxContent>
                            <w:p w14:paraId="731742D1" w14:textId="77777777" w:rsidR="001342B4" w:rsidRDefault="001342B4" w:rsidP="002B6704"/>
                          </w:txbxContent>
                        </wps:txbx>
                        <wps:bodyPr vert="horz" lIns="89976" tIns="44988" rIns="89976" bIns="44988" anchorCtr="0" compatLnSpc="0">
                          <a:spAutoFit/>
                        </wps:bodyPr>
                      </wps:wsp>
                      <wps:wsp>
                        <wps:cNvPr id="35" name="Text Box 35"/>
                        <wps:cNvSpPr txBox="1"/>
                        <wps:spPr>
                          <a:xfrm>
                            <a:off x="714219" y="0"/>
                            <a:ext cx="324732" cy="265236"/>
                          </a:xfrm>
                          <a:prstGeom prst="rect">
                            <a:avLst/>
                          </a:prstGeom>
                          <a:noFill/>
                          <a:ln>
                            <a:noFill/>
                          </a:ln>
                        </wps:spPr>
                        <wps:txbx>
                          <w:txbxContent>
                            <w:p w14:paraId="52520265" w14:textId="77777777" w:rsidR="001342B4" w:rsidRDefault="001342B4" w:rsidP="002B6704">
                              <w:r>
                                <w:t>A</w:t>
                              </w:r>
                            </w:p>
                          </w:txbxContent>
                        </wps:txbx>
                        <wps:bodyPr vert="horz" lIns="89976" tIns="44988" rIns="89976" bIns="44988" anchorCtr="0" compatLnSpc="0">
                          <a:spAutoFit/>
                        </wps:bodyPr>
                      </wps:wsp>
                      <wps:wsp>
                        <wps:cNvPr id="36" name="Text Box 36"/>
                        <wps:cNvSpPr txBox="1"/>
                        <wps:spPr>
                          <a:xfrm>
                            <a:off x="1466933" y="1285738"/>
                            <a:ext cx="315207" cy="265236"/>
                          </a:xfrm>
                          <a:prstGeom prst="rect">
                            <a:avLst/>
                          </a:prstGeom>
                          <a:noFill/>
                          <a:ln>
                            <a:noFill/>
                          </a:ln>
                        </wps:spPr>
                        <wps:txbx>
                          <w:txbxContent>
                            <w:p w14:paraId="4754F3CB" w14:textId="77777777" w:rsidR="001342B4" w:rsidRDefault="001342B4" w:rsidP="002B6704">
                              <w:r>
                                <w:t>A</w:t>
                              </w:r>
                            </w:p>
                          </w:txbxContent>
                        </wps:txbx>
                        <wps:bodyPr vert="horz" lIns="89976" tIns="44988" rIns="89976" bIns="44988" anchorCtr="0" compatLnSpc="0">
                          <a:spAutoFit/>
                        </wps:bodyPr>
                      </wps:wsp>
                    </wpg:wgp>
                  </a:graphicData>
                </a:graphic>
              </wp:inline>
            </w:drawing>
          </mc:Choice>
          <mc:Fallback>
            <w:pict>
              <v:group id="Group 25"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">
                <v:shape id="Freeform 26"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dmsQA&#10;AADbAAAADwAAAGRycy9kb3ducmV2LnhtbESPQYvCMBSE7wv+h/AEL4umKyhSjaKisjfZ1oO9PZpn&#10;W9q8lCar9d+bBWGPw8x8w6w2vWnEnTpXWVbwNYlAEOdWV1wouKTH8QKE88gaG8uk4EkONuvBxwpj&#10;bR/8Q/fEFyJA2MWooPS+jaV0eUkG3cS2xMG72c6gD7IrpO7wEeCmkdMomkuDFYeFElval5TXya9R&#10;cE3rbLu7LQ5Zmp3Ox91ne5jVM6VGw367BOGp9//hd/tbK5jO4e9L+AF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XZr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060AB23" w14:textId="77777777" w:rsidR="001342B4" w:rsidRDefault="001342B4" w:rsidP="002B6704">
                        <w:r>
                          <w:t>D</w:t>
                        </w:r>
                      </w:p>
                    </w:txbxContent>
                  </v:textbox>
                </v:shape>
                <v:shape id="Freeform 27"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OXcUA&#10;AADbAAAADwAAAGRycy9kb3ducmV2LnhtbESPT4vCMBTE74LfITzBi2i6wq5SjaKCux5E8M/F26N5&#10;ttXmpdtkbf32RljwOMzMb5jpvDGFuFPlcssKPgYRCOLE6pxTBafjuj8G4TyyxsIyKXiQg/ms3Zpi&#10;rG3Ne7offCoChF2MCjLvy1hKl2Rk0A1sSRy8i60M+iCrVOoK6wA3hRxG0Zc0mHNYyLCkVUbJ7fBn&#10;FCRr/XvebS/L75/t8fo5OvVsLUmpbqdZTEB4avw7/N/eaAXDEby+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Q5dxQAAANsAAAAPAAAAAAAAAAAAAAAAAJgCAABkcnMv&#10;ZG93bnJldi54bWxQSwUGAAAAAAQABAD1AAAAigM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9655993" w14:textId="77777777" w:rsidR="001342B4" w:rsidRDefault="001342B4" w:rsidP="002B6704">
                        <w:r>
                          <w:t>E</w:t>
                        </w:r>
                      </w:p>
                    </w:txbxContent>
                  </v:textbox>
                </v:shape>
                <v:shape id="Freeform 28"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3FcQA&#10;AADbAAAADwAAAGRycy9kb3ducmV2LnhtbERPTWvCQBC9C/6HZQQvohtzKCW6ShFbbA/VxFLwNs2O&#10;STA7G7LbJO2v7x4KHh/ve70dTC06al1lWcFyEYEgzq2uuFDwcX6eP4JwHlljbZkU/JCD7WY8WmOi&#10;bc8pdZkvRAhhl6CC0vsmkdLlJRl0C9sQB+5qW4M+wLaQusU+hJtaxlH0IA1WHBpKbGhXUn7Lvo2C&#10;z9Prm/1avhzf99ffmbscd+mlq5SaToanFQhPg7+L/90HrSAOY8O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8txXEAAAA2wAAAA8AAAAAAAAAAAAAAAAAmAIAAGRycy9k&#10;b3ducmV2LnhtbFBLBQYAAAAABAAEAPUAAACJ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21B154B1" w14:textId="77777777" w:rsidR="001342B4" w:rsidRDefault="001342B4" w:rsidP="002B6704"/>
                    </w:txbxContent>
                  </v:textbox>
                </v:shape>
                <v:shape id="Freeform 29"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Q57MUA&#10;AADbAAAADwAAAGRycy9kb3ducmV2LnhtbESPT2vCQBTE74LfYXlCb3VjwFKjGymK4sXaxtLzM/vy&#10;h2bfhuzWpP30bqHgcZiZ3zCr9WAacaXO1ZYVzKYRCOLc6ppLBR/n3eMzCOeRNTaWScEPOVin49EK&#10;E217fqdr5ksRIOwSVFB53yZSurwig25qW+LgFbYz6IPsSqk77APcNDKOoidpsOawUGFLm4ryr+zb&#10;KHjdtvvj5nSYHS/F55Dp37c+nvdKPUyGlyUIT4O/h//bB60gXsD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DnsxQAAANsAAAAPAAAAAAAAAAAAAAAAAJgCAABkcnMv&#10;ZG93bnJldi54bWxQSwUGAAAAAAQABAD1AAAAigM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AED959D" w14:textId="77777777" w:rsidR="001342B4" w:rsidRDefault="001342B4" w:rsidP="002B6704"/>
                    </w:txbxContent>
                  </v:textbox>
                </v:shape>
                <v:line id="Straight Connector 30"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OwcIAAADbAAAADwAAAGRycy9kb3ducmV2LnhtbERPy2oCMRTdF/yHcAV3NWOFVkajiEUp&#10;hVZ8LdxdJ9eZwcnNkEQn/ftmUejycN6zRTSNeJDztWUFo2EGgriwuuZSwfGwfp6A8AFZY2OZFPyQ&#10;h8W89zTDXNuOd/TYh1KkEPY5KqhCaHMpfVGRQT+0LXHirtYZDAm6UmqHXQo3jXzJsldpsObUUGFL&#10;q4qK2/5uFOy+3/jiNvd4i5fua3s+lZ+n96VSg35cTkEEiuFf/Of+0ArGaX36kn6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OwcIAAADbAAAADwAAAAAAAAAAAAAA&#10;AAChAgAAZHJzL2Rvd25yZXYueG1sUEsFBgAAAAAEAAQA+QAAAJADAAAAAA==&#10;" strokeweight="0"/>
                <v:line id="Straight Connector 31"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5008MAAADbAAAADwAAAGRycy9kb3ducmV2LnhtbESPT2vCQBTE7wW/w/IEb7qJUk1TVxFR&#10;bG/+hR4f2ddkMfs2ZFdNv323IPQ4zMxvmPmys7W4U+uNYwXpKAFBXDhtuFRwPm2HGQgfkDXWjknB&#10;D3lYLnovc8y1e/CB7sdQighhn6OCKoQml9IXFVn0I9cQR+/btRZDlG0pdYuPCLe1HCfJVFo0HBcq&#10;bGhdUXE93qwCs5/uXj9nl7eL3OxC+pVdM2PPSg363eodRKAu/Ief7Q+tYJLC35f4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dNPDAAAA2wAAAA8AAAAAAAAAAAAA&#10;AAAAoQIAAGRycy9kb3ducmV2LnhtbFBLBQYAAAAABAAEAPkAAACRAwAAAAA=&#10;" strokeweight="0"/>
                <v:shape id="Text Box 32" o:spid="_x0000_s1045" type="#_x0000_t202" style="position:absolute;left:7811;top:5842;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tycQA&#10;AADbAAAADwAAAGRycy9kb3ducmV2LnhtbESPQWvCQBSE74L/YXlCb2ZjCq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q7cnEAAAA2wAAAA8AAAAAAAAAAAAAAAAAmAIAAGRycy9k&#10;b3ducmV2LnhtbFBLBQYAAAAABAAEAPUAAACJAwAAAAA=&#10;" filled="f" stroked="f">
                  <v:textbox style="mso-fit-shape-to-text:t" inset="2.49933mm,1.2497mm,2.49933mm,1.2497mm">
                    <w:txbxContent>
                      <w:p w14:paraId="54417F45" w14:textId="77777777" w:rsidR="001342B4" w:rsidRDefault="001342B4" w:rsidP="002B6704"/>
                    </w:txbxContent>
                  </v:textbox>
                </v:shape>
                <v:shape id="Text Box 33"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IUsUA&#10;AADbAAAADwAAAGRycy9kb3ducmV2LnhtbESPT2vCQBTE74V+h+UVeqsbI5QSXUWlLUJPRvHP7ZF9&#10;JtHs27C7avLt3UKhx2FmfsNMZp1pxI2cry0rGA4SEMSF1TWXCrabr7cPED4ga2wsk4KePMymz08T&#10;zLS985pueShFhLDPUEEVQptJ6YuKDPqBbYmjd7LOYIjSlVI7vEe4aWSaJO/SYM1xocKWlhUVl/xq&#10;FOSfx4Xr9b7Fw67/3p/TZfqzyJV6fenmYxCBuvAf/muvtILRCH6/x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khSxQAAANsAAAAPAAAAAAAAAAAAAAAAAJgCAABkcnMv&#10;ZG93bnJldi54bWxQSwUGAAAAAAQABAD1AAAAigMAAAAA&#10;" filled="f" stroked="f">
                  <v:textbox style="mso-fit-shape-to-text:t" inset="2.49933mm,1.2497mm,2.49933mm,1.2497mm">
                    <w:txbxContent>
                      <w:p w14:paraId="28E5A632" w14:textId="77777777" w:rsidR="001342B4" w:rsidRDefault="001342B4" w:rsidP="002B6704"/>
                    </w:txbxContent>
                  </v:textbox>
                </v:shape>
                <v:shape id="Text Box 34"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JsUA&#10;AADbAAAADwAAAGRycy9kb3ducmV2LnhtbESPT2vCQBTE74V+h+UJvdWNqZQ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AmxQAAANsAAAAPAAAAAAAAAAAAAAAAAJgCAABkcnMv&#10;ZG93bnJldi54bWxQSwUGAAAAAAQABAD1AAAAigMAAAAA&#10;" filled="f" stroked="f">
                  <v:textbox style="mso-fit-shape-to-text:t" inset="2.49933mm,1.2497mm,2.49933mm,1.2497mm">
                    <w:txbxContent>
                      <w:p w14:paraId="731742D1" w14:textId="77777777" w:rsidR="001342B4" w:rsidRDefault="001342B4" w:rsidP="002B6704"/>
                    </w:txbxContent>
                  </v:textbox>
                </v:shape>
                <v:shape id="Text Box 35"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1vcUA&#10;AADbAAAADwAAAGRycy9kb3ducmV2LnhtbESPT2vCQBTE74V+h+UJvdWNKZYSXUVFi9BTU/HP7ZF9&#10;JrHZt2F3q8m37xaEHoeZ+Q0znXemEVdyvrasYDRMQBAXVtdcKth9bZ7fQPiArLGxTAp68jCfPT5M&#10;MdP2xp90zUMpIoR9hgqqENpMSl9UZNAPbUscvbN1BkOUrpTa4S3CTSPTJHmVBmuOCxW2tKqo+M5/&#10;jIJ8fVq6Xh9aPO7798MlXaUfy1ypp0G3mIAI1IX/8L291Qpex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3W9xQAAANsAAAAPAAAAAAAAAAAAAAAAAJgCAABkcnMv&#10;ZG93bnJldi54bWxQSwUGAAAAAAQABAD1AAAAigMAAAAA&#10;" filled="f" stroked="f">
                  <v:textbox style="mso-fit-shape-to-text:t" inset="2.49933mm,1.2497mm,2.49933mm,1.2497mm">
                    <w:txbxContent>
                      <w:p w14:paraId="52520265" w14:textId="77777777" w:rsidR="001342B4" w:rsidRDefault="001342B4" w:rsidP="002B6704">
                        <w:r>
                          <w:t>A</w:t>
                        </w:r>
                      </w:p>
                    </w:txbxContent>
                  </v:textbox>
                </v:shape>
                <v:shape id="Text Box 36"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rysUA&#10;AADbAAAADwAAAGRycy9kb3ducmV2LnhtbESPQWvCQBSE74X+h+UVvJmNKYikrlKlLYWeGkXr7ZF9&#10;JqnZt2F31eTfdwWhx2FmvmHmy9604kLON5YVTJIUBHFpdcOVgu3mfTwD4QOyxtYyKRjIw3Lx+DDH&#10;XNsrf9OlCJWIEPY5KqhD6HIpfVmTQZ/Yjjh6R+sMhihdJbXDa4SbVmZpOpUGG44LNXa0rqk8FWej&#10;oHg7rNyg9x3+7IaP/W+2zr5WhVKjp/71BUSgPvyH7+1PreB5C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evKxQAAANsAAAAPAAAAAAAAAAAAAAAAAJgCAABkcnMv&#10;ZG93bnJldi54bWxQSwUGAAAAAAQABAD1AAAAigMAAAAA&#10;" filled="f" stroked="f">
                  <v:textbox style="mso-fit-shape-to-text:t" inset="2.49933mm,1.2497mm,2.49933mm,1.2497mm">
                    <w:txbxContent>
                      <w:p w14:paraId="4754F3CB" w14:textId="77777777" w:rsidR="001342B4" w:rsidRDefault="001342B4" w:rsidP="002B6704">
                        <w:r>
                          <w:t>A</w:t>
                        </w:r>
                      </w:p>
                    </w:txbxContent>
                  </v:textbox>
                </v:shape>
                <w10:anchorlock/>
              </v:group>
            </w:pict>
          </mc:Fallback>
        </mc:AlternateContent>
      </w:r>
    </w:p>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to the country as a whole. </w:t>
      </w:r>
    </w:p>
    <w:p w14:paraId="7C017E8E" w14:textId="77777777" w:rsidR="002B6704" w:rsidRDefault="002B6704" w:rsidP="007239F9">
      <w:pPr>
        <w:pStyle w:val="Heading4"/>
      </w:pPr>
      <w:bookmarkStart w:id="24" w:name="_Toc310421739"/>
      <w:bookmarkStart w:id="25" w:name="_Toc316891053"/>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3"/>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16891054"/>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7777777" w:rsidR="002B6704" w:rsidRDefault="002B6704" w:rsidP="001E49E9">
      <w:r>
        <w:t>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the needs of the scenario.</w:t>
      </w:r>
    </w:p>
    <w:p w14:paraId="23B7BA1D" w14:textId="77777777" w:rsidR="002B6704" w:rsidRDefault="002B6704" w:rsidP="001E49E9">
      <w:pPr>
        <w:pStyle w:val="Heading4"/>
      </w:pPr>
      <w:bookmarkStart w:id="29" w:name="_Toc310421741"/>
      <w:bookmarkStart w:id="30" w:name="_Toc316891055"/>
      <w:r>
        <w:t>Strategies: Goals, Tactics, and Conditions</w:t>
      </w:r>
      <w:bookmarkEnd w:id="29"/>
      <w:bookmarkEnd w:id="30"/>
    </w:p>
    <w:p w14:paraId="5A6BB3D0" w14:textId="77777777"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set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77777777"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(money and personnel), and as these are scarce the actor cannot do everything they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16891056"/>
      <w:r>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3" w:name="_Toc310421743"/>
      <w:bookmarkStart w:id="34" w:name="_Toc316891057"/>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5" w:name="_Toc310421744"/>
      <w:bookmarkStart w:id="36" w:name="_Toc316891058"/>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16891059"/>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7592916B" w:rsidR="002B6704" w:rsidRDefault="002B6704" w:rsidP="001E49E9">
      <w:r>
        <w:t xml:space="preserve">Each civilian group’s population is represented implicitly in the Demographic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 visualization of where people are and what they are doing.</w:t>
      </w:r>
      <w:r>
        <w:rPr>
          <w:rStyle w:val="FootnoteReference"/>
        </w:rPr>
        <w:footnoteReference w:id="4"/>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lastRenderedPageBreak/>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39" w:name="_Toc310421746"/>
      <w:bookmarkStart w:id="40" w:name="_Toc316891060"/>
      <w:r>
        <w:t>Force Groups</w:t>
      </w:r>
      <w:bookmarkEnd w:id="39"/>
      <w:bookmarkEnd w:id="40"/>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16891061"/>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16891062"/>
      <w:r>
        <w:t>Organization Groups</w:t>
      </w:r>
      <w:bookmarkEnd w:id="44"/>
      <w:bookmarkEnd w:id="45"/>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77777777" w:rsidR="002B6704" w:rsidRDefault="002B6704" w:rsidP="001E49E9">
      <w:r>
        <w:t>Like force groups, every organization group must belong to some actor; this may be a real actor, or a fictive actor that exists only to own and direct one or more force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16891063"/>
      <w:r>
        <w:lastRenderedPageBreak/>
        <w:t>Force, Security, and Volatility</w:t>
      </w:r>
      <w:bookmarkEnd w:id="46"/>
      <w:bookmarkEnd w:id="47"/>
    </w:p>
    <w:p w14:paraId="0F5D1610" w14:textId="77777777" w:rsidR="002B6704" w:rsidRDefault="002B6704" w:rsidP="001E49E9">
      <w:r>
        <w:t xml:space="preserve">Both civilian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Pr>
          <w:i/>
        </w:rPr>
        <w:t>security</w:t>
      </w:r>
      <w:r>
        <w:t xml:space="preserve"> of each group in each neighborhood.  Closely related to security is </w:t>
      </w:r>
      <w:r>
        <w:rPr>
          <w:i/>
        </w:rPr>
        <w:t>volatility</w:t>
      </w:r>
      <w:r>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8" w:name="_Toc310421750"/>
      <w:bookmarkStart w:id="49" w:name="_Toc316891064"/>
      <w:r>
        <w:t>Modeling Areas</w:t>
      </w:r>
      <w:bookmarkEnd w:id="48"/>
      <w:bookmarkEnd w:id="49"/>
    </w:p>
    <w:p w14:paraId="0377B92A" w14:textId="77777777" w:rsidR="002B6704" w:rsidRDefault="002B6704" w:rsidP="001E49E9">
      <w:r>
        <w:t>Athena's models are loosely grouped into a handful of modeling areas.  The models themselves will be described in detail in the body of this document; this section describes each area and the models within it at a high level.</w:t>
      </w:r>
    </w:p>
    <w:p w14:paraId="23073A7B" w14:textId="77777777" w:rsidR="002B6704" w:rsidRDefault="002B6704" w:rsidP="001E49E9">
      <w:pPr>
        <w:pStyle w:val="Heading4"/>
      </w:pPr>
      <w:bookmarkStart w:id="50" w:name="_Toc310421751"/>
      <w:bookmarkStart w:id="51" w:name="_Toc316891065"/>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16891066"/>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14:paraId="5A409755" w14:textId="77777777" w:rsidR="002B6704" w:rsidRDefault="002B6704" w:rsidP="001E49E9">
      <w:pPr>
        <w:pStyle w:val="Heading4"/>
      </w:pPr>
      <w:bookmarkStart w:id="54" w:name="__RefHeading__35345922"/>
      <w:bookmarkStart w:id="55" w:name="_Toc310421753"/>
      <w:bookmarkStart w:id="56" w:name="_Toc316891067"/>
      <w:r>
        <w:lastRenderedPageBreak/>
        <w:t>Attitudes</w:t>
      </w:r>
      <w:bookmarkEnd w:id="54"/>
      <w:bookmarkEnd w:id="55"/>
      <w:bookmarkEnd w:id="56"/>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Pr>
          <w:i/>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7" w:name="_Toc316891068"/>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16891069"/>
      <w:r>
        <w:t>Economics</w:t>
      </w:r>
      <w:bookmarkEnd w:id="58"/>
      <w:bookmarkEnd w:id="59"/>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0" w:name="_Toc316891070"/>
      <w:r>
        <w:t>Information</w:t>
      </w:r>
      <w:bookmarkEnd w:id="60"/>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1" w:name="_Toc310421755"/>
      <w:bookmarkStart w:id="62" w:name="_Toc316891071"/>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lastRenderedPageBreak/>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6188D07C" w14:textId="77777777" w:rsidR="002B670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t xml:space="preserve">. </w:t>
      </w:r>
    </w:p>
    <w:p w14:paraId="24D26C38" w14:textId="77777777" w:rsidR="00A41624" w:rsidRDefault="00A41624" w:rsidP="00F34ED3"/>
    <w:p w14:paraId="4986A04A" w14:textId="77777777" w:rsidR="00A41624" w:rsidRDefault="00A41624" w:rsidP="00A41624">
      <w:pPr>
        <w:pStyle w:val="Heading2"/>
      </w:pPr>
      <w:bookmarkStart w:id="63" w:name="_Toc310421756"/>
      <w:bookmarkStart w:id="64" w:name="_Ref316890631"/>
      <w:bookmarkStart w:id="65" w:name="_Toc316891072"/>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16891073"/>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16891074"/>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16891075"/>
      <w:r>
        <w:t>Actors</w:t>
      </w:r>
      <w:bookmarkEnd w:id="70"/>
      <w:bookmarkEnd w:id="71"/>
      <w:bookmarkEnd w:id="72"/>
    </w:p>
    <w:p w14:paraId="04C21EAC" w14:textId="77777777" w:rsidR="00A41624" w:rsidRDefault="00A41624" w:rsidP="00A41624">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16891076"/>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77777777"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 to fund tactics.  Unspent cash_on_hand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77777777" w:rsidR="00A41624" w:rsidRDefault="00A41624" w:rsidP="00A41624">
      <w:r>
        <w:t xml:space="preserve">At time 0, each actor starts with a particular amount of cash-on-hand and in reserve, and a starting income.  Each week the actor receives his income, and possibly also funding from other actors; this money appears in his cash-on-hand.  As part of his strategy, the actor may </w:t>
      </w:r>
      <w:r>
        <w:lastRenderedPageBreak/>
        <w:t>choose to spend his cash-on-hand, transfer a portion of it to or from his cash-reserve,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5" w:name="_Toc310421761"/>
      <w:bookmarkStart w:id="76" w:name="_Toc316891077"/>
      <w:r>
        <w:t>Assets: Personnel</w:t>
      </w:r>
      <w:bookmarkEnd w:id="75"/>
      <w:bookmarkEnd w:id="76"/>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7" w:name="_Toc310421762"/>
      <w:bookmarkStart w:id="78" w:name="_Toc316891078"/>
      <w:r>
        <w:t>Conditions</w:t>
      </w:r>
      <w:bookmarkEnd w:id="77"/>
      <w:bookmarkEnd w:id="78"/>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7777777" w:rsidR="00A41624" w:rsidRPr="000734E2" w:rsidRDefault="00A41624" w:rsidP="0005327A">
      <w:r>
        <w:t xml:space="preserve">The set of potential condition types is vast, and is expected to grow over time.  Those currently implemented by Athena are documented in detail in the </w:t>
      </w:r>
      <w:r>
        <w:rPr>
          <w:i/>
        </w:rPr>
        <w:t>Athena User’s Guide.</w:t>
      </w:r>
    </w:p>
    <w:p w14:paraId="1C64C9BC" w14:textId="77777777" w:rsidR="00A41624" w:rsidRDefault="00A41624" w:rsidP="00A41624">
      <w:pPr>
        <w:pStyle w:val="Heading3"/>
      </w:pPr>
      <w:bookmarkStart w:id="79" w:name="_Toc310421763"/>
      <w:bookmarkStart w:id="80" w:name="_Toc316891079"/>
      <w:r>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77777777" w:rsidR="00A41624" w:rsidRDefault="00A41624" w:rsidP="0005327A">
      <w:r>
        <w:t>A goal can represent either a state-of-affairs that the actor would like to bring about, or a state-of-affairs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1" w:name="_Toc310421764"/>
      <w:bookmarkStart w:id="82" w:name="_Toc316891080"/>
      <w:r>
        <w:t>Tactics</w:t>
      </w:r>
      <w:bookmarkEnd w:id="81"/>
      <w:bookmarkEnd w:id="82"/>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77777777" w:rsidR="00A41624" w:rsidRDefault="00A41624" w:rsidP="0005327A">
      <w:r>
        <w:t xml:space="preserve">Each tactic has a </w:t>
      </w:r>
      <w:r>
        <w:rPr>
          <w:i/>
        </w:rPr>
        <w:t>state</w:t>
      </w:r>
      <w:r>
        <w:t>, one or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16891081"/>
      <w:r>
        <w:t>Strategy Execution</w:t>
      </w:r>
      <w:bookmarkEnd w:id="83"/>
      <w:bookmarkEnd w:id="84"/>
    </w:p>
    <w:p w14:paraId="26A83694" w14:textId="77777777" w:rsidR="00A41624" w:rsidRDefault="00A41624" w:rsidP="0005327A">
      <w:r>
        <w:t>The actor's prioritized list of tactics represents his strategy for achieving his goals.  At each strategy tock, (nominally one week)</w:t>
      </w:r>
      <w:r>
        <w:rPr>
          <w:rStyle w:val="FootnoteReference"/>
          <w:rFonts w:eastAsia="Wingdings"/>
        </w:rPr>
        <w:footnoteReference w:id="6"/>
      </w:r>
      <w:r>
        <w:t>,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77777777" w:rsidR="00A41624" w:rsidRDefault="00A41624" w:rsidP="0005327A">
      <w:r>
        <w:t>This process is called strategy execution.  All agents execute their strategies at once, at the beginning of the week; the executed tactics actually play out over the course the week.</w:t>
      </w:r>
    </w:p>
    <w:p w14:paraId="0BB49814" w14:textId="77777777" w:rsidR="00A41624" w:rsidRDefault="00A41624" w:rsidP="00A41624">
      <w:pPr>
        <w:pStyle w:val="Heading4"/>
      </w:pPr>
      <w:bookmarkStart w:id="85" w:name="_Toc310421766"/>
      <w:bookmarkStart w:id="86" w:name="_Toc316891082"/>
      <w:r>
        <w:t>Working Data</w:t>
      </w:r>
      <w:bookmarkEnd w:id="85"/>
      <w:bookmarkEnd w:id="86"/>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16891083"/>
      <w:r>
        <w:lastRenderedPageBreak/>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16891084"/>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B80934">
      <w:pPr>
        <w:pStyle w:val="ListParagraph"/>
        <w:numPr>
          <w:ilvl w:val="0"/>
          <w:numId w:val="21"/>
        </w:numPr>
      </w:pPr>
    </w:p>
    <w:p w14:paraId="5C16E261" w14:textId="77777777" w:rsidR="00A41624" w:rsidRDefault="00A41624" w:rsidP="00C27347">
      <w:r>
        <w:t>This would allow the actor to pursue chains of goals, and to decide to pursue one goal in preference to another.  Note, though, that allowing goals to depend on whether other goals are met or unmet can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16891085"/>
      <w:r>
        <w:lastRenderedPageBreak/>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16891086"/>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77777777" w:rsidR="00502610" w:rsidRDefault="00502610" w:rsidP="00B80934">
      <w:pPr>
        <w:pStyle w:val="ListParagraph"/>
        <w:numPr>
          <w:ilvl w:val="0"/>
          <w:numId w:val="24"/>
        </w:numPr>
      </w:pPr>
      <w:r>
        <w:t>The circumstances under which control of a neighborhood shifts from one actor to another (or to or from no actor at all)</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16891087"/>
      <w:r>
        <w:t>Relationships and Affinity</w:t>
      </w:r>
      <w:bookmarkEnd w:id="96"/>
      <w:bookmarkEnd w:id="97"/>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like  </w:t>
      </w:r>
      <m:oMath>
        <m:r>
          <w:rPr>
            <w:rFonts w:ascii="Cambria Math" w:hAnsi="Cambria Math"/>
          </w:rPr>
          <m:t>-0.6≤X≤ +1.0</m:t>
        </m:r>
      </m:oMath>
      <w:r>
        <w:t>, though this is not a hard and fast rule.</w:t>
      </w:r>
    </w:p>
    <w:p w14:paraId="3AD34E0A" w14:textId="77777777" w:rsidR="0036543E" w:rsidRDefault="0036543E" w:rsidP="0036543E"/>
    <w:p w14:paraId="5C955511" w14:textId="77777777"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 and affinities.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16891088"/>
      <w:r>
        <w:lastRenderedPageBreak/>
        <w:t>Horizontal Relationships</w:t>
      </w:r>
      <w:bookmarkEnd w:id="98"/>
      <w:bookmarkEnd w:id="99"/>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0" w:name="_Toc310421773"/>
      <w:bookmarkStart w:id="101" w:name="_Toc316891089"/>
      <w:r>
        <w:t>Force and Organization Group Affinities</w:t>
      </w:r>
      <w:bookmarkEnd w:id="100"/>
      <w:bookmarkEnd w:id="101"/>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16891090"/>
      <w:r>
        <w:t>Computing Horizontal Relationships</w:t>
      </w:r>
      <w:bookmarkEnd w:id="102"/>
      <w:bookmarkEnd w:id="103"/>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B14A59"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4" w:name="_Ref174775754"/>
      <w:bookmarkStart w:id="105" w:name="_Toc310421775"/>
      <w:bookmarkStart w:id="106" w:name="_Toc316891091"/>
      <w:r>
        <w:t>Vertical Relationship</w:t>
      </w:r>
      <w:bookmarkEnd w:id="104"/>
      <w:r>
        <w:t>s</w:t>
      </w:r>
      <w:bookmarkEnd w:id="105"/>
      <w:bookmarkEnd w:id="106"/>
    </w:p>
    <w:p w14:paraId="33714C31"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or support for </w:t>
      </w:r>
      <w:r>
        <w:rPr>
          <w:i/>
        </w:rPr>
        <w:t>a</w:t>
      </w:r>
      <w:r>
        <w:t xml:space="preserve">; </w:t>
      </w:r>
      <w:r>
        <w:rPr>
          <w:i/>
        </w:rPr>
        <w:t>a’</w:t>
      </w:r>
      <w:r>
        <w:t xml:space="preserve">s opposition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w:t>
      </w:r>
      <w:r>
        <w:lastRenderedPageBreak/>
        <w:t xml:space="preserve">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7" w:name="_Toc310421776"/>
      <w:bookmarkStart w:id="108" w:name="_Toc316891092"/>
      <w:r w:rsidRPr="0081375D">
        <w:t>Force</w:t>
      </w:r>
      <w:r>
        <w:t xml:space="preserve"> and Organization Groups</w:t>
      </w:r>
      <w:bookmarkEnd w:id="107"/>
      <w:bookmarkEnd w:id="108"/>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B14A59"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09" w:name="_Ref310421674"/>
      <w:bookmarkStart w:id="110" w:name="_Toc310421777"/>
      <w:bookmarkStart w:id="111" w:name="_Toc316891093"/>
      <w:r>
        <w:t>V</w:t>
      </w:r>
      <w:r>
        <w:rPr>
          <w:vertAlign w:val="subscript"/>
        </w:rPr>
        <w:t>ga</w:t>
      </w:r>
      <w:r>
        <w:t xml:space="preserve"> at Time </w:t>
      </w:r>
      <w:r w:rsidRPr="003444D9">
        <w:t>t</w:t>
      </w:r>
      <w:bookmarkEnd w:id="109"/>
      <w:bookmarkEnd w:id="110"/>
      <w:bookmarkEnd w:id="111"/>
    </w:p>
    <w:p w14:paraId="47B20041" w14:textId="77777777" w:rsidR="00502610" w:rsidRDefault="00502610" w:rsidP="0036543E">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B14A59"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r>
        <w:t xml:space="preserve">where </w:t>
      </w:r>
    </w:p>
    <w:p w14:paraId="72A0204F" w14:textId="77777777" w:rsidR="00502610" w:rsidRDefault="00502610" w:rsidP="00502610"/>
    <w:p w14:paraId="04047CC0" w14:textId="77777777" w:rsidR="00502610" w:rsidRPr="00DE78EF" w:rsidRDefault="00B14A59"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r w:rsidR="00502610">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B14A59"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r>
        <w:t xml:space="preserve">Note that the symbols listed above depend implicitly on </w:t>
      </w:r>
      <w:r>
        <w:rPr>
          <w:i/>
        </w:rPr>
        <w:t>g</w:t>
      </w:r>
      <w:r>
        <w:t xml:space="preserve"> and </w:t>
      </w:r>
      <w:r>
        <w:rPr>
          <w:i/>
        </w:rPr>
        <w:t>a</w:t>
      </w:r>
      <w:r>
        <w:t>.</w:t>
      </w:r>
    </w:p>
    <w:p w14:paraId="3BC2F735" w14:textId="77777777" w:rsidR="00AD49A6" w:rsidRPr="004C5F9B" w:rsidRDefault="00AD49A6" w:rsidP="00AD49A6"/>
    <w:p w14:paraId="3FD924DB" w14:textId="77777777" w:rsidR="00502610" w:rsidRDefault="00502610" w:rsidP="00AD49A6">
      <w:r>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2" w:name="_Ref162337101"/>
      <w:bookmarkStart w:id="113" w:name="_Toc310421778"/>
      <w:bookmarkStart w:id="114" w:name="_Toc316891094"/>
      <w:r>
        <w:t>Magnitudes and the Scale Function</w:t>
      </w:r>
      <w:bookmarkEnd w:id="112"/>
      <w:bookmarkEnd w:id="113"/>
      <w:bookmarkEnd w:id="114"/>
    </w:p>
    <w:p w14:paraId="68A145C0" w14:textId="77777777" w:rsidR="00502610" w:rsidRDefault="00502610" w:rsidP="00AD49A6">
      <w:r>
        <w:t>Several of the rules in the following sections make use of magnitude symbols: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1D79EC">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1" w:type="pct"/>
          </w:tcPr>
          <w:p w14:paraId="26BE7539" w14:textId="77777777" w:rsidR="00502610" w:rsidRDefault="00502610" w:rsidP="001D79EC">
            <w:r>
              <w:t>XXXS–</w:t>
            </w:r>
          </w:p>
        </w:tc>
      </w:tr>
      <w:tr w:rsidR="00502610" w14:paraId="4A73F0FB" w14:textId="77777777" w:rsidTr="001D79EC">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1" w:type="pct"/>
          </w:tcPr>
          <w:p w14:paraId="1A4E5733" w14:textId="77777777" w:rsidR="00502610" w:rsidRDefault="00502610" w:rsidP="001D79EC">
            <w:r>
              <w:t>-1.0</w:t>
            </w:r>
          </w:p>
        </w:tc>
      </w:tr>
      <w:tr w:rsidR="00502610" w14:paraId="2F69A1EE" w14:textId="77777777" w:rsidTr="001D79EC">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1" w:type="pct"/>
          </w:tcPr>
          <w:p w14:paraId="53098614" w14:textId="77777777" w:rsidR="00502610" w:rsidRDefault="00502610" w:rsidP="001D79EC">
            <w:r>
              <w:t>XXXXL+</w:t>
            </w:r>
          </w:p>
        </w:tc>
      </w:tr>
      <w:tr w:rsidR="00502610" w14:paraId="76F76363" w14:textId="77777777" w:rsidTr="001D79EC">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1"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5" w:name="_Toc310421779"/>
      <w:bookmarkStart w:id="116" w:name="_Toc316891095"/>
      <w:r>
        <w:t>The Base Vertical Relationship, BV</w:t>
      </w:r>
      <w:r>
        <w:rPr>
          <w:vertAlign w:val="subscript"/>
        </w:rPr>
        <w:t>ga</w:t>
      </w:r>
      <w:bookmarkEnd w:id="115"/>
      <w:bookmarkEnd w:id="116"/>
    </w:p>
    <w:p w14:paraId="65599D75" w14:textId="77777777" w:rsidR="00502610" w:rsidRDefault="00502610" w:rsidP="00D56613">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B14A59"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B14A59"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14:paraId="2D9F4AE5" w14:textId="77777777" w:rsidR="00502610" w:rsidRDefault="00502610" w:rsidP="00502610"/>
    <w:p w14:paraId="530905C3" w14:textId="77777777" w:rsidR="00502610" w:rsidRDefault="00502610" w:rsidP="00D56613">
      <w:r>
        <w:t>where</w:t>
      </w:r>
    </w:p>
    <w:p w14:paraId="1C2EEA20" w14:textId="77777777" w:rsidR="00502610" w:rsidRPr="00DE78EF" w:rsidRDefault="00B14A59"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B14A59"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B14A59"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77777777" w:rsidR="00502610" w:rsidRPr="00CC2304" w:rsidRDefault="00502610" w:rsidP="001D79EC">
            <w:r>
              <w:t>(was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7" w:name="_Toc310421780"/>
      <w:bookmarkStart w:id="118" w:name="_Toc316891096"/>
      <w:r>
        <w:t>Computing ∆V</w:t>
      </w:r>
      <w:r>
        <w:rPr>
          <w:vertAlign w:val="subscript"/>
        </w:rPr>
        <w:t>mood</w:t>
      </w:r>
      <w:bookmarkEnd w:id="117"/>
      <w:bookmarkEnd w:id="118"/>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0B60E3" w:rsidRDefault="00502610" w:rsidP="001D79EC">
            <w:r>
              <w:t xml:space="preserve">Group </w:t>
            </w:r>
            <w:r>
              <w:rPr>
                <w:i/>
              </w:rPr>
              <w:t>g</w:t>
            </w:r>
            <w:r>
              <w:t>’s m</w:t>
            </w:r>
            <w:r w:rsidRPr="000B60E3">
              <w:t>ood</w:t>
            </w:r>
            <w:r>
              <w:t xml:space="preserve"> is:</w:t>
            </w:r>
          </w:p>
        </w:tc>
        <w:tc>
          <w:tcPr>
            <w:tcW w:w="2340" w:type="dxa"/>
          </w:tcPr>
          <w:p w14:paraId="22B48B96" w14:textId="77777777" w:rsidR="00502610" w:rsidRPr="000B60E3" w:rsidRDefault="00502610" w:rsidP="001D79EC">
            <w:r w:rsidRPr="000B60E3">
              <w:t xml:space="preserve">Actor </w:t>
            </w:r>
            <w:r w:rsidRPr="000B60E3">
              <w:rPr>
                <w:i/>
              </w:rPr>
              <w:t>a</w:t>
            </w:r>
            <w:r w:rsidRPr="000B60E3">
              <w:t xml:space="preserve"> is in control</w:t>
            </w:r>
          </w:p>
        </w:tc>
        <w:tc>
          <w:tcPr>
            <w:tcW w:w="2718" w:type="dxa"/>
          </w:tcPr>
          <w:p w14:paraId="035BC16D" w14:textId="77777777" w:rsidR="00502610" w:rsidRPr="000B60E3" w:rsidRDefault="00502610" w:rsidP="001D79EC">
            <w:r w:rsidRPr="000B60E3">
              <w:t xml:space="preserve">Actor </w:t>
            </w:r>
            <w:r w:rsidRPr="000B60E3">
              <w:rPr>
                <w:i/>
              </w:rPr>
              <w:t>a</w:t>
            </w:r>
            <w:r w:rsidRPr="000B60E3">
              <w:t xml:space="preserve"> is not in control</w:t>
            </w:r>
          </w:p>
        </w:tc>
      </w:tr>
      <w:tr w:rsidR="00502610" w14:paraId="09ECDB34" w14:textId="77777777" w:rsidTr="001D79EC">
        <w:trPr>
          <w:cantSplit/>
        </w:trPr>
        <w:tc>
          <w:tcPr>
            <w:tcW w:w="4878" w:type="dxa"/>
          </w:tcPr>
          <w:p w14:paraId="25A15FBF" w14:textId="77777777" w:rsidR="00502610" w:rsidRDefault="00502610" w:rsidP="001D79EC">
            <w:r>
              <w:t>Much worse than at the last change of control:</w:t>
            </w:r>
          </w:p>
          <w:p w14:paraId="3AE2E3CD" w14:textId="77777777" w:rsidR="00502610" w:rsidRDefault="00B14A59" w:rsidP="00835EBB">
            <w:pPr>
              <w:ind w:left="360"/>
              <w:rPr>
                <w:lang w:bidi="ar-S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≤-30</m:t>
                </m:r>
              </m:oMath>
            </m:oMathPara>
          </w:p>
        </w:tc>
        <w:tc>
          <w:tcPr>
            <w:tcW w:w="2340" w:type="dxa"/>
          </w:tcPr>
          <w:p w14:paraId="2D49F8E7" w14:textId="77777777" w:rsidR="00502610" w:rsidRDefault="00502610" w:rsidP="00835EBB">
            <w:pPr>
              <w:jc w:val="center"/>
              <w:rPr>
                <w:ins w:id="119" w:author="Bob Chamberlain" w:date="2011-08-16T15:57:00Z"/>
              </w:rPr>
            </w:pPr>
          </w:p>
          <w:p w14:paraId="09DE900F" w14:textId="77777777" w:rsidR="00502610" w:rsidRDefault="00502610" w:rsidP="00835EBB">
            <w:pPr>
              <w:jc w:val="center"/>
            </w:pPr>
            <w:r>
              <w:t>XL–</w:t>
            </w:r>
          </w:p>
        </w:tc>
        <w:tc>
          <w:tcPr>
            <w:tcW w:w="2718" w:type="dxa"/>
          </w:tcPr>
          <w:p w14:paraId="3A4956A2" w14:textId="77777777" w:rsidR="00502610" w:rsidRDefault="00502610" w:rsidP="00835EBB">
            <w:pPr>
              <w:jc w:val="center"/>
              <w:rPr>
                <w:ins w:id="120" w:author="Bob Chamberlain" w:date="2011-08-16T15:57:00Z"/>
              </w:rPr>
            </w:pPr>
          </w:p>
          <w:p w14:paraId="2A8D4DC2" w14:textId="77777777" w:rsidR="00502610" w:rsidRDefault="00502610" w:rsidP="00835EBB">
            <w:pPr>
              <w:jc w:val="center"/>
            </w:pPr>
            <w:r>
              <w:t>M+</w:t>
            </w:r>
          </w:p>
        </w:tc>
      </w:tr>
      <w:tr w:rsidR="00502610" w14:paraId="5161AB4D" w14:textId="77777777" w:rsidTr="001D79EC">
        <w:trPr>
          <w:cantSplit/>
        </w:trPr>
        <w:tc>
          <w:tcPr>
            <w:tcW w:w="4878" w:type="dxa"/>
          </w:tcPr>
          <w:p w14:paraId="5EA2178E" w14:textId="77777777" w:rsidR="00502610" w:rsidRDefault="00502610" w:rsidP="001D79EC">
            <w:r>
              <w:t>About the same as at the last change of control:</w:t>
            </w:r>
          </w:p>
          <w:p w14:paraId="0B6E8F3C" w14:textId="77777777" w:rsidR="00502610" w:rsidRDefault="00B14A59" w:rsidP="00835EBB">
            <w:pPr>
              <w:ind w:left="360"/>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&lt;30</m:t>
                </m:r>
              </m:oMath>
            </m:oMathPara>
          </w:p>
        </w:tc>
        <w:tc>
          <w:tcPr>
            <w:tcW w:w="2340" w:type="dxa"/>
          </w:tcPr>
          <w:p w14:paraId="2B79B2CF" w14:textId="77777777" w:rsidR="00502610" w:rsidRDefault="00502610" w:rsidP="00835EBB">
            <w:pPr>
              <w:jc w:val="center"/>
              <w:rPr>
                <w:ins w:id="121" w:author="Bob Chamberlain" w:date="2011-08-16T15:57:00Z"/>
              </w:rPr>
            </w:pPr>
          </w:p>
          <w:p w14:paraId="76CD8A02" w14:textId="77777777" w:rsidR="00502610" w:rsidRDefault="00502610" w:rsidP="00835EBB">
            <w:pPr>
              <w:jc w:val="center"/>
            </w:pPr>
            <w:r>
              <w:t>0</w:t>
            </w:r>
          </w:p>
        </w:tc>
        <w:tc>
          <w:tcPr>
            <w:tcW w:w="2718" w:type="dxa"/>
          </w:tcPr>
          <w:p w14:paraId="463474A0" w14:textId="77777777" w:rsidR="00502610" w:rsidRDefault="00502610" w:rsidP="00835EBB">
            <w:pPr>
              <w:jc w:val="center"/>
              <w:rPr>
                <w:ins w:id="122" w:author="Bob Chamberlain" w:date="2011-08-16T15:57:00Z"/>
              </w:rPr>
            </w:pPr>
          </w:p>
          <w:p w14:paraId="656AE861" w14:textId="77777777" w:rsidR="00502610" w:rsidRDefault="00502610" w:rsidP="00835EBB">
            <w:pPr>
              <w:jc w:val="center"/>
            </w:pPr>
            <w:r>
              <w:t>0</w:t>
            </w:r>
          </w:p>
        </w:tc>
      </w:tr>
      <w:tr w:rsidR="00502610" w14:paraId="49ED68D1" w14:textId="77777777" w:rsidTr="001D79EC">
        <w:trPr>
          <w:cantSplit/>
        </w:trPr>
        <w:tc>
          <w:tcPr>
            <w:tcW w:w="4878" w:type="dxa"/>
          </w:tcPr>
          <w:p w14:paraId="2AF58F8D" w14:textId="77777777" w:rsidR="00502610" w:rsidRDefault="00502610" w:rsidP="001D79EC">
            <w:r>
              <w:t>Much better than at the last change of control:</w:t>
            </w:r>
          </w:p>
          <w:p w14:paraId="2990E140" w14:textId="77777777" w:rsidR="00502610" w:rsidRDefault="00B14A59" w:rsidP="00835EBB">
            <w:pPr>
              <w:ind w:left="360"/>
              <w:rPr>
                <w:lang w:bidi="ar-SA"/>
              </w:rPr>
            </w:pPr>
            <m:oMathPara>
              <m:oMath>
                <m:sSub>
                  <m:sSubPr>
                    <m:ctrlPr>
                      <w:rPr>
                        <w:rFonts w:ascii="Cambria Math" w:hAnsi="Cambria Math"/>
                      </w:rPr>
                    </m:ctrlPr>
                  </m:sSubPr>
                  <m:e>
                    <m:r>
                      <m:rPr>
                        <m:sty m:val="p"/>
                      </m:rPr>
                      <w:rPr>
                        <w:rFonts w:ascii="Cambria Math" w:hAnsi="Cambria Math"/>
                      </w:rPr>
                      <m:t>30&lt;</m:t>
                    </m:r>
                    <m:r>
                      <w:rPr>
                        <w:rFonts w:ascii="Cambria Math" w:hAnsi="Cambria Math"/>
                      </w:rPr>
                      <m:t>S</m:t>
                    </m:r>
                  </m:e>
                  <m:sub>
                    <m:r>
                      <w:rPr>
                        <w:rFonts w:ascii="Cambria Math" w:hAnsi="Cambria Math"/>
                      </w:rPr>
                      <m:t>g</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tc>
        <w:tc>
          <w:tcPr>
            <w:tcW w:w="2340" w:type="dxa"/>
          </w:tcPr>
          <w:p w14:paraId="361E239A" w14:textId="77777777" w:rsidR="00502610" w:rsidRDefault="00502610" w:rsidP="00835EBB">
            <w:pPr>
              <w:jc w:val="center"/>
              <w:rPr>
                <w:ins w:id="123" w:author="Bob Chamberlain" w:date="2011-08-16T15:57:00Z"/>
              </w:rPr>
            </w:pPr>
          </w:p>
          <w:p w14:paraId="3D488C22" w14:textId="77777777" w:rsidR="00502610" w:rsidRDefault="00502610" w:rsidP="00835EBB">
            <w:pPr>
              <w:jc w:val="center"/>
            </w:pPr>
            <w:r>
              <w:t>XL+</w:t>
            </w:r>
          </w:p>
        </w:tc>
        <w:tc>
          <w:tcPr>
            <w:tcW w:w="2718" w:type="dxa"/>
          </w:tcPr>
          <w:p w14:paraId="2334CF3E" w14:textId="77777777" w:rsidR="00502610" w:rsidRDefault="00502610" w:rsidP="00835EBB">
            <w:pPr>
              <w:jc w:val="center"/>
              <w:rPr>
                <w:ins w:id="124" w:author="Bob Chamberlain" w:date="2011-08-16T15:57:00Z"/>
              </w:rPr>
            </w:pPr>
          </w:p>
          <w:p w14:paraId="3BFF3DAA" w14:textId="77777777" w:rsidR="00502610" w:rsidRDefault="00502610" w:rsidP="00835EBB">
            <w:pPr>
              <w:jc w:val="center"/>
            </w:pPr>
            <w: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25" w:name="_Toc310421781"/>
      <w:bookmarkStart w:id="126" w:name="_Toc316891097"/>
      <w:r>
        <w:t>Computing ∆V</w:t>
      </w:r>
      <w:r>
        <w:rPr>
          <w:vertAlign w:val="subscript"/>
        </w:rPr>
        <w:t>eni</w:t>
      </w:r>
      <w:bookmarkEnd w:id="125"/>
      <w:bookmarkEnd w:id="126"/>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7" w:name="_Toc310421782"/>
      <w:bookmarkStart w:id="128" w:name="_Toc316891098"/>
      <w:r>
        <w:t>Computing ∆V</w:t>
      </w:r>
      <w:r>
        <w:rPr>
          <w:vertAlign w:val="subscript"/>
        </w:rPr>
        <w:t>beliefs</w:t>
      </w:r>
      <w:bookmarkEnd w:id="127"/>
      <w:bookmarkEnd w:id="128"/>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9" w:name="_Toc310421783"/>
      <w:bookmarkStart w:id="130" w:name="_Toc316891099"/>
      <w:r>
        <w:t>Computing ∆V</w:t>
      </w:r>
      <w:r>
        <w:rPr>
          <w:vertAlign w:val="subscript"/>
        </w:rPr>
        <w:t>tactics</w:t>
      </w:r>
      <w:bookmarkEnd w:id="129"/>
      <w:bookmarkEnd w:id="130"/>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31" w:name="_Toc310421784"/>
      <w:bookmarkStart w:id="132" w:name="_Toc316891100"/>
      <w:r>
        <w:lastRenderedPageBreak/>
        <w:t>Actor Support and Influence</w:t>
      </w:r>
      <w:bookmarkEnd w:id="131"/>
      <w:bookmarkEnd w:id="132"/>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33" w:name="_Toc310421785"/>
      <w:bookmarkStart w:id="134" w:name="_Toc316891101"/>
      <w:r>
        <w:t>Direct vs. Derived Support</w:t>
      </w:r>
      <w:bookmarkEnd w:id="133"/>
      <w:bookmarkEnd w:id="134"/>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35" w:name="_Toc310421786"/>
      <w:bookmarkStart w:id="136" w:name="_Toc316891102"/>
      <w:r>
        <w:t>Direct Support</w:t>
      </w:r>
      <w:bookmarkEnd w:id="135"/>
      <w:bookmarkEnd w:id="136"/>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B14A59"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B14A59"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B14A5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B14A5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B14A5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B14A5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7"/>
      </w:r>
    </w:p>
    <w:p w14:paraId="2964F2FE" w14:textId="77777777" w:rsidR="00502610" w:rsidRDefault="00B14A59"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 </w:t>
      </w:r>
      <w:r>
        <w:lastRenderedPageBreak/>
        <w:t xml:space="preserve">number </w:t>
      </w:r>
      <m:oMath>
        <m:r>
          <w:rPr>
            <w:rFonts w:ascii="Cambria Math" w:hAnsi="Cambria Math"/>
          </w:rPr>
          <m:t>-100.0≤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B14A59"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8"/>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7" w:name="_Toc310421787"/>
      <w:bookmarkStart w:id="138" w:name="_Toc316891103"/>
      <w:r>
        <w:t>Derived Support</w:t>
      </w:r>
      <w:bookmarkEnd w:id="137"/>
      <w:bookmarkEnd w:id="138"/>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doesn’t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9"/>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9" w:name="_Toc310421788"/>
      <w:bookmarkStart w:id="140" w:name="_Toc316891104"/>
      <w:r>
        <w:t>Total Support</w:t>
      </w:r>
      <w:bookmarkEnd w:id="139"/>
      <w:bookmarkEnd w:id="140"/>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B14A59"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41" w:name="_Toc310421789"/>
      <w:bookmarkStart w:id="142" w:name="_Toc316891105"/>
      <w:r>
        <w:t>Influence</w:t>
      </w:r>
      <w:bookmarkEnd w:id="141"/>
      <w:bookmarkEnd w:id="142"/>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0"/>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B14A59"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43" w:name="_Toc310421790"/>
      <w:bookmarkStart w:id="144" w:name="_Toc316891106"/>
      <w:r>
        <w:lastRenderedPageBreak/>
        <w:t>Control of a Neighborhood</w:t>
      </w:r>
      <w:bookmarkEnd w:id="143"/>
      <w:bookmarkEnd w:id="144"/>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when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2"/>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then a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b:</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m:t>
            </m:r>
            <m:r>
              <w:rPr>
                <w:rFonts w:ascii="Cambria Math" w:hAnsi="Cambria Math"/>
              </w:rPr>
              <m:t>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45" w:name="_Toc310421791"/>
      <w:bookmarkStart w:id="146" w:name="_Toc316891107"/>
      <w:r>
        <w:t>When Control Shifts</w:t>
      </w:r>
      <w:bookmarkEnd w:id="145"/>
      <w:bookmarkEnd w:id="146"/>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7777777" w:rsidR="001D79EC" w:rsidRDefault="001D79EC" w:rsidP="00B147AC"/>
    <w:p w14:paraId="6D10CBF5" w14:textId="77777777" w:rsidR="001D79EC" w:rsidRDefault="001D79EC" w:rsidP="001D79EC">
      <w:pPr>
        <w:pStyle w:val="Heading2"/>
      </w:pPr>
      <w:bookmarkStart w:id="147" w:name="_Toc310421792"/>
      <w:bookmarkStart w:id="148" w:name="_Toc316891108"/>
      <w:r>
        <w:lastRenderedPageBreak/>
        <w:t>Force Analysis</w:t>
      </w:r>
      <w:bookmarkEnd w:id="147"/>
      <w:bookmarkEnd w:id="148"/>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9" w:name="_Toc310421793"/>
      <w:bookmarkStart w:id="150" w:name="_Toc316891109"/>
      <w:r>
        <w:t>Measuring Force</w:t>
      </w:r>
      <w:bookmarkEnd w:id="149"/>
      <w:bookmarkEnd w:id="150"/>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n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B14A59"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The force multiplier for group g in neighborhood n.  This value is defined differently for civilian groups than other groups.</w:t>
      </w:r>
    </w:p>
    <w:p w14:paraId="1D9B245D" w14:textId="77777777" w:rsidR="001D79EC" w:rsidRDefault="00B14A59"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The number of group g's personnel that are present in neighborhood n.</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7777777" w:rsidR="001D79EC" w:rsidRDefault="001D79EC" w:rsidP="001D79EC">
      <w:r>
        <w:t xml:space="preserve">Here, </w:t>
      </w:r>
      <w:r>
        <w:rPr>
          <w:i/>
          <w:iCs/>
        </w:rPr>
        <w:t>a</w:t>
      </w:r>
      <w:r>
        <w:t xml:space="preserve"> is a multiplier, nominally 0.1, which reflects that only a small fraction of the population will be available to participate in a fracas at any given time.</w:t>
      </w:r>
      <w:r>
        <w:rPr>
          <w:rStyle w:val="FootnoteReference"/>
          <w:rFonts w:eastAsia="Wingdings"/>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B14A59"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6"/>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B14A59" w:rsidP="001D79EC">
            <w:pPr>
              <w:rPr>
                <w:color w:val="FFFFFF"/>
              </w:rPr>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7"/>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B14A5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B14A5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B14A59"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B14A59"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51" w:name="_Toc310421794"/>
      <w:bookmarkStart w:id="152" w:name="_Toc316891110"/>
      <w:r>
        <w:t>Volatility</w:t>
      </w:r>
      <w:bookmarkEnd w:id="151"/>
      <w:bookmarkEnd w:id="152"/>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B14A59"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B14A59"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B14A59"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53" w:name="_Toc310421795"/>
      <w:bookmarkStart w:id="154" w:name="_Toc316891111"/>
      <w:r>
        <w:t>Security</w:t>
      </w:r>
      <w:bookmarkEnd w:id="153"/>
      <w:bookmarkEnd w:id="154"/>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B14A59"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77777777" w:rsidR="001D79EC" w:rsidRDefault="001D79EC" w:rsidP="006173CD">
      <w:r>
        <w:t xml:space="preserve">where </w:t>
      </w:r>
      <w:r>
        <w:rPr>
          <w:i/>
          <w:iCs/>
        </w:rPr>
        <w:t>v</w:t>
      </w:r>
      <w:r>
        <w:t xml:space="preserve"> is the volatility scaling factor, nominal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B14A5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B14A5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B14A5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B14A5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5" w:name="__RefHeading__30424212"/>
      <w:bookmarkStart w:id="156" w:name="_Toc310421796"/>
      <w:bookmarkStart w:id="157" w:name="_Toc316891112"/>
      <w:r>
        <w:lastRenderedPageBreak/>
        <w:t>Effects of Unit Activities</w:t>
      </w:r>
      <w:bookmarkEnd w:id="155"/>
      <w:bookmarkEnd w:id="156"/>
      <w:bookmarkEnd w:id="157"/>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8" w:name="__RefHeading__35223422"/>
      <w:bookmarkStart w:id="159" w:name="_Toc310421797"/>
      <w:bookmarkStart w:id="160" w:name="_Toc316891113"/>
      <w:r>
        <w:t>Force Presence and Activities</w:t>
      </w:r>
      <w:bookmarkEnd w:id="158"/>
      <w:bookmarkEnd w:id="159"/>
      <w:bookmarkEnd w:id="160"/>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0"/>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1"/>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1342B4" w:rsidRDefault="001342B4"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1342B4" w:rsidRDefault="001342B4"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1342B4" w:rsidRDefault="001342B4" w:rsidP="00392218"/>
                            <w:p w14:paraId="5C39A1A7" w14:textId="77777777" w:rsidR="001342B4" w:rsidRDefault="001342B4"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1342B4" w:rsidRDefault="001342B4"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1342B4" w:rsidRDefault="001342B4"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1342B4" w:rsidRDefault="001342B4"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1342B4" w:rsidRDefault="001342B4"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1342B4" w:rsidRDefault="001342B4"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1342B4" w:rsidRDefault="001342B4" w:rsidP="00392218"/>
                      <w:p w14:paraId="5C39A1A7" w14:textId="77777777" w:rsidR="001342B4" w:rsidRDefault="001342B4"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1342B4" w:rsidRDefault="001342B4"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1342B4" w:rsidRDefault="001342B4"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1342B4" w:rsidRDefault="001342B4"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1342B4" w:rsidRDefault="001342B4"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1342B4" w:rsidRDefault="001342B4"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B14A59"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B14A59"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61" w:name="_Toc310421798"/>
      <w:bookmarkStart w:id="162" w:name="_Toc316891114"/>
      <w:r>
        <w:t>Organization Activities</w:t>
      </w:r>
      <w:bookmarkEnd w:id="161"/>
      <w:bookmarkEnd w:id="162"/>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2"/>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63" w:name="_Toc310421799"/>
      <w:bookmarkStart w:id="164" w:name="_Toc316891115"/>
      <w:r>
        <w:t>Civilian Activities</w:t>
      </w:r>
      <w:bookmarkEnd w:id="163"/>
      <w:bookmarkEnd w:id="164"/>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5" w:name="_Toc310421800"/>
      <w:bookmarkStart w:id="166" w:name="_Toc316891116"/>
      <w:r>
        <w:t>Activity Situations</w:t>
      </w:r>
      <w:bookmarkEnd w:id="165"/>
      <w:bookmarkEnd w:id="166"/>
    </w:p>
    <w:p w14:paraId="6007159E"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Athena Rules Document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7" w:name="_Ref310324877"/>
      <w:bookmarkStart w:id="168" w:name="_Toc310421801"/>
      <w:bookmarkStart w:id="169" w:name="_Toc316891117"/>
      <w:r>
        <w:lastRenderedPageBreak/>
        <w:t>Environmental Situations</w:t>
      </w:r>
      <w:bookmarkEnd w:id="167"/>
      <w:bookmarkEnd w:id="168"/>
      <w:bookmarkEnd w:id="169"/>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70" w:name="_Ref310246902"/>
      <w:bookmarkStart w:id="171" w:name="_Ref310247782"/>
      <w:bookmarkStart w:id="172" w:name="_Toc310421802"/>
      <w:bookmarkStart w:id="173" w:name="_Toc316891118"/>
      <w:r>
        <w:lastRenderedPageBreak/>
        <w:t>Services</w:t>
      </w:r>
      <w:bookmarkEnd w:id="170"/>
      <w:bookmarkEnd w:id="171"/>
      <w:bookmarkEnd w:id="172"/>
      <w:bookmarkEnd w:id="173"/>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74" w:name="_Toc310421803"/>
      <w:bookmarkStart w:id="175" w:name="_Toc316891119"/>
      <w:r>
        <w:t>Overview</w:t>
      </w:r>
      <w:bookmarkEnd w:id="174"/>
      <w:bookmarkEnd w:id="175"/>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6" w:name="_Toc310421804"/>
      <w:bookmarkStart w:id="177" w:name="_Toc316891120"/>
      <w:r>
        <w:t>Services vs. Environmental Situations</w:t>
      </w:r>
      <w:bookmarkEnd w:id="176"/>
      <w:bookmarkEnd w:id="177"/>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D9006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77777777" w:rsidR="00B75001" w:rsidRDefault="00B75001" w:rsidP="00B75001">
      <w:r>
        <w:t>Consequently, we have developed the notion of a provided service.  Actors may be directly responsible for providing the service, or may indirectly facilitate provision of the service.</w:t>
      </w:r>
    </w:p>
    <w:p w14:paraId="52A33562" w14:textId="77777777" w:rsidR="00B75001" w:rsidRDefault="00B75001" w:rsidP="00B75001">
      <w:pPr>
        <w:pStyle w:val="Heading4"/>
      </w:pPr>
      <w:bookmarkStart w:id="178" w:name="_Toc310421805"/>
      <w:bookmarkStart w:id="179" w:name="_Toc316891121"/>
      <w:r>
        <w:t>Levels of Service</w:t>
      </w:r>
      <w:bookmarkEnd w:id="178"/>
      <w:bookmarkEnd w:id="179"/>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lastRenderedPageBreak/>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80" w:name="_Ref310415360"/>
      <w:bookmarkStart w:id="181" w:name="_Toc310421806"/>
      <w:bookmarkStart w:id="182" w:name="_Toc316891122"/>
      <w:r>
        <w:t>Service Cases</w:t>
      </w:r>
      <w:bookmarkEnd w:id="180"/>
      <w:bookmarkEnd w:id="181"/>
      <w:bookmarkEnd w:id="182"/>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83" w:name="_Ref310327255"/>
      <w:bookmarkStart w:id="184" w:name="_Toc310421807"/>
      <w:bookmarkStart w:id="185" w:name="_Toc316891123"/>
      <w:r>
        <w:lastRenderedPageBreak/>
        <w:t>Essential Non-Infrastructure (ENI) Services</w:t>
      </w:r>
      <w:bookmarkEnd w:id="183"/>
      <w:bookmarkEnd w:id="184"/>
      <w:bookmarkEnd w:id="185"/>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3"/>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6" w:name="_Toc310421808"/>
      <w:bookmarkStart w:id="187" w:name="_Toc316891124"/>
      <w:r>
        <w:t>Service vs. Funding</w:t>
      </w:r>
      <w:bookmarkEnd w:id="186"/>
      <w:bookmarkEnd w:id="187"/>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B14A59"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B14A5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B14A5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B14A5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B14A59"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4"/>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Pr>
          <w:b/>
        </w:rPr>
        <w:t>ISOLATED</w:t>
      </w:r>
      <w:r>
        <w:t xml:space="preserve">, </w:t>
      </w:r>
      <w:r>
        <w:rPr>
          <w:b/>
        </w:rPr>
        <w:t>RURAL</w:t>
      </w:r>
      <w:r>
        <w:t xml:space="preserve">, </w:t>
      </w:r>
      <w:r>
        <w:rPr>
          <w:b/>
        </w:rPr>
        <w:t>SUBURBAN</w:t>
      </w:r>
      <w:r>
        <w:t xml:space="preserve">, or </w:t>
      </w:r>
      <w:r>
        <w:rPr>
          <w:b/>
        </w:rPr>
        <w:t>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B14A59"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B14A59"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B14A59"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5"/>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B14A59"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Note that very large funding levels can be expected (in the real world) to show diminishing returns; the model can be modified 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8" w:name="_Toc310421809"/>
      <w:bookmarkStart w:id="189" w:name="_Toc316891125"/>
      <w:r>
        <w:t>Funding by Individual Actors</w:t>
      </w:r>
      <w:bookmarkEnd w:id="188"/>
      <w:bookmarkEnd w:id="189"/>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6"/>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B14A59"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B14A5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90" w:name="_Toc310421810"/>
      <w:bookmarkStart w:id="191" w:name="_Toc316891126"/>
      <w:r>
        <w:t>Expected Level of Service</w:t>
      </w:r>
      <w:bookmarkEnd w:id="190"/>
      <w:bookmarkEnd w:id="191"/>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B14A59"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B14A5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B14A59"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B14A5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7"/>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92" w:name="_Toc310421811"/>
      <w:bookmarkStart w:id="193" w:name="_Toc316891127"/>
      <w:r>
        <w:t>Satisfaction Effects</w:t>
      </w:r>
      <w:bookmarkEnd w:id="192"/>
      <w:bookmarkEnd w:id="193"/>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94" w:name="_Toc310421812"/>
      <w:bookmarkStart w:id="195" w:name="_Toc316891128"/>
      <w:r>
        <w:lastRenderedPageBreak/>
        <w:t xml:space="preserve">The </w:t>
      </w:r>
      <w:r w:rsidRPr="00A4698B">
        <w:t>Needs</w:t>
      </w:r>
      <w:r>
        <w:t xml:space="preserve"> Factor</w:t>
      </w:r>
      <w:bookmarkEnd w:id="194"/>
      <w:bookmarkEnd w:id="195"/>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77777777" w:rsidR="00B75001" w:rsidRDefault="00B75001" w:rsidP="00A4698B">
      <w:pPr>
        <w:jc w:val="center"/>
      </w:pPr>
      <w:r>
        <w:rPr>
          <w:noProof/>
        </w:rPr>
        <w:drawing>
          <wp:inline distT="0" distB="0" distL="0" distR="0" wp14:anchorId="38F5AFF9" wp14:editId="446CA8EA">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2">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B14A59"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B14A5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B14A5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28"/>
      </w:r>
    </w:p>
    <w:p w14:paraId="2480511D" w14:textId="77777777" w:rsidR="00B75001" w:rsidRDefault="00B14A5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29"/>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B14A59"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14:paraId="23A5F1F2"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3D5A5FA"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64D1E26"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14:paraId="578A3F5E"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77777777" w:rsidR="00B75001" w:rsidRDefault="00B75001" w:rsidP="00A4698B">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6" w:name="_Toc310421813"/>
      <w:bookmarkStart w:id="197" w:name="_Toc316891129"/>
      <w:r>
        <w:t>The Expectations Factor</w:t>
      </w:r>
      <w:bookmarkEnd w:id="196"/>
      <w:bookmarkEnd w:id="197"/>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B14A59"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B14A59"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B14A5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B14A5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B14A5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0"/>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8" w:name="_Ref310342819"/>
      <w:bookmarkStart w:id="199" w:name="_Toc310421814"/>
      <w:bookmarkStart w:id="200" w:name="_Toc316891130"/>
      <w:r>
        <w:t>Vertical Relationship</w:t>
      </w:r>
      <w:bookmarkEnd w:id="198"/>
      <w:r>
        <w:t xml:space="preserve"> Effects</w:t>
      </w:r>
      <w:bookmarkEnd w:id="199"/>
      <w:bookmarkEnd w:id="200"/>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201" w:name="_Toc310421815"/>
      <w:bookmarkStart w:id="202" w:name="_Toc316891131"/>
      <w:r>
        <w:t>Categorize the Actual Level of Service</w:t>
      </w:r>
      <w:bookmarkEnd w:id="201"/>
      <w:bookmarkEnd w:id="202"/>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r>
        <w:t>where</w:t>
      </w:r>
    </w:p>
    <w:p w14:paraId="47F3A425" w14:textId="77777777" w:rsidR="00A4698B" w:rsidRDefault="00A4698B" w:rsidP="00A4698B"/>
    <w:p w14:paraId="286E5A31" w14:textId="77777777" w:rsidR="00B75001" w:rsidRDefault="00B14A5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B14A5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B14A5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1"/>
      </w:r>
    </w:p>
    <w:p w14:paraId="1DA4B170" w14:textId="77777777" w:rsidR="00B75001" w:rsidRDefault="00B75001" w:rsidP="00A4698B">
      <w:pPr>
        <w:pStyle w:val="Heading5"/>
      </w:pPr>
      <w:bookmarkStart w:id="203" w:name="_Toc310421816"/>
      <w:bookmarkStart w:id="204" w:name="_Toc316891132"/>
      <w:r>
        <w:t>Categorize Each Actor’s Contribution</w:t>
      </w:r>
      <w:bookmarkEnd w:id="203"/>
      <w:bookmarkEnd w:id="204"/>
    </w:p>
    <w:p w14:paraId="5237D214" w14:textId="77777777" w:rsidR="00B75001" w:rsidRDefault="00B75001" w:rsidP="00A4698B">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B14A59"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B14A59"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B14A5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B14A5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B14A5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B14A5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B14A5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B14A5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205" w:name="_Toc310421817"/>
      <w:bookmarkStart w:id="206" w:name="_Toc316891133"/>
      <w:r>
        <w:t>Award Vertical Support by Case, Control, and Contribution</w:t>
      </w:r>
      <w:bookmarkEnd w:id="205"/>
      <w:bookmarkEnd w:id="206"/>
    </w:p>
    <w:p w14:paraId="0C057EAF" w14:textId="77777777" w:rsidR="00B75001" w:rsidRDefault="00B75001" w:rsidP="00A4698B">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r>
        <w:rPr>
          <w:i/>
        </w:rPr>
        <w:t>a</w:t>
      </w:r>
      <w:r>
        <w:t xml:space="preserve"> depends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77777777" w:rsidR="00B75001" w:rsidRDefault="00B75001" w:rsidP="00B80934">
      <w:pPr>
        <w:pStyle w:val="ListParagraph"/>
        <w:numPr>
          <w:ilvl w:val="0"/>
          <w:numId w:val="37"/>
        </w:numPr>
      </w:pPr>
      <w:r>
        <w:t>Other actors gain support for any non-neglible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7" w:name="_Toc310421818"/>
      <w:bookmarkStart w:id="208" w:name="_Toc316891134"/>
      <w:r>
        <w:lastRenderedPageBreak/>
        <w:t>Athena Attrition Model (AAM)</w:t>
      </w:r>
      <w:bookmarkEnd w:id="207"/>
      <w:bookmarkEnd w:id="208"/>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9" w:name="_Toc310421819"/>
      <w:bookmarkStart w:id="210" w:name="_Toc316891135"/>
      <w:r>
        <w:t>Overview</w:t>
      </w:r>
      <w:bookmarkEnd w:id="209"/>
      <w:bookmarkEnd w:id="210"/>
    </w:p>
    <w:p w14:paraId="5F4F888F" w14:textId="77777777" w:rsidR="002520B8" w:rsidRDefault="002520B8" w:rsidP="002520B8">
      <w:pPr>
        <w:pStyle w:val="Heading4"/>
      </w:pPr>
      <w:bookmarkStart w:id="211" w:name="_Toc310421820"/>
      <w:bookmarkStart w:id="212" w:name="_Toc316891136"/>
      <w:r>
        <w:t>Attrition in the Real World</w:t>
      </w:r>
      <w:bookmarkEnd w:id="211"/>
      <w:bookmarkEnd w:id="212"/>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13" w:name="__RefHeading__28413023"/>
      <w:bookmarkStart w:id="214" w:name="_Toc310421821"/>
      <w:bookmarkStart w:id="215" w:name="_Toc316891137"/>
      <w:r>
        <w:lastRenderedPageBreak/>
        <w:t xml:space="preserve">Requirements for This </w:t>
      </w:r>
      <w:bookmarkEnd w:id="213"/>
      <w:r>
        <w:t>Version</w:t>
      </w:r>
      <w:bookmarkEnd w:id="214"/>
      <w:bookmarkEnd w:id="215"/>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2"/>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3"/>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6" w:name="_Toc310421822"/>
      <w:bookmarkStart w:id="217" w:name="_Toc316891138"/>
      <w:r>
        <w:t>Requirements for Later Versions</w:t>
      </w:r>
      <w:bookmarkEnd w:id="216"/>
      <w:bookmarkEnd w:id="217"/>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Pr="002947F3" w:rsidRDefault="002520B8" w:rsidP="00B80934">
      <w:pPr>
        <w:pStyle w:val="ListParagraph"/>
        <w:numPr>
          <w:ilvl w:val="0"/>
          <w:numId w:val="39"/>
        </w:numPr>
      </w:pPr>
      <w:r w:rsidRPr="002947F3">
        <w:t>Force groups will be allowed to recruit new members from the militant pools of local civilian groups.</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8" w:name="_Toc310421823"/>
      <w:bookmarkStart w:id="219" w:name="_Toc316891139"/>
      <w:r>
        <w:t>Simplifying Assumptions</w:t>
      </w:r>
      <w:bookmarkEnd w:id="218"/>
      <w:bookmarkEnd w:id="219"/>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77777777" w:rsidR="002520B8" w:rsidRPr="00B938B5" w:rsidRDefault="002520B8" w:rsidP="00B80934">
      <w:pPr>
        <w:pStyle w:val="ListParagraph"/>
        <w:numPr>
          <w:ilvl w:val="0"/>
          <w:numId w:val="40"/>
        </w:numPr>
      </w:pPr>
      <w:r w:rsidRPr="00B938B5">
        <w:t>Neither UFs nor NFs will intentionally kill civilians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20" w:name="__RefHeading__28403723"/>
      <w:bookmarkStart w:id="221" w:name="_Toc310421824"/>
      <w:bookmarkStart w:id="222" w:name="_Toc316891140"/>
      <w:r>
        <w:t>Uniformed vs. Non-Uniformed Forces</w:t>
      </w:r>
      <w:bookmarkEnd w:id="220"/>
      <w:bookmarkEnd w:id="221"/>
      <w:bookmarkEnd w:id="222"/>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23" w:name="_Toc310421825"/>
      <w:bookmarkStart w:id="224" w:name="_Toc316891141"/>
      <w:r>
        <w:t>Units and Unit Activities</w:t>
      </w:r>
      <w:bookmarkEnd w:id="223"/>
      <w:bookmarkEnd w:id="224"/>
    </w:p>
    <w:p w14:paraId="2CD6B6A9" w14:textId="77777777" w:rsidR="002520B8" w:rsidRDefault="002520B8" w:rsidP="002520B8">
      <w:r>
        <w:t xml:space="preserve">Rather than representing a specific body of troops in some location, an Athena unit really represents an allocation of some number of personnel to an activity within the neighborhood, </w:t>
      </w:r>
      <w:r>
        <w:lastRenderedPageBreak/>
        <w:t>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5" w:name="_Toc310421826"/>
      <w:bookmarkStart w:id="226" w:name="_Toc316891142"/>
      <w:r>
        <w:t>Unit Number and Unit Size</w:t>
      </w:r>
      <w:bookmarkEnd w:id="225"/>
      <w:bookmarkEnd w:id="226"/>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7" w:name="_Toc310421827"/>
      <w:bookmarkStart w:id="228" w:name="_Toc316891143"/>
      <w:r>
        <w:t>Attrition and Mobilized Troops</w:t>
      </w:r>
      <w:bookmarkEnd w:id="227"/>
      <w:bookmarkEnd w:id="228"/>
    </w:p>
    <w:p w14:paraId="302E1D3D" w14:textId="77777777" w:rsidR="002520B8" w:rsidRDefault="002520B8" w:rsidP="002520B8">
      <w:r>
        <w:t xml:space="preserve">All attrition comes out of the attrited units; but it also comes out of each force group’s pool of mobilized troops, thus reducing the personnel available for deployment and assignment the </w:t>
      </w:r>
      <w:r>
        <w:lastRenderedPageBreak/>
        <w:t>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9" w:name="_Toc310421828"/>
      <w:bookmarkStart w:id="230" w:name="_Toc316891144"/>
      <w:r>
        <w:t>Magic Attrition</w:t>
      </w:r>
      <w:bookmarkEnd w:id="229"/>
      <w:bookmarkEnd w:id="230"/>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31" w:name="_Toc310421829"/>
      <w:bookmarkStart w:id="232" w:name="_Toc316891145"/>
      <w:r>
        <w:t>Magic Attrition to Units</w:t>
      </w:r>
      <w:bookmarkEnd w:id="231"/>
      <w:bookmarkEnd w:id="232"/>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33" w:name="_Toc310421830"/>
      <w:bookmarkStart w:id="234" w:name="_Toc316891146"/>
      <w:r>
        <w:t>Magic Attrition to Groups</w:t>
      </w:r>
      <w:bookmarkEnd w:id="233"/>
      <w:bookmarkEnd w:id="234"/>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35" w:name="_Toc310421831"/>
      <w:bookmarkStart w:id="236" w:name="_Toc316891147"/>
      <w:r>
        <w:t>Magic Attrition to Neighborhoods</w:t>
      </w:r>
      <w:bookmarkEnd w:id="235"/>
      <w:bookmarkEnd w:id="236"/>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7" w:name="_Toc310421832"/>
      <w:bookmarkStart w:id="238" w:name="_Toc316891148"/>
      <w:r>
        <w:t>Antagonists and ROEs</w:t>
      </w:r>
      <w:bookmarkEnd w:id="237"/>
      <w:bookmarkEnd w:id="238"/>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4"/>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39" w:name="_Toc310421833"/>
      <w:bookmarkStart w:id="240" w:name="_Toc316891149"/>
      <w:r>
        <w:t>Attacking ROEs: Maximum Number of Attacks</w:t>
      </w:r>
      <w:bookmarkEnd w:id="239"/>
      <w:bookmarkEnd w:id="240"/>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41" w:name="_Toc310421834"/>
      <w:bookmarkStart w:id="242" w:name="_Toc316891150"/>
      <w:r>
        <w:t>Attacking ROEs: UF</w:t>
      </w:r>
      <w:bookmarkEnd w:id="241"/>
      <w:bookmarkEnd w:id="242"/>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lastRenderedPageBreak/>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4968" w:type="dxa"/>
        <w:jc w:val="center"/>
        <w:tblLayout w:type="fixed"/>
        <w:tblCellMar>
          <w:left w:w="10" w:type="dxa"/>
          <w:right w:w="10" w:type="dxa"/>
        </w:tblCellMar>
        <w:tblLook w:val="0000" w:firstRow="0" w:lastRow="0" w:firstColumn="0" w:lastColumn="0" w:noHBand="0" w:noVBand="0"/>
      </w:tblPr>
      <w:tblGrid>
        <w:gridCol w:w="929"/>
        <w:gridCol w:w="1216"/>
        <w:gridCol w:w="1337"/>
        <w:gridCol w:w="1486"/>
      </w:tblGrid>
      <w:tr w:rsidR="002520B8" w:rsidRPr="002520B8" w14:paraId="599033F0" w14:textId="77777777" w:rsidTr="00193714">
        <w:trPr>
          <w:jc w:val="center"/>
        </w:trPr>
        <w:tc>
          <w:tcPr>
            <w:tcW w:w="929"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193714">
        <w:trPr>
          <w:jc w:val="center"/>
        </w:trPr>
        <w:tc>
          <w:tcPr>
            <w:tcW w:w="929"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193714">
        <w:trPr>
          <w:jc w:val="center"/>
        </w:trPr>
        <w:tc>
          <w:tcPr>
            <w:tcW w:w="929"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77777777" w:rsidR="002520B8" w:rsidRDefault="002520B8" w:rsidP="002520B8">
      <w:r>
        <w:t>This table indicates that Blue has been ordered to attack Al Qaeda in neighborhood N1 up to 5 times during one attrition interval, and in neighborhood N2 up to 10 times.   However, Blue will not attack Al Qaeda in any other neighborhood.  In either case, Blue will attack Al Qaeda as many times as it can within the maximum limit.</w:t>
      </w:r>
    </w:p>
    <w:p w14:paraId="4F9F8155" w14:textId="77777777" w:rsidR="002520B8" w:rsidRDefault="002520B8" w:rsidP="002520B8">
      <w:pPr>
        <w:pStyle w:val="Heading4"/>
      </w:pPr>
      <w:bookmarkStart w:id="243" w:name="_Toc310421835"/>
      <w:bookmarkStart w:id="244" w:name="_Toc316891151"/>
      <w:r>
        <w:t>Attacking ROEs: NF</w:t>
      </w:r>
      <w:bookmarkEnd w:id="243"/>
      <w:bookmarkEnd w:id="244"/>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lastRenderedPageBreak/>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77777777" w:rsidR="002520B8" w:rsidRDefault="002520B8" w:rsidP="002520B8">
      <w:r>
        <w:t>Al Qaeda will attack Blue in both neighborhoods.  In N1 it will try to attack seven times, and will stand and fight, taking greater casualties.  In N2, however, it will try to attack twelve times during the attrition interval, but will try to conserve its strength by using hit and run tactics.  In either case the actual number of attacks is limited by the number of BLUE troops and the cooperation of the neighborhood with both groups.</w:t>
      </w:r>
    </w:p>
    <w:p w14:paraId="62170FEB" w14:textId="77777777" w:rsidR="002520B8" w:rsidRDefault="002520B8" w:rsidP="002520B8">
      <w:pPr>
        <w:pStyle w:val="Heading4"/>
      </w:pPr>
      <w:bookmarkStart w:id="245" w:name="_Toc310421836"/>
      <w:bookmarkStart w:id="246" w:name="_Toc316891152"/>
      <w:r>
        <w:t>Defending ROEs</w:t>
      </w:r>
      <w:bookmarkEnd w:id="245"/>
      <w:bookmarkEnd w:id="246"/>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7" w:name="_Toc310421837"/>
      <w:bookmarkStart w:id="248" w:name="_Toc316891153"/>
      <w:r>
        <w:t>The Attrition Cycle</w:t>
      </w:r>
      <w:bookmarkEnd w:id="247"/>
      <w:bookmarkEnd w:id="248"/>
    </w:p>
    <w:p w14:paraId="5335EA9D" w14:textId="77777777" w:rsidR="002520B8" w:rsidRDefault="002520B8" w:rsidP="00193714">
      <w:r>
        <w:t>Attrition will be computed at regular intervals; the default interval is one week.</w:t>
      </w:r>
      <w:r>
        <w:rPr>
          <w:rStyle w:val="FootnoteReference"/>
          <w:rFonts w:eastAsia="Wingdings"/>
        </w:rPr>
        <w:footnoteReference w:id="35"/>
      </w:r>
      <w:r>
        <w:t xml:space="preserve">  Note that occurs during the interval is accumulated, and assessed for attitude implications along with the attrition computed here.</w:t>
      </w:r>
    </w:p>
    <w:p w14:paraId="51E8B482" w14:textId="77777777" w:rsidR="00193714" w:rsidRDefault="00193714" w:rsidP="00193714"/>
    <w:p w14:paraId="56765D41" w14:textId="77777777" w:rsidR="002520B8" w:rsidRDefault="002520B8" w:rsidP="00193714">
      <w:r>
        <w:t>At the end of the attrition interval, the following algorithm will compute the attrition for the interval:</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lastRenderedPageBreak/>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9" w:name="_Toc310421838"/>
      <w:bookmarkStart w:id="250" w:name="_Toc316891154"/>
      <w:r>
        <w:t>Computing Attrition</w:t>
      </w:r>
      <w:bookmarkEnd w:id="249"/>
      <w:bookmarkEnd w:id="250"/>
    </w:p>
    <w:p w14:paraId="3056B491" w14:textId="77777777" w:rsidR="002520B8" w:rsidRDefault="002520B8" w:rsidP="002520B8">
      <w:pPr>
        <w:pStyle w:val="Heading4"/>
      </w:pPr>
      <w:bookmarkStart w:id="251" w:name="_Toc310421839"/>
      <w:bookmarkStart w:id="252" w:name="_Toc316891155"/>
      <w:r>
        <w:t>Uniformed vs. Non-uniformed</w:t>
      </w:r>
      <w:bookmarkEnd w:id="251"/>
      <w:bookmarkEnd w:id="252"/>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6"/>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B14A5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n </w:t>
      </w:r>
      <w:r w:rsidR="002520B8" w:rsidRPr="00CE4D89">
        <w:t>with the NF.</w:t>
      </w:r>
    </w:p>
    <w:p w14:paraId="687AF196" w14:textId="77777777" w:rsidR="002520B8" w:rsidRDefault="00B14A5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n </w:t>
      </w:r>
      <w:r w:rsidR="002520B8" w:rsidRPr="00CE4D89">
        <w:t>with the UF</w:t>
      </w:r>
      <w:r w:rsidR="002520B8">
        <w:t>.</w:t>
      </w:r>
    </w:p>
    <w:p w14:paraId="4F9300CD" w14:textId="77777777" w:rsidR="002520B8" w:rsidRDefault="00B14A5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77777777" w:rsidR="002520B8" w:rsidRDefault="00B14A5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2520B8" w:rsidRPr="00CE4D89">
        <w:t>The actual number of  attacks by the UF on the NF during the interval</w:t>
      </w:r>
    </w:p>
    <w:p w14:paraId="7373F3B0" w14:textId="77777777" w:rsidR="002520B8" w:rsidRDefault="00B14A5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actual coverage fraction of the UF .</w:t>
      </w:r>
      <w:r w:rsidR="002520B8">
        <w:rPr>
          <w:rStyle w:val="FootnoteReference"/>
          <w:rFonts w:eastAsia="Wingdings"/>
          <w:i/>
          <w:iCs/>
        </w:rPr>
        <w:footnoteReference w:id="37"/>
      </w:r>
    </w:p>
    <w:p w14:paraId="42589F6C" w14:textId="77777777" w:rsidR="002520B8" w:rsidRDefault="00B14A5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Pr>
          <w:rStyle w:val="FootnoteReference"/>
          <w:rFonts w:eastAsia="Wingdings"/>
          <w:i/>
          <w:iCs/>
        </w:rPr>
        <w:footnoteReference w:id="38"/>
      </w:r>
    </w:p>
    <w:p w14:paraId="5CE8CF12" w14:textId="77777777" w:rsidR="002520B8" w:rsidRDefault="00B14A5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Pr>
          <w:rStyle w:val="FootnoteReference"/>
          <w:rFonts w:eastAsia="Wingdings"/>
          <w:i/>
          <w:iCs/>
        </w:rPr>
        <w:footnoteReference w:id="39"/>
      </w:r>
      <w:r w:rsidR="002520B8">
        <w:tab/>
      </w:r>
    </w:p>
    <w:p w14:paraId="6A5CC166" w14:textId="77777777" w:rsidR="002520B8" w:rsidRDefault="00B14A5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Pr>
          <w:rStyle w:val="FootnoteReference"/>
          <w:rFonts w:eastAsia="Wingdings"/>
          <w:i/>
          <w:iCs/>
        </w:rPr>
        <w:footnoteReference w:id="40"/>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CE4D89">
        <w:rPr>
          <w:rStyle w:val="FootnoteReference"/>
          <w:rFonts w:eastAsia="Wingdings"/>
          <w:i/>
          <w:iCs/>
        </w:rPr>
        <w:footnoteReference w:id="41"/>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B14A5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77777777"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p>
    <w:p w14:paraId="3E17054D" w14:textId="77777777" w:rsidR="00AE6600" w:rsidRDefault="00AE6600" w:rsidP="00AE6600"/>
    <w:p w14:paraId="1EF5D864" w14:textId="77777777" w:rsidR="002520B8" w:rsidRPr="00AE6600" w:rsidRDefault="00B14A5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2"/>
      </w:r>
    </w:p>
    <w:p w14:paraId="5C708B07" w14:textId="77777777" w:rsidR="002520B8" w:rsidRDefault="00B14A59"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B14A5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lastRenderedPageBreak/>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B14A5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3"/>
      </w:r>
      <w:r w:rsidR="002520B8">
        <w:tab/>
      </w:r>
    </w:p>
    <w:p w14:paraId="23D5B228" w14:textId="77777777" w:rsidR="002520B8" w:rsidRDefault="002520B8" w:rsidP="002520B8">
      <w:pPr>
        <w:pStyle w:val="Definitions"/>
      </w:pPr>
      <w:r w:rsidRPr="008955F4">
        <w:rPr>
          <w:i/>
        </w:rPr>
        <w:t>ECDA</w:t>
      </w:r>
      <w:r>
        <w:tab/>
        <w:t>=</w:t>
      </w:r>
      <w:r>
        <w:tab/>
      </w:r>
      <w:r w:rsidRPr="00CE4D89">
        <w:t xml:space="preserve">The Expected  Collateral Damage per Attack, i.e., the number of civilians killed for each attach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4"/>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77777777" w:rsidR="002520B8" w:rsidRDefault="002520B8" w:rsidP="008955F4">
      <w:r>
        <w:t>If the actual cooperation of the neighborhood with the UF is exactly the nominal, 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53" w:name="_Toc310421840"/>
      <w:bookmarkStart w:id="254" w:name="_Toc316891156"/>
      <w:r>
        <w:t>Non-uniformed vs. Uniformed</w:t>
      </w:r>
      <w:bookmarkEnd w:id="253"/>
      <w:bookmarkEnd w:id="254"/>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5"/>
      </w:r>
      <w:r>
        <w:t xml:space="preserve">, the availability of UF target opportunities, the cooperation of the civilian population with the NF, and the desire of the NF to limit their casualties as indicated by their </w:t>
      </w:r>
      <w:r>
        <w:lastRenderedPageBreak/>
        <w:t>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Pr>
          <w:rStyle w:val="FootnoteReference"/>
          <w:rFonts w:eastAsia="Wingdings"/>
          <w:i/>
          <w:iCs/>
        </w:rPr>
        <w:footnoteReference w:id="46"/>
      </w:r>
    </w:p>
    <w:p w14:paraId="649B1585" w14:textId="77777777" w:rsidR="002520B8" w:rsidRDefault="00B14A59"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B14A5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77777777" w:rsidR="002520B8" w:rsidRDefault="00B14A5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C42F36">
        <w:rPr>
          <w:rStyle w:val="FootnoteReference"/>
          <w:rFonts w:eastAsia="Wingdings"/>
          <w:i/>
          <w:iCs/>
        </w:rPr>
        <w:footnoteReference w:id="47"/>
      </w:r>
      <w:r w:rsidR="002520B8" w:rsidRPr="00C42F36">
        <w:t xml:space="preserve">  This parameter depends on the ROE, HIT_AND_RUN or STAND_AND_FIGHT.</w:t>
      </w:r>
    </w:p>
    <w:p w14:paraId="4C5C9867" w14:textId="77777777" w:rsidR="002520B8" w:rsidRPr="00C42F36" w:rsidRDefault="00B14A5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C42F36">
        <w:rPr>
          <w:rStyle w:val="FootnoteReference"/>
          <w:rFonts w:eastAsia="Wingdings"/>
          <w:i/>
          <w:iCs/>
        </w:rPr>
        <w:footnoteReference w:id="48"/>
      </w:r>
    </w:p>
    <w:p w14:paraId="174F7A11" w14:textId="77777777" w:rsidR="002520B8" w:rsidRDefault="00B14A5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C42F36">
        <w:rPr>
          <w:rStyle w:val="FootnoteReference"/>
          <w:rFonts w:eastAsia="Wingdings"/>
          <w:i/>
          <w:iCs/>
        </w:rPr>
        <w:footnoteReference w:id="49"/>
      </w:r>
      <w:r w:rsidR="002520B8" w:rsidRPr="00C42F36">
        <w:t xml:space="preserve">  This parameter depends on the ROE,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4B660016" w14:textId="77777777" w:rsidR="002520B8" w:rsidRDefault="002520B8" w:rsidP="008955F4">
      <w:r>
        <w:lastRenderedPageBreak/>
        <w:t xml:space="preserve">our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becomes</w:t>
      </w:r>
    </w:p>
    <w:p w14:paraId="2B862124" w14:textId="77777777" w:rsidR="008955F4" w:rsidRDefault="008955F4" w:rsidP="008955F4"/>
    <w:p w14:paraId="231E38DD"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77777777"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casualties, as controlled by the ROE, HIT_AND_RUN or STAND_AND_FIGHT.</w:t>
      </w:r>
    </w:p>
    <w:p w14:paraId="77369256" w14:textId="77777777" w:rsidR="002520B8" w:rsidRDefault="002520B8" w:rsidP="002520B8">
      <w:pPr>
        <w:pStyle w:val="Heading5"/>
      </w:pPr>
      <w:bookmarkStart w:id="255" w:name="_Toc310421841"/>
      <w:bookmarkStart w:id="256" w:name="_Toc316891157"/>
      <w:r>
        <w:t>Loss Exchange Ratio</w:t>
      </w:r>
      <w:bookmarkEnd w:id="255"/>
      <w:bookmarkEnd w:id="256"/>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B14A59"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Pr>
          <w:rStyle w:val="FootnoteReference"/>
          <w:rFonts w:eastAsia="Wingdings"/>
          <w:i/>
          <w:iCs/>
        </w:rPr>
        <w:footnoteReference w:id="50"/>
      </w:r>
    </w:p>
    <w:p w14:paraId="2549C96F" w14:textId="77777777" w:rsidR="002520B8" w:rsidRDefault="00B14A5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B14A5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B14A59"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Pr>
          <w:rStyle w:val="FootnoteReference"/>
          <w:rFonts w:eastAsia="Wingdings"/>
          <w:i/>
          <w:iCs/>
        </w:rPr>
        <w:footnoteReference w:id="51"/>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7" w:name="_Toc310421842"/>
      <w:bookmarkStart w:id="258" w:name="_Toc316891158"/>
      <w:r>
        <w:lastRenderedPageBreak/>
        <w:t>NF and UF Casualties</w:t>
      </w:r>
      <w:bookmarkEnd w:id="257"/>
      <w:bookmarkEnd w:id="258"/>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2"/>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3"/>
      </w:r>
      <w:r>
        <w:t xml:space="preserve">  Given the LER, they can then kill</w:t>
      </w:r>
    </w:p>
    <w:p w14:paraId="0E2B5904" w14:textId="77777777" w:rsidR="008955F4" w:rsidRDefault="008955F4" w:rsidP="008955F4">
      <w:pPr>
        <w:rPr>
          <w:b/>
          <w:bCs/>
        </w:rPr>
      </w:pPr>
    </w:p>
    <w:p w14:paraId="0B975914"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lastRenderedPageBreak/>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B14A5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9" w:name="_Toc310421843"/>
      <w:bookmarkStart w:id="260" w:name="_Toc316891159"/>
      <w:r>
        <w:t>Civilian Collateral Damage</w:t>
      </w:r>
      <w:bookmarkEnd w:id="259"/>
      <w:bookmarkEnd w:id="260"/>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B14A59"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Pr>
          <w:rStyle w:val="FootnoteReference"/>
          <w:rFonts w:eastAsia="Wingdings"/>
          <w:i/>
          <w:iCs/>
        </w:rPr>
        <w:footnoteReference w:id="54"/>
      </w:r>
    </w:p>
    <w:p w14:paraId="405A8F8B" w14:textId="77777777" w:rsidR="002520B8" w:rsidRDefault="002520B8" w:rsidP="002520B8">
      <w:pPr>
        <w:pStyle w:val="Heading3"/>
      </w:pPr>
      <w:bookmarkStart w:id="261" w:name="__RefHeading__31420625"/>
      <w:bookmarkStart w:id="262" w:name="_Toc310421844"/>
      <w:bookmarkStart w:id="263" w:name="_Toc316891160"/>
      <w:r>
        <w:t>Applying Attrition</w:t>
      </w:r>
      <w:bookmarkEnd w:id="261"/>
      <w:bookmarkEnd w:id="262"/>
      <w:bookmarkEnd w:id="263"/>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lastRenderedPageBreak/>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77777777" w:rsidR="002520B8" w:rsidRDefault="002520B8" w:rsidP="008955F4">
      <w:r>
        <w:t>Next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B14A59"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64" w:name="_Toc310421845"/>
      <w:bookmarkStart w:id="265" w:name="_Toc316891161"/>
      <w:r>
        <w:t>Assessing the Attitude Implications</w:t>
      </w:r>
      <w:bookmarkEnd w:id="264"/>
      <w:bookmarkEnd w:id="265"/>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6" w:name="_Toc310421846"/>
      <w:bookmarkStart w:id="267" w:name="_Toc316891162"/>
      <w:r>
        <w:t>Contrasted with JNEM</w:t>
      </w:r>
      <w:bookmarkEnd w:id="266"/>
      <w:bookmarkEnd w:id="267"/>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lastRenderedPageBreak/>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8" w:name="_Toc310421847"/>
      <w:bookmarkStart w:id="269" w:name="_Toc316891163"/>
      <w:r>
        <w:t>Satisfaction Effects of Attrition</w:t>
      </w:r>
      <w:bookmarkEnd w:id="268"/>
      <w:bookmarkEnd w:id="269"/>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Pr>
          <w:rStyle w:val="FootnoteReference"/>
          <w:rFonts w:eastAsia="Wingdings"/>
          <w:i/>
          <w:iCs/>
        </w:rPr>
        <w:footnoteReference w:id="55"/>
      </w:r>
    </w:p>
    <w:p w14:paraId="05C7291D" w14:textId="77777777" w:rsidR="002520B8" w:rsidRDefault="002520B8" w:rsidP="002520B8">
      <w:pPr>
        <w:pStyle w:val="Definitions"/>
      </w:pPr>
      <w:r w:rsidRPr="008955F4">
        <w:rPr>
          <w:i/>
        </w:rPr>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70" w:name="_Toc310421848"/>
      <w:bookmarkStart w:id="271" w:name="_Toc316891164"/>
      <w:r>
        <w:t>Cooperation Effects of Attrition</w:t>
      </w:r>
      <w:bookmarkEnd w:id="270"/>
      <w:bookmarkEnd w:id="271"/>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lastRenderedPageBreak/>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B14A59"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8A74E3">
        <w:rPr>
          <w:rStyle w:val="FootnoteReference"/>
          <w:rFonts w:eastAsia="Wingdings"/>
          <w:i/>
          <w:iCs/>
        </w:rPr>
        <w:footnoteReference w:id="56"/>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72" w:name="__RefHeading__11631_1190374725"/>
      <w:bookmarkStart w:id="273" w:name="_Toc310421849"/>
      <w:bookmarkStart w:id="274" w:name="_Toc316891165"/>
      <w:r>
        <w:lastRenderedPageBreak/>
        <w:t>Demographics</w:t>
      </w:r>
      <w:bookmarkEnd w:id="272"/>
      <w:bookmarkEnd w:id="273"/>
      <w:bookmarkEnd w:id="274"/>
    </w:p>
    <w:p w14:paraId="477225EF" w14:textId="77777777" w:rsidR="00753E07" w:rsidRDefault="00753E07" w:rsidP="00CA4242">
      <w:r>
        <w:t>The Athena Demographics model (DEMOG)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7"/>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5" w:name="_Toc310421850"/>
      <w:bookmarkStart w:id="276" w:name="_Toc316891166"/>
      <w:r w:rsidRPr="00753E07">
        <w:t>Requirements</w:t>
      </w:r>
      <w:r>
        <w:t xml:space="preserve"> for This Version</w:t>
      </w:r>
      <w:bookmarkEnd w:id="275"/>
      <w:bookmarkEnd w:id="276"/>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77777777" w:rsidR="00753E07" w:rsidRDefault="00753E07" w:rsidP="00B80934">
      <w:pPr>
        <w:pStyle w:val="ListParagraph"/>
        <w:numPr>
          <w:ilvl w:val="0"/>
          <w:numId w:val="49"/>
        </w:numPr>
      </w:pPr>
      <w:r w:rsidRPr="00BB4A47">
        <w:t>The playbox population is initially stated as the 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58"/>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7" w:name="_Toc310421851"/>
      <w:bookmarkStart w:id="278" w:name="_Toc316891167"/>
      <w:r>
        <w:t>Simplifying Assumptions</w:t>
      </w:r>
      <w:bookmarkEnd w:id="277"/>
      <w:bookmarkEnd w:id="278"/>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59"/>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9" w:name="_Toc310421852"/>
      <w:bookmarkStart w:id="280" w:name="_Toc316891168"/>
      <w:r>
        <w:t>Population and Units</w:t>
      </w:r>
      <w:bookmarkEnd w:id="279"/>
      <w:bookmarkEnd w:id="280"/>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81" w:name="_Toc310421853"/>
      <w:bookmarkStart w:id="282" w:name="_Toc316891169"/>
      <w:r>
        <w:t>Civilian Group Population</w:t>
      </w:r>
      <w:bookmarkEnd w:id="281"/>
      <w:bookmarkEnd w:id="282"/>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B14A59"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B14A59"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B14A59"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83" w:name="_Toc310421854"/>
      <w:bookmarkStart w:id="284" w:name="_Toc316891170"/>
      <w:r>
        <w:t>Civilian Attrition</w:t>
      </w:r>
      <w:bookmarkEnd w:id="283"/>
      <w:bookmarkEnd w:id="284"/>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B14A59"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5" w:name="_Toc310421855"/>
      <w:bookmarkStart w:id="286" w:name="_Toc316891171"/>
      <w:r>
        <w:lastRenderedPageBreak/>
        <w:t>Subsistence Population</w:t>
      </w:r>
      <w:bookmarkEnd w:id="285"/>
      <w:bookmarkEnd w:id="286"/>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B14A59"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7" w:name="_Toc310421856"/>
      <w:bookmarkStart w:id="288" w:name="_Toc316891172"/>
      <w:r>
        <w:t>Consumer Population</w:t>
      </w:r>
      <w:bookmarkEnd w:id="287"/>
      <w:bookmarkEnd w:id="288"/>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9" w:name="_Toc310421857"/>
      <w:bookmarkStart w:id="290" w:name="_Toc316891173"/>
      <w:r>
        <w:t>Labor Force</w:t>
      </w:r>
      <w:bookmarkEnd w:id="289"/>
      <w:bookmarkEnd w:id="290"/>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0"/>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B14A5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B14A59"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77777777" w:rsidR="00753E07" w:rsidRDefault="00B14A59"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p>
    <w:p w14:paraId="2D2B5A20" w14:textId="77777777" w:rsidR="00753E07" w:rsidRDefault="00B14A59"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1"/>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91" w:name="_Toc310421858"/>
      <w:bookmarkStart w:id="292" w:name="_Toc316891174"/>
      <w:r>
        <w:t>Neighborhood Population</w:t>
      </w:r>
      <w:bookmarkEnd w:id="291"/>
      <w:bookmarkEnd w:id="292"/>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93" w:name="_Toc310421859"/>
      <w:bookmarkStart w:id="294" w:name="_Toc316891175"/>
      <w:r>
        <w:t>Displaced Personnel</w:t>
      </w:r>
      <w:bookmarkEnd w:id="293"/>
      <w:bookmarkEnd w:id="294"/>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B14A59"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5" w:name="_Toc310421860"/>
      <w:bookmarkStart w:id="296" w:name="_Toc316891176"/>
      <w:r>
        <w:t>Displaced Consumers</w:t>
      </w:r>
      <w:bookmarkEnd w:id="295"/>
      <w:bookmarkEnd w:id="296"/>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7" w:name="_Toc310421861"/>
      <w:bookmarkStart w:id="298" w:name="_Toc316891177"/>
      <w:r>
        <w:t>Displaced Labor Force</w:t>
      </w:r>
      <w:bookmarkEnd w:id="297"/>
      <w:bookmarkEnd w:id="298"/>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B14A59"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9" w:name="_Toc310421862"/>
      <w:bookmarkStart w:id="300" w:name="_Toc316891178"/>
      <w:r>
        <w:t>Neighborhood Totals</w:t>
      </w:r>
      <w:bookmarkEnd w:id="299"/>
      <w:bookmarkEnd w:id="300"/>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B14A5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301" w:name="_Toc310421863"/>
      <w:bookmarkStart w:id="302" w:name="_Toc316891179"/>
      <w:r>
        <w:t>Regional Population</w:t>
      </w:r>
      <w:bookmarkEnd w:id="301"/>
      <w:bookmarkEnd w:id="302"/>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303" w:name="_Toc310421864"/>
      <w:bookmarkStart w:id="304" w:name="_Toc316891180"/>
      <w:r>
        <w:lastRenderedPageBreak/>
        <w:t>Unemployment</w:t>
      </w:r>
      <w:bookmarkEnd w:id="303"/>
      <w:bookmarkEnd w:id="304"/>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5" w:name="_Toc310421865"/>
      <w:bookmarkStart w:id="306" w:name="_Toc316891181"/>
      <w:r>
        <w:t>Disaggregation to Neighborhoods</w:t>
      </w:r>
      <w:bookmarkEnd w:id="305"/>
      <w:bookmarkEnd w:id="306"/>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B14A5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B14A59"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7" w:name="_Toc310421866"/>
      <w:bookmarkStart w:id="308" w:name="_Toc316891182"/>
      <w:r>
        <w:t>Disaggregation to Civilian Groups</w:t>
      </w:r>
      <w:bookmarkEnd w:id="307"/>
      <w:bookmarkEnd w:id="308"/>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B14A5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B14A59"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9" w:name="_Toc310421867"/>
      <w:bookmarkStart w:id="310" w:name="_Toc316891183"/>
      <w:r>
        <w:lastRenderedPageBreak/>
        <w:t>Unemployment Situations</w:t>
      </w:r>
      <w:bookmarkEnd w:id="309"/>
      <w:bookmarkEnd w:id="310"/>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B14A5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11" w:name="_Toc310421868"/>
      <w:bookmarkStart w:id="312" w:name="_Toc316891184"/>
      <w:r>
        <w:lastRenderedPageBreak/>
        <w:t>Economics</w:t>
      </w:r>
      <w:bookmarkEnd w:id="311"/>
      <w:bookmarkEnd w:id="312"/>
    </w:p>
    <w:p w14:paraId="4210B3B0" w14:textId="4BE4801E" w:rsidR="004F6A40" w:rsidRDefault="004F6A40" w:rsidP="001342B4">
      <w:r>
        <w:t xml:space="preserve">The Athena Economics model (ECON) models the economy of the region of interest, which can be an entire country, a portion of a country, or several small countries taken together.  We will refer to this as the </w:t>
      </w:r>
      <w:r>
        <w:rPr>
          <w:i/>
          <w:iCs/>
        </w:rPr>
        <w:t>local economy</w:t>
      </w:r>
      <w:r>
        <w:t xml:space="preserve">.  The core of ECON is a 3-sector Computable General Equilibrium (CGE) model solved as a system of non-linear equations using the Gauss-Seidel algorithm.  A complete narrative description of the derivation and content of the 3-sector CGE is pending; this document will give a brief overview, and then explain how the CGE is embedded in ECON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13" w:name="__RefHeading__1441_2040446466"/>
      <w:bookmarkStart w:id="314" w:name="_Toc310421869"/>
      <w:bookmarkStart w:id="315" w:name="_Toc316891185"/>
      <w:r>
        <w:t>Sectors</w:t>
      </w:r>
      <w:bookmarkEnd w:id="313"/>
      <w:bookmarkEnd w:id="314"/>
      <w:bookmarkEnd w:id="315"/>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6" w:name="_Toc310421870"/>
      <w:bookmarkStart w:id="317" w:name="_Toc316891186"/>
      <w:r>
        <w:t>The Economic Tableau</w:t>
      </w:r>
      <w:bookmarkEnd w:id="316"/>
      <w:bookmarkEnd w:id="317"/>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B14A5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B14A5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B14A5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B14A5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B14A5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B14A59"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B14A5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B14A5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B14A5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8" w:name="_Toc310421871"/>
      <w:bookmarkStart w:id="319" w:name="_Toc316891187"/>
      <w:r>
        <w:t>Text Notation</w:t>
      </w:r>
      <w:bookmarkEnd w:id="318"/>
      <w:bookmarkEnd w:id="319"/>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B14A5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B14A5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B14A5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B14A5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B14A5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B14A5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20" w:name="_Toc310421872"/>
      <w:bookmarkStart w:id="321" w:name="_Toc316891188"/>
      <w:r>
        <w:t>Shape vs. Size</w:t>
      </w:r>
      <w:bookmarkEnd w:id="320"/>
      <w:bookmarkEnd w:id="321"/>
    </w:p>
    <w:p w14:paraId="4220152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w:t>
      </w:r>
      <w:r>
        <w:lastRenderedPageBreak/>
        <w:t>amount consumed by each, and the economy must needs increase in size.  Decrease the amount of consumption, and the economy must needs shrink.  But as the economy increases 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22" w:name="_Toc310421873"/>
      <w:bookmarkStart w:id="323" w:name="_Toc316891189"/>
      <w:r>
        <w:t>Production Functions</w:t>
      </w:r>
      <w:bookmarkEnd w:id="322"/>
      <w:bookmarkEnd w:id="323"/>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77777777"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2"/>
      </w:r>
      <w:r>
        <w:t xml:space="preserve"> As prices change, the Cobb-Douglas production function allows the sectors to trade off the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24" w:name="__RefHeading__1421_2040446466"/>
      <w:bookmarkStart w:id="325" w:name="_Toc310421874"/>
      <w:bookmarkStart w:id="326" w:name="_Toc316891190"/>
      <w:r>
        <w:t>Calibrating the CGE</w:t>
      </w:r>
      <w:bookmarkEnd w:id="324"/>
      <w:bookmarkEnd w:id="325"/>
      <w:bookmarkEnd w:id="326"/>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7" w:name="_Toc310421875"/>
      <w:bookmarkStart w:id="328" w:name="_Toc316891191"/>
      <w:r>
        <w:t>Fill in the Social Accounting Matrix</w:t>
      </w:r>
      <w:bookmarkEnd w:id="327"/>
      <w:bookmarkEnd w:id="328"/>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B14A5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77777777"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3"/>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In a typical SAM, the revenues will equal the expenses.</w:t>
      </w:r>
    </w:p>
    <w:p w14:paraId="0534FB13" w14:textId="77777777" w:rsidR="004F6A40" w:rsidRDefault="004F6A40" w:rsidP="004F6A40">
      <w:pPr>
        <w:pStyle w:val="Heading4"/>
      </w:pPr>
      <w:bookmarkStart w:id="329" w:name="_Toc310421876"/>
      <w:bookmarkStart w:id="330" w:name="_Toc316891192"/>
      <w:r>
        <w:t>Compute the Cobb-Douglas Parameters</w:t>
      </w:r>
      <w:bookmarkEnd w:id="329"/>
      <w:bookmarkEnd w:id="330"/>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B14A59"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31" w:name="_Toc310421877"/>
      <w:bookmarkStart w:id="332" w:name="_Toc316891193"/>
      <w:r>
        <w:lastRenderedPageBreak/>
        <w:t>Set the Base Wage and Consumption</w:t>
      </w:r>
      <w:bookmarkEnd w:id="331"/>
      <w:bookmarkEnd w:id="332"/>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33" w:name="_Toc310421878"/>
      <w:bookmarkStart w:id="334" w:name="_Toc316891194"/>
      <w:r>
        <w:t>Scenario Inputs</w:t>
      </w:r>
      <w:bookmarkEnd w:id="333"/>
      <w:bookmarkEnd w:id="334"/>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5" w:name="__RefHeading__1469_2040446466"/>
      <w:bookmarkStart w:id="336" w:name="_Toc310421879"/>
      <w:bookmarkStart w:id="337" w:name="_Toc316891195"/>
      <w:r>
        <w:t>Run-time Inputs</w:t>
      </w:r>
      <w:bookmarkEnd w:id="335"/>
      <w:bookmarkEnd w:id="336"/>
      <w:bookmarkEnd w:id="337"/>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8" w:name="_Toc310421880"/>
      <w:bookmarkStart w:id="339" w:name="_Toc316891196"/>
      <w:r>
        <w:t>Outputs</w:t>
      </w:r>
      <w:bookmarkEnd w:id="338"/>
      <w:bookmarkEnd w:id="339"/>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40" w:name="_Toc310421881"/>
      <w:bookmarkStart w:id="341" w:name="_Toc316891197"/>
      <w:r>
        <w:t>Ways to Affect the Economy</w:t>
      </w:r>
      <w:bookmarkEnd w:id="340"/>
      <w:bookmarkEnd w:id="341"/>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42" w:name="_Toc310421882"/>
      <w:bookmarkStart w:id="343" w:name="_Toc316891198"/>
      <w:r>
        <w:t>Ways the Economy Affects Athena</w:t>
      </w:r>
      <w:bookmarkEnd w:id="342"/>
      <w:bookmarkEnd w:id="343"/>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44" w:name="_Toc310421883"/>
      <w:bookmarkStart w:id="345" w:name="_Toc316891199"/>
      <w:r>
        <w:lastRenderedPageBreak/>
        <w:t>CGE Architecture</w:t>
      </w:r>
      <w:bookmarkEnd w:id="344"/>
      <w:bookmarkEnd w:id="345"/>
    </w:p>
    <w:p w14:paraId="09CF5E01" w14:textId="5BAD4800" w:rsidR="004F6A40" w:rsidRDefault="004F6A40" w:rsidP="001F5946">
      <w:r>
        <w:t xml:space="preserve">The CGE equations are implemented as a </w:t>
      </w:r>
      <w:r>
        <w:rPr>
          <w:i/>
          <w:iCs/>
        </w:rPr>
        <w:t>cell model</w:t>
      </w:r>
      <w:r>
        <w:rPr>
          <w:rStyle w:val="FootnoteReference"/>
        </w:rPr>
        <w:footnoteReference w:id="64"/>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every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6" w:name="_Toc316891200"/>
      <w:r>
        <w:lastRenderedPageBreak/>
        <w:t>Appendices</w:t>
      </w:r>
      <w:bookmarkEnd w:id="346"/>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7" w:name="_Ref316890958"/>
      <w:bookmarkStart w:id="348" w:name="_Ref316890997"/>
      <w:bookmarkStart w:id="349" w:name="_Ref316891018"/>
      <w:bookmarkStart w:id="350" w:name="_Toc316891201"/>
      <w:r>
        <w:lastRenderedPageBreak/>
        <w:t>The Economics Cell Mod</w:t>
      </w:r>
      <w:bookmarkStart w:id="351" w:name="_GoBack"/>
      <w:bookmarkEnd w:id="351"/>
      <w:r>
        <w:t>el</w:t>
      </w:r>
      <w:bookmarkEnd w:id="347"/>
      <w:bookmarkEnd w:id="348"/>
      <w:bookmarkEnd w:id="349"/>
      <w:bookmarkEnd w:id="350"/>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52" w:name="_Toc310421885"/>
      <w:bookmarkStart w:id="353" w:name="_Toc316891202"/>
      <w:r>
        <w:lastRenderedPageBreak/>
        <w:t>Acronyms</w:t>
      </w:r>
      <w:bookmarkEnd w:id="352"/>
      <w:bookmarkEnd w:id="353"/>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66583" w14:textId="77777777" w:rsidR="00B14A59" w:rsidRDefault="00B14A59">
      <w:r>
        <w:separator/>
      </w:r>
    </w:p>
    <w:p w14:paraId="3431392B" w14:textId="77777777" w:rsidR="00B14A59" w:rsidRDefault="00B14A59"/>
    <w:p w14:paraId="5F6AF3B9" w14:textId="77777777" w:rsidR="00B14A59" w:rsidRDefault="00B14A59" w:rsidP="00D7666B"/>
  </w:endnote>
  <w:endnote w:type="continuationSeparator" w:id="0">
    <w:p w14:paraId="2B76B61C" w14:textId="77777777" w:rsidR="00B14A59" w:rsidRDefault="00B14A59">
      <w:r>
        <w:continuationSeparator/>
      </w:r>
    </w:p>
    <w:p w14:paraId="04352B70" w14:textId="77777777" w:rsidR="00B14A59" w:rsidRDefault="00B14A59"/>
    <w:p w14:paraId="06D0244F" w14:textId="77777777" w:rsidR="00B14A59" w:rsidRDefault="00B14A5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1342B4" w:rsidRDefault="001342B4"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D90060">
      <w:rPr>
        <w:rStyle w:val="PageNumber"/>
        <w:noProof/>
      </w:rPr>
      <w:t>93</w:t>
    </w:r>
    <w:r>
      <w:rPr>
        <w:rStyle w:val="PageNumber"/>
      </w:rPr>
      <w:fldChar w:fldCharType="end"/>
    </w:r>
  </w:p>
  <w:p w14:paraId="2AA40724" w14:textId="77777777" w:rsidR="001342B4" w:rsidRDefault="001342B4"/>
  <w:p w14:paraId="543EF6AC" w14:textId="77777777" w:rsidR="001342B4" w:rsidRDefault="001342B4"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E6218" w14:textId="77777777" w:rsidR="00B14A59" w:rsidRDefault="00B14A59">
      <w:r>
        <w:separator/>
      </w:r>
    </w:p>
    <w:p w14:paraId="6F2623A2" w14:textId="77777777" w:rsidR="00B14A59" w:rsidRDefault="00B14A59"/>
    <w:p w14:paraId="2531F3DE" w14:textId="77777777" w:rsidR="00B14A59" w:rsidRDefault="00B14A59" w:rsidP="00D7666B"/>
  </w:footnote>
  <w:footnote w:type="continuationSeparator" w:id="0">
    <w:p w14:paraId="2FB1FA9C" w14:textId="77777777" w:rsidR="00B14A59" w:rsidRDefault="00B14A59">
      <w:r>
        <w:continuationSeparator/>
      </w:r>
    </w:p>
    <w:p w14:paraId="59E7F030" w14:textId="77777777" w:rsidR="00B14A59" w:rsidRDefault="00B14A59"/>
    <w:p w14:paraId="31F64026" w14:textId="77777777" w:rsidR="00B14A59" w:rsidRDefault="00B14A59" w:rsidP="00D7666B"/>
  </w:footnote>
  <w:footnote w:id="1">
    <w:p w14:paraId="209C73A0" w14:textId="77777777" w:rsidR="001342B4" w:rsidRDefault="001342B4"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2">
    <w:p w14:paraId="0F0051EE" w14:textId="77777777" w:rsidR="001342B4" w:rsidRDefault="001342B4"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3">
    <w:p w14:paraId="1A53C46C" w14:textId="77777777" w:rsidR="001342B4" w:rsidRDefault="001342B4"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4">
    <w:p w14:paraId="1AA3161D" w14:textId="77777777" w:rsidR="001342B4" w:rsidRPr="009D5360" w:rsidRDefault="001342B4"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14:paraId="7D9416D2" w14:textId="77777777" w:rsidR="001342B4" w:rsidRDefault="001342B4"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6">
    <w:p w14:paraId="59AA7ABD" w14:textId="77777777" w:rsidR="001342B4" w:rsidRDefault="001342B4" w:rsidP="00A41624">
      <w:pPr>
        <w:pStyle w:val="FootnoteText"/>
      </w:pPr>
      <w:r>
        <w:rPr>
          <w:rStyle w:val="FootnoteReference"/>
          <w:rFonts w:eastAsia="Wingdings"/>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14:paraId="63D96D7C" w14:textId="77777777" w:rsidR="001342B4" w:rsidRPr="005D6ECD" w:rsidRDefault="001342B4"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8">
    <w:p w14:paraId="274A2376" w14:textId="77777777" w:rsidR="001342B4" w:rsidRDefault="001342B4"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9">
    <w:p w14:paraId="623F318B" w14:textId="77777777" w:rsidR="001342B4" w:rsidRPr="00D2373B" w:rsidRDefault="001342B4"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0">
    <w:p w14:paraId="2D5C8CDF" w14:textId="77777777" w:rsidR="001342B4" w:rsidRDefault="001342B4"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1">
    <w:p w14:paraId="529505A7" w14:textId="77777777" w:rsidR="001342B4" w:rsidRDefault="001342B4" w:rsidP="00502610">
      <w:pPr>
        <w:pStyle w:val="FootnoteText"/>
      </w:pPr>
      <w:r>
        <w:rPr>
          <w:rStyle w:val="FootnoteReference"/>
          <w:rFonts w:eastAsia="Wingdings"/>
        </w:rPr>
        <w:footnoteRef/>
      </w:r>
      <w:r>
        <w:t xml:space="preserve"> We will make this notion more precise below.</w:t>
      </w:r>
    </w:p>
  </w:footnote>
  <w:footnote w:id="12">
    <w:p w14:paraId="3A06ABD0" w14:textId="77777777" w:rsidR="001342B4" w:rsidRPr="008E5602" w:rsidRDefault="001342B4"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3">
    <w:p w14:paraId="4E372B8A" w14:textId="77777777" w:rsidR="001342B4" w:rsidRDefault="001342B4"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4">
    <w:p w14:paraId="358E203B" w14:textId="77777777" w:rsidR="001342B4" w:rsidRDefault="001342B4"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5">
    <w:p w14:paraId="28773BC5" w14:textId="77777777" w:rsidR="001342B4" w:rsidRDefault="001342B4"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6">
    <w:p w14:paraId="013CC139" w14:textId="0630FE43" w:rsidR="001342B4" w:rsidRDefault="001342B4" w:rsidP="001D79EC">
      <w:pPr>
        <w:pStyle w:val="Footnote"/>
      </w:pPr>
      <w:r>
        <w:rPr>
          <w:rStyle w:val="FootnoteReference"/>
        </w:rPr>
        <w:footnoteRef/>
      </w:r>
      <w:r w:rsidR="00D90060">
        <w:t xml:space="preserve">  </w:t>
      </w:r>
      <w:r>
        <w:t xml:space="preserve">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7">
    <w:p w14:paraId="12CD5438" w14:textId="209715E0" w:rsidR="001342B4" w:rsidRDefault="001342B4" w:rsidP="001D79EC">
      <w:pPr>
        <w:pStyle w:val="Footnote"/>
      </w:pPr>
      <w:r>
        <w:rPr>
          <w:rStyle w:val="FootnoteReference"/>
        </w:rPr>
        <w:footnoteRef/>
      </w:r>
      <w:r w:rsidR="00D90060">
        <w:t xml:space="preserve">  </w:t>
      </w:r>
      <w:r>
        <w:t>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14:paraId="6A2497C6" w14:textId="5F2EFB6E" w:rsidR="001342B4" w:rsidRDefault="001342B4" w:rsidP="001D79EC">
      <w:pPr>
        <w:pStyle w:val="Footnote"/>
      </w:pPr>
      <w:r>
        <w:rPr>
          <w:rStyle w:val="FootnoteReference"/>
        </w:rPr>
        <w:footnoteRef/>
      </w:r>
      <w:r w:rsidR="00D90060">
        <w:t xml:space="preserve">  </w:t>
      </w:r>
      <w:r>
        <w:t xml:space="preserve">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9">
    <w:p w14:paraId="18DF6B73" w14:textId="287088A0" w:rsidR="001342B4" w:rsidRDefault="001342B4" w:rsidP="001D79EC">
      <w:pPr>
        <w:pStyle w:val="Footnote"/>
      </w:pPr>
      <w:r>
        <w:rPr>
          <w:rStyle w:val="FootnoteReference"/>
        </w:rPr>
        <w:footnoteRef/>
      </w:r>
      <w:r w:rsidR="00D90060">
        <w:t xml:space="preserve">  </w:t>
      </w:r>
      <w:r>
        <w:t xml:space="preserve">Model parameter: </w:t>
      </w:r>
      <w:r w:rsidRPr="00DE27D5">
        <w:rPr>
          <w:rFonts w:ascii="Courier New" w:hAnsi="Courier New" w:cs="Courier New"/>
        </w:rPr>
        <w:t>force.volatility</w:t>
      </w:r>
    </w:p>
  </w:footnote>
  <w:footnote w:id="20">
    <w:p w14:paraId="52F56B73" w14:textId="68D82983" w:rsidR="001342B4" w:rsidRDefault="001342B4"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14:paraId="2C27EC60" w14:textId="329A12C1" w:rsidR="001342B4" w:rsidRDefault="001342B4"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2">
    <w:p w14:paraId="12A3F14D" w14:textId="77777777" w:rsidR="001342B4" w:rsidRDefault="001342B4"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3">
    <w:p w14:paraId="17990176" w14:textId="77777777" w:rsidR="001342B4" w:rsidRDefault="001342B4"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4">
    <w:p w14:paraId="63D9C749" w14:textId="77777777" w:rsidR="001342B4" w:rsidRPr="008D4F12" w:rsidRDefault="001342B4"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5">
    <w:p w14:paraId="34BF16EF" w14:textId="77777777" w:rsidR="001342B4" w:rsidRDefault="001342B4"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6">
    <w:p w14:paraId="21DF9961" w14:textId="77777777" w:rsidR="001342B4" w:rsidRDefault="001342B4"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7">
    <w:p w14:paraId="1A0BEDD1" w14:textId="77777777" w:rsidR="001342B4" w:rsidRDefault="001342B4"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28">
    <w:p w14:paraId="56AF1AA7" w14:textId="77777777" w:rsidR="001342B4" w:rsidRDefault="001342B4"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29">
    <w:p w14:paraId="169E6D8F" w14:textId="77777777" w:rsidR="001342B4" w:rsidRDefault="001342B4"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0">
    <w:p w14:paraId="56DDC836" w14:textId="77777777" w:rsidR="001342B4" w:rsidRDefault="001342B4"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1">
    <w:p w14:paraId="1556A17A" w14:textId="77777777" w:rsidR="001342B4" w:rsidRDefault="001342B4" w:rsidP="00B75001">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2">
    <w:p w14:paraId="07BD966E" w14:textId="77777777" w:rsidR="001342B4" w:rsidRDefault="001342B4" w:rsidP="002520B8">
      <w:pPr>
        <w:pStyle w:val="Footnote"/>
      </w:pPr>
      <w:r>
        <w:rPr>
          <w:rStyle w:val="FootnoteReference"/>
        </w:rPr>
        <w:footnoteRef/>
      </w:r>
      <w:r>
        <w:t>At Athena's timescale, most crowd-related phenomena are events rather than situations.</w:t>
      </w:r>
    </w:p>
  </w:footnote>
  <w:footnote w:id="33">
    <w:p w14:paraId="0F40AF3D" w14:textId="77777777" w:rsidR="001342B4" w:rsidRDefault="001342B4" w:rsidP="002520B8">
      <w:pPr>
        <w:pStyle w:val="Footnote"/>
      </w:pPr>
      <w:r>
        <w:rPr>
          <w:rStyle w:val="FootnoteReference"/>
        </w:rPr>
        <w:footnoteRef/>
      </w:r>
      <w:r>
        <w:t>This is not quite right; but the current model for displaced civilians is a stopgap until GRAM can support it properly.</w:t>
      </w:r>
    </w:p>
  </w:footnote>
  <w:footnote w:id="34">
    <w:p w14:paraId="3F8F7042" w14:textId="77777777" w:rsidR="001342B4" w:rsidRDefault="001342B4" w:rsidP="002520B8">
      <w:pPr>
        <w:pStyle w:val="Footnote"/>
      </w:pPr>
      <w:r>
        <w:rPr>
          <w:rStyle w:val="FootnoteReference"/>
        </w:rPr>
        <w:footnoteRef/>
      </w:r>
      <w:r>
        <w:t>We are ignoring civilian and organization group "forces" for the time being.</w:t>
      </w:r>
    </w:p>
  </w:footnote>
  <w:footnote w:id="35">
    <w:p w14:paraId="7CD2572F" w14:textId="77777777" w:rsidR="001342B4" w:rsidRDefault="001342B4" w:rsidP="002520B8">
      <w:pPr>
        <w:pStyle w:val="Footnote"/>
      </w:pPr>
      <w:r>
        <w:rPr>
          <w:rStyle w:val="FootnoteReference"/>
        </w:rPr>
        <w:footnoteRef/>
      </w:r>
      <w:r>
        <w:t xml:space="preserve"> Model parameter: </w:t>
      </w:r>
      <w:r w:rsidRPr="00CE4D89">
        <w:rPr>
          <w:rFonts w:ascii="Courier New" w:hAnsi="Courier New" w:cs="Courier New"/>
        </w:rPr>
        <w:t>aam.ticksPerTock</w:t>
      </w:r>
    </w:p>
  </w:footnote>
  <w:footnote w:id="36">
    <w:p w14:paraId="2C67A3A8" w14:textId="77777777" w:rsidR="001342B4" w:rsidRDefault="001342B4"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7">
    <w:p w14:paraId="1EFE27FE" w14:textId="77777777" w:rsidR="001342B4" w:rsidRDefault="001342B4"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38">
    <w:p w14:paraId="17510B73" w14:textId="77777777" w:rsidR="001342B4" w:rsidRDefault="001342B4"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39">
    <w:p w14:paraId="1B30FBE5" w14:textId="77777777" w:rsidR="001342B4" w:rsidRDefault="001342B4"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0">
    <w:p w14:paraId="413C2DC0" w14:textId="77777777" w:rsidR="001342B4" w:rsidRDefault="001342B4"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1">
    <w:p w14:paraId="3CB3E303" w14:textId="77777777" w:rsidR="001342B4" w:rsidRDefault="001342B4"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2">
    <w:p w14:paraId="5C18AFC6" w14:textId="77777777" w:rsidR="001342B4" w:rsidRDefault="001342B4"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3">
    <w:p w14:paraId="3A1C15EC" w14:textId="77777777" w:rsidR="001342B4" w:rsidRDefault="001342B4"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4">
    <w:p w14:paraId="6281D427" w14:textId="77777777" w:rsidR="001342B4" w:rsidRDefault="001342B4"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5">
    <w:p w14:paraId="29B4B8B5" w14:textId="77777777" w:rsidR="001342B4" w:rsidRDefault="001342B4"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46">
    <w:p w14:paraId="151EB7BF" w14:textId="0D04CF1B" w:rsidR="001342B4" w:rsidRDefault="001342B4" w:rsidP="002520B8">
      <w:pPr>
        <w:pStyle w:val="Footnote"/>
      </w:pPr>
      <w:r>
        <w:rPr>
          <w:rStyle w:val="FootnoteReference"/>
        </w:rPr>
        <w:footnoteRef/>
      </w:r>
      <w:r w:rsidR="00D90060">
        <w:t xml:space="preserve">  </w:t>
      </w:r>
      <w:r>
        <w:t>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7">
    <w:p w14:paraId="567BD282" w14:textId="0C89F9C8" w:rsidR="001342B4" w:rsidRDefault="001342B4" w:rsidP="002520B8">
      <w:pPr>
        <w:pStyle w:val="Footnote"/>
      </w:pPr>
      <w:r>
        <w:rPr>
          <w:rStyle w:val="FootnoteReference"/>
        </w:rPr>
        <w:footnoteRef/>
      </w:r>
      <w:r w:rsidR="00D90060">
        <w:t xml:space="preserve">  </w:t>
      </w:r>
      <w:r>
        <w:t xml:space="preserve">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48">
    <w:p w14:paraId="6747A0F0" w14:textId="24401F43" w:rsidR="001342B4" w:rsidRDefault="001342B4" w:rsidP="002520B8">
      <w:pPr>
        <w:pStyle w:val="Footnote"/>
      </w:pPr>
      <w:r>
        <w:rPr>
          <w:rStyle w:val="FootnoteReference"/>
        </w:rPr>
        <w:footnoteRef/>
      </w:r>
      <w:r w:rsidR="00D90060">
        <w:t xml:space="preserve">  </w:t>
      </w:r>
      <w:r>
        <w:t xml:space="preserve">Model parameter: </w:t>
      </w:r>
      <w:r w:rsidRPr="00C42F36">
        <w:rPr>
          <w:rFonts w:ascii="Courier New" w:hAnsi="Courier New" w:cs="Courier New"/>
        </w:rPr>
        <w:t>aam.NFvsUF.UF.coverageFunction</w:t>
      </w:r>
      <w:r>
        <w:t>, e.g., {25 1000}.</w:t>
      </w:r>
    </w:p>
  </w:footnote>
  <w:footnote w:id="49">
    <w:p w14:paraId="41F5FD9D" w14:textId="4AFC0A42" w:rsidR="001342B4" w:rsidRDefault="001342B4" w:rsidP="002520B8">
      <w:pPr>
        <w:pStyle w:val="Footnote"/>
      </w:pPr>
      <w:r>
        <w:rPr>
          <w:rStyle w:val="FootnoteReference"/>
        </w:rPr>
        <w:footnoteRef/>
      </w:r>
      <w:r w:rsidR="00D90060">
        <w:t xml:space="preserve">  </w:t>
      </w:r>
      <w:r>
        <w:t xml:space="preserve">Model parameter: </w:t>
      </w:r>
      <w:r w:rsidRPr="00C42F36">
        <w:rPr>
          <w:rFonts w:ascii="Courier New" w:hAnsi="Courier New" w:cs="Courier New"/>
        </w:rPr>
        <w:t>aam.NFvsUF.UF.nominalCoverage</w:t>
      </w:r>
      <w:r>
        <w:t>, e.g., 0.2</w:t>
      </w:r>
    </w:p>
  </w:footnote>
  <w:footnote w:id="50">
    <w:p w14:paraId="150F557E" w14:textId="77777777" w:rsidR="001342B4" w:rsidRDefault="001342B4"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1">
    <w:p w14:paraId="084F7401" w14:textId="77777777" w:rsidR="001342B4" w:rsidRDefault="001342B4"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2">
    <w:p w14:paraId="6B220ACD" w14:textId="77777777" w:rsidR="001342B4" w:rsidRDefault="001342B4"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3">
    <w:p w14:paraId="14053C68" w14:textId="77777777" w:rsidR="001342B4" w:rsidRDefault="001342B4"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4">
    <w:p w14:paraId="27EB24D8" w14:textId="77777777" w:rsidR="001342B4" w:rsidRDefault="001342B4"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5">
    <w:p w14:paraId="02F13BC1" w14:textId="77777777" w:rsidR="001342B4" w:rsidRDefault="001342B4"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6">
    <w:p w14:paraId="7B8E00F3" w14:textId="77777777" w:rsidR="001342B4" w:rsidRDefault="001342B4"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7">
    <w:p w14:paraId="4458F06F" w14:textId="77777777" w:rsidR="001342B4" w:rsidRDefault="001342B4"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58">
    <w:p w14:paraId="230C995C" w14:textId="34D5C22F" w:rsidR="001342B4" w:rsidRDefault="001342B4"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59">
    <w:p w14:paraId="35641964" w14:textId="36CB6D98" w:rsidR="001342B4" w:rsidRDefault="001342B4"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0">
    <w:p w14:paraId="5C2EE94B" w14:textId="77777777" w:rsidR="001342B4" w:rsidRDefault="001342B4" w:rsidP="00753E07">
      <w:pPr>
        <w:pStyle w:val="Footnote"/>
      </w:pPr>
      <w:r>
        <w:rPr>
          <w:rStyle w:val="FootnoteReference"/>
        </w:rPr>
        <w:footnoteRef/>
      </w:r>
      <w:r>
        <w:t>By "labor force" we mean that portion of the population that seeks to be employed, whether they are in fact employed or not.</w:t>
      </w:r>
    </w:p>
  </w:footnote>
  <w:footnote w:id="61">
    <w:p w14:paraId="0EB8C588" w14:textId="77777777" w:rsidR="001342B4" w:rsidRPr="00FF15B4" w:rsidRDefault="001342B4"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2">
    <w:p w14:paraId="1A895B3E" w14:textId="7C947BCC" w:rsidR="001342B4" w:rsidRDefault="001342B4"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is a better match for certain sectors in real economies, and it is likely that we will use it in the future.</w:t>
      </w:r>
    </w:p>
  </w:footnote>
  <w:footnote w:id="63">
    <w:p w14:paraId="227E12F5" w14:textId="2EEC7309" w:rsidR="001342B4" w:rsidRDefault="001342B4" w:rsidP="004F6A40">
      <w:pPr>
        <w:pStyle w:val="Footnote"/>
      </w:pPr>
      <w:r>
        <w:rPr>
          <w:rStyle w:val="FootnoteReference"/>
        </w:rPr>
        <w:footnoteRef/>
      </w:r>
      <w:r w:rsidR="007D445C">
        <w:t xml:space="preserve">   </w:t>
      </w:r>
      <w:r>
        <w:t>Athena's concept of dollars is somewhat notional, and certainly isn't tied to the buying power of a real American dollar.  The analyst can actually use any monetary units he chooses, provided he is consistent.</w:t>
      </w:r>
    </w:p>
  </w:footnote>
  <w:footnote w:id="64">
    <w:p w14:paraId="59AA1064" w14:textId="77777777" w:rsidR="001342B4" w:rsidRDefault="001342B4"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1EF24CA" w:rsidR="001342B4" w:rsidRPr="004D07B9" w:rsidRDefault="001342B4">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w:t>
    </w:r>
    <w:r w:rsidRPr="004D07B9">
      <w:rPr>
        <w:rFonts w:ascii="Arial" w:hAnsi="Arial" w:cs="Arial"/>
      </w:rPr>
      <w:t>, 201</w:t>
    </w:r>
    <w:r>
      <w:rPr>
        <w:rFonts w:ascii="Arial" w:hAnsi="Arial" w:cs="Arial"/>
      </w:rPr>
      <w:t>2</w:t>
    </w:r>
  </w:p>
  <w:p w14:paraId="7F59FE28" w14:textId="77777777" w:rsidR="001342B4" w:rsidRDefault="001342B4"/>
  <w:p w14:paraId="2A8EE832" w14:textId="77777777" w:rsidR="001342B4" w:rsidRDefault="001342B4"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4410"/>
    <w:rsid w:val="00025068"/>
    <w:rsid w:val="00026197"/>
    <w:rsid w:val="00030158"/>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1536B"/>
    <w:rsid w:val="0011645F"/>
    <w:rsid w:val="001254E9"/>
    <w:rsid w:val="00131106"/>
    <w:rsid w:val="00131AC4"/>
    <w:rsid w:val="001342B4"/>
    <w:rsid w:val="00135988"/>
    <w:rsid w:val="00137F55"/>
    <w:rsid w:val="00150799"/>
    <w:rsid w:val="00150E44"/>
    <w:rsid w:val="00156749"/>
    <w:rsid w:val="0015707F"/>
    <w:rsid w:val="00157602"/>
    <w:rsid w:val="00157F38"/>
    <w:rsid w:val="00162F5C"/>
    <w:rsid w:val="00163957"/>
    <w:rsid w:val="001646FD"/>
    <w:rsid w:val="00173821"/>
    <w:rsid w:val="00174A3F"/>
    <w:rsid w:val="00175021"/>
    <w:rsid w:val="0017522C"/>
    <w:rsid w:val="001811FA"/>
    <w:rsid w:val="0018237D"/>
    <w:rsid w:val="001823F8"/>
    <w:rsid w:val="00182999"/>
    <w:rsid w:val="00187E27"/>
    <w:rsid w:val="00193714"/>
    <w:rsid w:val="00193BDC"/>
    <w:rsid w:val="00194B82"/>
    <w:rsid w:val="00197A19"/>
    <w:rsid w:val="001A161E"/>
    <w:rsid w:val="001A37B5"/>
    <w:rsid w:val="001A5652"/>
    <w:rsid w:val="001C4A8F"/>
    <w:rsid w:val="001C770E"/>
    <w:rsid w:val="001D079B"/>
    <w:rsid w:val="001D79EC"/>
    <w:rsid w:val="001E2C8A"/>
    <w:rsid w:val="001E352F"/>
    <w:rsid w:val="001E49E9"/>
    <w:rsid w:val="001F1495"/>
    <w:rsid w:val="001F1E33"/>
    <w:rsid w:val="001F3779"/>
    <w:rsid w:val="001F3C5E"/>
    <w:rsid w:val="001F4BC0"/>
    <w:rsid w:val="001F594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F0580"/>
    <w:rsid w:val="002F09F0"/>
    <w:rsid w:val="002F0AC2"/>
    <w:rsid w:val="002F2184"/>
    <w:rsid w:val="002F2AB1"/>
    <w:rsid w:val="002F4F02"/>
    <w:rsid w:val="00300366"/>
    <w:rsid w:val="0030257D"/>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543E"/>
    <w:rsid w:val="00366205"/>
    <w:rsid w:val="00367DDF"/>
    <w:rsid w:val="00374DBA"/>
    <w:rsid w:val="0037789F"/>
    <w:rsid w:val="003819F9"/>
    <w:rsid w:val="00383A8B"/>
    <w:rsid w:val="003855B1"/>
    <w:rsid w:val="0038575E"/>
    <w:rsid w:val="00392218"/>
    <w:rsid w:val="00392F5C"/>
    <w:rsid w:val="00393D51"/>
    <w:rsid w:val="003957A5"/>
    <w:rsid w:val="003A1812"/>
    <w:rsid w:val="003A4485"/>
    <w:rsid w:val="003B34C3"/>
    <w:rsid w:val="003B78A6"/>
    <w:rsid w:val="003C2490"/>
    <w:rsid w:val="003C4BD8"/>
    <w:rsid w:val="003C4ECC"/>
    <w:rsid w:val="003D09A7"/>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E48"/>
    <w:rsid w:val="00500FDD"/>
    <w:rsid w:val="005010D4"/>
    <w:rsid w:val="00502610"/>
    <w:rsid w:val="005031DF"/>
    <w:rsid w:val="00503C02"/>
    <w:rsid w:val="00503C3A"/>
    <w:rsid w:val="0050673D"/>
    <w:rsid w:val="00512F11"/>
    <w:rsid w:val="0051407F"/>
    <w:rsid w:val="005161AF"/>
    <w:rsid w:val="0051708D"/>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F0349"/>
    <w:rsid w:val="005F05B2"/>
    <w:rsid w:val="005F68E4"/>
    <w:rsid w:val="005F7A67"/>
    <w:rsid w:val="006051DD"/>
    <w:rsid w:val="00605447"/>
    <w:rsid w:val="00605546"/>
    <w:rsid w:val="00605CE9"/>
    <w:rsid w:val="00606E9E"/>
    <w:rsid w:val="006167A2"/>
    <w:rsid w:val="00616B5F"/>
    <w:rsid w:val="006173CD"/>
    <w:rsid w:val="00627180"/>
    <w:rsid w:val="006301D8"/>
    <w:rsid w:val="0063155B"/>
    <w:rsid w:val="00632ED4"/>
    <w:rsid w:val="00637A12"/>
    <w:rsid w:val="00642AE2"/>
    <w:rsid w:val="00644C78"/>
    <w:rsid w:val="006467AF"/>
    <w:rsid w:val="00656127"/>
    <w:rsid w:val="00660D9C"/>
    <w:rsid w:val="0066107C"/>
    <w:rsid w:val="006652B2"/>
    <w:rsid w:val="00670FFF"/>
    <w:rsid w:val="00671D20"/>
    <w:rsid w:val="006825CD"/>
    <w:rsid w:val="006828B0"/>
    <w:rsid w:val="006828D4"/>
    <w:rsid w:val="0069063B"/>
    <w:rsid w:val="00691A52"/>
    <w:rsid w:val="00696322"/>
    <w:rsid w:val="006A2E82"/>
    <w:rsid w:val="006A312A"/>
    <w:rsid w:val="006A31E8"/>
    <w:rsid w:val="006B0577"/>
    <w:rsid w:val="006C13AD"/>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9F9"/>
    <w:rsid w:val="00725ABB"/>
    <w:rsid w:val="007278EA"/>
    <w:rsid w:val="00732DE0"/>
    <w:rsid w:val="00733C6A"/>
    <w:rsid w:val="0073651F"/>
    <w:rsid w:val="0074039D"/>
    <w:rsid w:val="0074133A"/>
    <w:rsid w:val="00741F60"/>
    <w:rsid w:val="00742821"/>
    <w:rsid w:val="00745DE5"/>
    <w:rsid w:val="00753E07"/>
    <w:rsid w:val="00756E95"/>
    <w:rsid w:val="0075746D"/>
    <w:rsid w:val="00762AAA"/>
    <w:rsid w:val="007631A3"/>
    <w:rsid w:val="0077163F"/>
    <w:rsid w:val="007753E4"/>
    <w:rsid w:val="00784C80"/>
    <w:rsid w:val="007853DF"/>
    <w:rsid w:val="00786F3A"/>
    <w:rsid w:val="007912CF"/>
    <w:rsid w:val="00794481"/>
    <w:rsid w:val="007B340C"/>
    <w:rsid w:val="007D024D"/>
    <w:rsid w:val="007D2C8E"/>
    <w:rsid w:val="007D445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A17"/>
    <w:rsid w:val="008334B3"/>
    <w:rsid w:val="00835EBB"/>
    <w:rsid w:val="00836DA5"/>
    <w:rsid w:val="00837C7A"/>
    <w:rsid w:val="00840529"/>
    <w:rsid w:val="00842F51"/>
    <w:rsid w:val="00851ADB"/>
    <w:rsid w:val="00853FAC"/>
    <w:rsid w:val="008637C8"/>
    <w:rsid w:val="008653C9"/>
    <w:rsid w:val="00867571"/>
    <w:rsid w:val="0087040D"/>
    <w:rsid w:val="008709C3"/>
    <w:rsid w:val="00874A3B"/>
    <w:rsid w:val="00883D6F"/>
    <w:rsid w:val="00884A3F"/>
    <w:rsid w:val="00885938"/>
    <w:rsid w:val="00886C25"/>
    <w:rsid w:val="008877C5"/>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5602"/>
    <w:rsid w:val="008E5C30"/>
    <w:rsid w:val="008F6D65"/>
    <w:rsid w:val="008F7ADA"/>
    <w:rsid w:val="00901829"/>
    <w:rsid w:val="00901DD4"/>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4950"/>
    <w:rsid w:val="00A24F84"/>
    <w:rsid w:val="00A27D04"/>
    <w:rsid w:val="00A31F3F"/>
    <w:rsid w:val="00A32020"/>
    <w:rsid w:val="00A355DC"/>
    <w:rsid w:val="00A35FA6"/>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B1FA5"/>
    <w:rsid w:val="00AB39B0"/>
    <w:rsid w:val="00AB418D"/>
    <w:rsid w:val="00AB6B3D"/>
    <w:rsid w:val="00AB6CF3"/>
    <w:rsid w:val="00AC5CC8"/>
    <w:rsid w:val="00AD12A8"/>
    <w:rsid w:val="00AD3D2D"/>
    <w:rsid w:val="00AD49A6"/>
    <w:rsid w:val="00AE0A41"/>
    <w:rsid w:val="00AE1C5A"/>
    <w:rsid w:val="00AE6600"/>
    <w:rsid w:val="00AF185F"/>
    <w:rsid w:val="00AF7AF6"/>
    <w:rsid w:val="00B011F1"/>
    <w:rsid w:val="00B01724"/>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80934"/>
    <w:rsid w:val="00B844AD"/>
    <w:rsid w:val="00B8554E"/>
    <w:rsid w:val="00B8735B"/>
    <w:rsid w:val="00B943E6"/>
    <w:rsid w:val="00BA6D3C"/>
    <w:rsid w:val="00BB0A87"/>
    <w:rsid w:val="00BB56FD"/>
    <w:rsid w:val="00BB6FC7"/>
    <w:rsid w:val="00BB73E9"/>
    <w:rsid w:val="00BC0823"/>
    <w:rsid w:val="00BC1F92"/>
    <w:rsid w:val="00BC67F0"/>
    <w:rsid w:val="00BD4B37"/>
    <w:rsid w:val="00BD60F4"/>
    <w:rsid w:val="00BD7DCF"/>
    <w:rsid w:val="00BD7EB6"/>
    <w:rsid w:val="00BE03DA"/>
    <w:rsid w:val="00BE1090"/>
    <w:rsid w:val="00BE4FB6"/>
    <w:rsid w:val="00BE6A0E"/>
    <w:rsid w:val="00BF263F"/>
    <w:rsid w:val="00BF3126"/>
    <w:rsid w:val="00BF6A5E"/>
    <w:rsid w:val="00C13848"/>
    <w:rsid w:val="00C17981"/>
    <w:rsid w:val="00C2148A"/>
    <w:rsid w:val="00C21BE4"/>
    <w:rsid w:val="00C244A4"/>
    <w:rsid w:val="00C27347"/>
    <w:rsid w:val="00C41A13"/>
    <w:rsid w:val="00C43429"/>
    <w:rsid w:val="00C50011"/>
    <w:rsid w:val="00C6526E"/>
    <w:rsid w:val="00C670F7"/>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D49E8"/>
    <w:rsid w:val="00DD4C78"/>
    <w:rsid w:val="00DE0B74"/>
    <w:rsid w:val="00DE1B7F"/>
    <w:rsid w:val="00DE7483"/>
    <w:rsid w:val="00DE78EF"/>
    <w:rsid w:val="00DF5280"/>
    <w:rsid w:val="00E00631"/>
    <w:rsid w:val="00E02B52"/>
    <w:rsid w:val="00E0364B"/>
    <w:rsid w:val="00E039AD"/>
    <w:rsid w:val="00E066D2"/>
    <w:rsid w:val="00E075D0"/>
    <w:rsid w:val="00E10174"/>
    <w:rsid w:val="00E108E7"/>
    <w:rsid w:val="00E128E4"/>
    <w:rsid w:val="00E24483"/>
    <w:rsid w:val="00E27B80"/>
    <w:rsid w:val="00E318B9"/>
    <w:rsid w:val="00E377EA"/>
    <w:rsid w:val="00E37B79"/>
    <w:rsid w:val="00E46EBD"/>
    <w:rsid w:val="00E52FBF"/>
    <w:rsid w:val="00E5327C"/>
    <w:rsid w:val="00E6351E"/>
    <w:rsid w:val="00E672FD"/>
    <w:rsid w:val="00E718BE"/>
    <w:rsid w:val="00E76C18"/>
    <w:rsid w:val="00E86424"/>
    <w:rsid w:val="00EA462E"/>
    <w:rsid w:val="00EB0745"/>
    <w:rsid w:val="00EB3879"/>
    <w:rsid w:val="00EB50D5"/>
    <w:rsid w:val="00EB5DBD"/>
    <w:rsid w:val="00EB6E92"/>
    <w:rsid w:val="00EB712D"/>
    <w:rsid w:val="00EC34AD"/>
    <w:rsid w:val="00EC3EAC"/>
    <w:rsid w:val="00EC4880"/>
    <w:rsid w:val="00EC5CD4"/>
    <w:rsid w:val="00EC5F3C"/>
    <w:rsid w:val="00EC7C03"/>
    <w:rsid w:val="00ED436B"/>
    <w:rsid w:val="00ED5807"/>
    <w:rsid w:val="00EE138F"/>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74691840"/>
        <c:axId val="174693376"/>
      </c:lineChart>
      <c:catAx>
        <c:axId val="174691840"/>
        <c:scaling>
          <c:orientation val="minMax"/>
        </c:scaling>
        <c:delete val="0"/>
        <c:axPos val="b"/>
        <c:numFmt formatCode="General" sourceLinked="1"/>
        <c:majorTickMark val="out"/>
        <c:minorTickMark val="none"/>
        <c:tickLblPos val="nextTo"/>
        <c:crossAx val="174693376"/>
        <c:crosses val="autoZero"/>
        <c:auto val="1"/>
        <c:lblAlgn val="ctr"/>
        <c:lblOffset val="100"/>
        <c:noMultiLvlLbl val="0"/>
      </c:catAx>
      <c:valAx>
        <c:axId val="174693376"/>
        <c:scaling>
          <c:orientation val="minMax"/>
        </c:scaling>
        <c:delete val="0"/>
        <c:axPos val="l"/>
        <c:majorGridlines/>
        <c:numFmt formatCode="General" sourceLinked="1"/>
        <c:majorTickMark val="out"/>
        <c:minorTickMark val="none"/>
        <c:tickLblPos val="nextTo"/>
        <c:crossAx val="1746918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01F0E-1B86-45EA-BBCA-6904935C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106</Pages>
  <Words>27900</Words>
  <Characters>159033</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186560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43</cp:revision>
  <cp:lastPrinted>2012-01-20T17:10:00Z</cp:lastPrinted>
  <dcterms:created xsi:type="dcterms:W3CDTF">2012-02-10T18:28:00Z</dcterms:created>
  <dcterms:modified xsi:type="dcterms:W3CDTF">2012-02-13T18:08:00Z</dcterms:modified>
</cp:coreProperties>
</file>