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3C810C36"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r w:rsidR="00FC0A5B">
        <w:rPr>
          <w:rFonts w:ascii="Arial" w:hAnsi="Arial" w:cs="Arial"/>
          <w:b/>
          <w:sz w:val="36"/>
          <w:szCs w:val="36"/>
        </w:rPr>
        <w:t xml:space="preserve"> (Draft)</w:t>
      </w:r>
    </w:p>
    <w:p w14:paraId="32967621" w14:textId="5F2228B8" w:rsidR="004D07B9" w:rsidRDefault="004D07B9" w:rsidP="004D07B9">
      <w:pPr>
        <w:pStyle w:val="Subtitle"/>
      </w:pPr>
      <w:r>
        <w:t>Athena S&amp;RO Simulation, V</w:t>
      </w:r>
      <w:r w:rsidR="00FC0A5B">
        <w:t>4</w:t>
      </w:r>
    </w:p>
    <w:p w14:paraId="513EABED" w14:textId="47A8BEF2" w:rsidR="004D07B9" w:rsidRDefault="00FC0A5B" w:rsidP="004D07B9">
      <w:pPr>
        <w:pStyle w:val="Subtitle"/>
        <w:rPr>
          <w:i w:val="0"/>
          <w:iCs w:val="0"/>
        </w:rPr>
      </w:pPr>
      <w:r>
        <w:rPr>
          <w:i w:val="0"/>
          <w:iCs w:val="0"/>
        </w:rPr>
        <w:t>April</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52AE25DC" w14:textId="77777777" w:rsidR="00C433B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C433B0">
        <w:rPr>
          <w:noProof/>
        </w:rPr>
        <w:t>Models</w:t>
      </w:r>
      <w:r w:rsidR="00C433B0">
        <w:rPr>
          <w:noProof/>
        </w:rPr>
        <w:tab/>
      </w:r>
      <w:r w:rsidR="00C433B0">
        <w:rPr>
          <w:noProof/>
        </w:rPr>
        <w:fldChar w:fldCharType="begin"/>
      </w:r>
      <w:r w:rsidR="00C433B0">
        <w:rPr>
          <w:noProof/>
        </w:rPr>
        <w:instrText xml:space="preserve"> PAGEREF _Toc323560667 \h </w:instrText>
      </w:r>
      <w:r w:rsidR="00C433B0">
        <w:rPr>
          <w:noProof/>
        </w:rPr>
      </w:r>
      <w:r w:rsidR="00C433B0">
        <w:rPr>
          <w:noProof/>
        </w:rPr>
        <w:fldChar w:fldCharType="separate"/>
      </w:r>
      <w:r w:rsidR="00C433B0">
        <w:rPr>
          <w:noProof/>
        </w:rPr>
        <w:t>5</w:t>
      </w:r>
      <w:r w:rsidR="00C433B0">
        <w:rPr>
          <w:noProof/>
        </w:rPr>
        <w:fldChar w:fldCharType="end"/>
      </w:r>
    </w:p>
    <w:p w14:paraId="7DEF3FD6" w14:textId="77777777" w:rsidR="00C433B0" w:rsidRDefault="00C433B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_Toc323560668 \h </w:instrText>
      </w:r>
      <w:r>
        <w:fldChar w:fldCharType="separate"/>
      </w:r>
      <w:r>
        <w:t>6</w:t>
      </w:r>
      <w:r>
        <w:fldChar w:fldCharType="end"/>
      </w:r>
    </w:p>
    <w:p w14:paraId="5E70E98E" w14:textId="77777777" w:rsidR="00C433B0" w:rsidRDefault="00C433B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_Toc323560669 \h </w:instrText>
      </w:r>
      <w:r>
        <w:fldChar w:fldCharType="separate"/>
      </w:r>
      <w:r>
        <w:t>6</w:t>
      </w:r>
      <w:r>
        <w:fldChar w:fldCharType="end"/>
      </w:r>
    </w:p>
    <w:p w14:paraId="2CBCCD52" w14:textId="77777777" w:rsidR="00C433B0" w:rsidRDefault="00C433B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_Toc323560670 \h </w:instrText>
      </w:r>
      <w:r>
        <w:fldChar w:fldCharType="separate"/>
      </w:r>
      <w:r>
        <w:t>6</w:t>
      </w:r>
      <w:r>
        <w:fldChar w:fldCharType="end"/>
      </w:r>
    </w:p>
    <w:p w14:paraId="621D895F" w14:textId="77777777" w:rsidR="00C433B0" w:rsidRDefault="00C433B0">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_Toc323560671 \h </w:instrText>
      </w:r>
      <w:r>
        <w:fldChar w:fldCharType="separate"/>
      </w:r>
      <w:r>
        <w:t>7</w:t>
      </w:r>
      <w:r>
        <w:fldChar w:fldCharType="end"/>
      </w:r>
    </w:p>
    <w:p w14:paraId="222BDF66" w14:textId="77777777" w:rsidR="00C433B0" w:rsidRDefault="00C433B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_Toc323560672 \h </w:instrText>
      </w:r>
      <w:r>
        <w:fldChar w:fldCharType="separate"/>
      </w:r>
      <w:r>
        <w:t>8</w:t>
      </w:r>
      <w:r>
        <w:fldChar w:fldCharType="end"/>
      </w:r>
    </w:p>
    <w:p w14:paraId="08261663" w14:textId="77777777" w:rsidR="00C433B0" w:rsidRDefault="00C433B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_Toc323560673 \h </w:instrText>
      </w:r>
      <w:r>
        <w:fldChar w:fldCharType="separate"/>
      </w:r>
      <w:r>
        <w:t>8</w:t>
      </w:r>
      <w:r>
        <w:fldChar w:fldCharType="end"/>
      </w:r>
    </w:p>
    <w:p w14:paraId="38358EA2" w14:textId="77777777" w:rsidR="00C433B0" w:rsidRDefault="00C433B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_Toc323560674 \h </w:instrText>
      </w:r>
      <w:r>
        <w:fldChar w:fldCharType="separate"/>
      </w:r>
      <w:r>
        <w:t>8</w:t>
      </w:r>
      <w:r>
        <w:fldChar w:fldCharType="end"/>
      </w:r>
    </w:p>
    <w:p w14:paraId="79ADBF4E" w14:textId="77777777" w:rsidR="00C433B0" w:rsidRDefault="00C433B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_Toc323560675 \h </w:instrText>
      </w:r>
      <w:r>
        <w:fldChar w:fldCharType="separate"/>
      </w:r>
      <w:r>
        <w:t>9</w:t>
      </w:r>
      <w:r>
        <w:fldChar w:fldCharType="end"/>
      </w:r>
    </w:p>
    <w:p w14:paraId="1991071A" w14:textId="77777777" w:rsidR="00C433B0" w:rsidRDefault="00C433B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_Toc323560676 \h </w:instrText>
      </w:r>
      <w:r>
        <w:rPr>
          <w:noProof/>
        </w:rPr>
      </w:r>
      <w:r>
        <w:rPr>
          <w:noProof/>
        </w:rPr>
        <w:fldChar w:fldCharType="separate"/>
      </w:r>
      <w:r>
        <w:rPr>
          <w:noProof/>
        </w:rPr>
        <w:t>9</w:t>
      </w:r>
      <w:r>
        <w:rPr>
          <w:noProof/>
        </w:rPr>
        <w:fldChar w:fldCharType="end"/>
      </w:r>
    </w:p>
    <w:p w14:paraId="6BCA3C58" w14:textId="77777777" w:rsidR="00C433B0" w:rsidRDefault="00C433B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_Toc323560677 \h </w:instrText>
      </w:r>
      <w:r>
        <w:rPr>
          <w:noProof/>
        </w:rPr>
      </w:r>
      <w:r>
        <w:rPr>
          <w:noProof/>
        </w:rPr>
        <w:fldChar w:fldCharType="separate"/>
      </w:r>
      <w:r>
        <w:rPr>
          <w:noProof/>
        </w:rPr>
        <w:t>10</w:t>
      </w:r>
      <w:r>
        <w:rPr>
          <w:noProof/>
        </w:rPr>
        <w:fldChar w:fldCharType="end"/>
      </w:r>
    </w:p>
    <w:p w14:paraId="4879FC3F" w14:textId="77777777" w:rsidR="00C433B0" w:rsidRDefault="00C433B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_Toc323560678 \h </w:instrText>
      </w:r>
      <w:r>
        <w:rPr>
          <w:noProof/>
        </w:rPr>
      </w:r>
      <w:r>
        <w:rPr>
          <w:noProof/>
        </w:rPr>
        <w:fldChar w:fldCharType="separate"/>
      </w:r>
      <w:r>
        <w:rPr>
          <w:noProof/>
        </w:rPr>
        <w:t>10</w:t>
      </w:r>
      <w:r>
        <w:rPr>
          <w:noProof/>
        </w:rPr>
        <w:fldChar w:fldCharType="end"/>
      </w:r>
    </w:p>
    <w:p w14:paraId="0ACED588" w14:textId="77777777" w:rsidR="00C433B0" w:rsidRDefault="00C433B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_Toc323560679 \h </w:instrText>
      </w:r>
      <w:r>
        <w:fldChar w:fldCharType="separate"/>
      </w:r>
      <w:r>
        <w:t>11</w:t>
      </w:r>
      <w:r>
        <w:fldChar w:fldCharType="end"/>
      </w:r>
    </w:p>
    <w:p w14:paraId="3BE27150" w14:textId="77777777" w:rsidR="00C433B0" w:rsidRDefault="00C433B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_Toc323560680 \h </w:instrText>
      </w:r>
      <w:r>
        <w:rPr>
          <w:noProof/>
        </w:rPr>
      </w:r>
      <w:r>
        <w:rPr>
          <w:noProof/>
        </w:rPr>
        <w:fldChar w:fldCharType="separate"/>
      </w:r>
      <w:r>
        <w:rPr>
          <w:noProof/>
        </w:rPr>
        <w:t>11</w:t>
      </w:r>
      <w:r>
        <w:rPr>
          <w:noProof/>
        </w:rPr>
        <w:fldChar w:fldCharType="end"/>
      </w:r>
    </w:p>
    <w:p w14:paraId="7921D8A9" w14:textId="77777777" w:rsidR="00C433B0" w:rsidRDefault="00C433B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_Toc323560681 \h </w:instrText>
      </w:r>
      <w:r>
        <w:rPr>
          <w:noProof/>
        </w:rPr>
      </w:r>
      <w:r>
        <w:rPr>
          <w:noProof/>
        </w:rPr>
        <w:fldChar w:fldCharType="separate"/>
      </w:r>
      <w:r>
        <w:rPr>
          <w:noProof/>
        </w:rPr>
        <w:t>12</w:t>
      </w:r>
      <w:r>
        <w:rPr>
          <w:noProof/>
        </w:rPr>
        <w:fldChar w:fldCharType="end"/>
      </w:r>
    </w:p>
    <w:p w14:paraId="2281B9FE" w14:textId="77777777" w:rsidR="00C433B0" w:rsidRDefault="00C433B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_Toc323560682 \h </w:instrText>
      </w:r>
      <w:r>
        <w:rPr>
          <w:noProof/>
        </w:rPr>
      </w:r>
      <w:r>
        <w:rPr>
          <w:noProof/>
        </w:rPr>
        <w:fldChar w:fldCharType="separate"/>
      </w:r>
      <w:r>
        <w:rPr>
          <w:noProof/>
        </w:rPr>
        <w:t>12</w:t>
      </w:r>
      <w:r>
        <w:rPr>
          <w:noProof/>
        </w:rPr>
        <w:fldChar w:fldCharType="end"/>
      </w:r>
    </w:p>
    <w:p w14:paraId="65C8FCA5" w14:textId="77777777" w:rsidR="00C433B0" w:rsidRDefault="00C433B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_Toc323560683 \h </w:instrText>
      </w:r>
      <w:r>
        <w:fldChar w:fldCharType="separate"/>
      </w:r>
      <w:r>
        <w:t>12</w:t>
      </w:r>
      <w:r>
        <w:fldChar w:fldCharType="end"/>
      </w:r>
    </w:p>
    <w:p w14:paraId="6A9128B2" w14:textId="77777777" w:rsidR="00C433B0" w:rsidRDefault="00C433B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_Toc323560684 \h </w:instrText>
      </w:r>
      <w:r>
        <w:rPr>
          <w:noProof/>
        </w:rPr>
      </w:r>
      <w:r>
        <w:rPr>
          <w:noProof/>
        </w:rPr>
        <w:fldChar w:fldCharType="separate"/>
      </w:r>
      <w:r>
        <w:rPr>
          <w:noProof/>
        </w:rPr>
        <w:t>12</w:t>
      </w:r>
      <w:r>
        <w:rPr>
          <w:noProof/>
        </w:rPr>
        <w:fldChar w:fldCharType="end"/>
      </w:r>
    </w:p>
    <w:p w14:paraId="5DD31DF0" w14:textId="77777777" w:rsidR="00C433B0" w:rsidRDefault="00C433B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_Toc323560685 \h </w:instrText>
      </w:r>
      <w:r>
        <w:rPr>
          <w:noProof/>
        </w:rPr>
      </w:r>
      <w:r>
        <w:rPr>
          <w:noProof/>
        </w:rPr>
        <w:fldChar w:fldCharType="separate"/>
      </w:r>
      <w:r>
        <w:rPr>
          <w:noProof/>
        </w:rPr>
        <w:t>13</w:t>
      </w:r>
      <w:r>
        <w:rPr>
          <w:noProof/>
        </w:rPr>
        <w:fldChar w:fldCharType="end"/>
      </w:r>
    </w:p>
    <w:p w14:paraId="073061E6"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_Toc323560686 \h </w:instrText>
      </w:r>
      <w:r>
        <w:rPr>
          <w:noProof/>
        </w:rPr>
      </w:r>
      <w:r>
        <w:rPr>
          <w:noProof/>
        </w:rPr>
        <w:fldChar w:fldCharType="separate"/>
      </w:r>
      <w:r>
        <w:rPr>
          <w:noProof/>
        </w:rPr>
        <w:t>13</w:t>
      </w:r>
      <w:r>
        <w:rPr>
          <w:noProof/>
        </w:rPr>
        <w:fldChar w:fldCharType="end"/>
      </w:r>
    </w:p>
    <w:p w14:paraId="662862A2" w14:textId="77777777" w:rsidR="00C433B0" w:rsidRDefault="00C433B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_Toc323560687 \h </w:instrText>
      </w:r>
      <w:r>
        <w:rPr>
          <w:noProof/>
        </w:rPr>
      </w:r>
      <w:r>
        <w:rPr>
          <w:noProof/>
        </w:rPr>
        <w:fldChar w:fldCharType="separate"/>
      </w:r>
      <w:r>
        <w:rPr>
          <w:noProof/>
        </w:rPr>
        <w:t>14</w:t>
      </w:r>
      <w:r>
        <w:rPr>
          <w:noProof/>
        </w:rPr>
        <w:fldChar w:fldCharType="end"/>
      </w:r>
    </w:p>
    <w:p w14:paraId="365CD5E4" w14:textId="77777777" w:rsidR="00C433B0" w:rsidRDefault="00C433B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_Toc323560688 \h </w:instrText>
      </w:r>
      <w:r>
        <w:rPr>
          <w:noProof/>
        </w:rPr>
      </w:r>
      <w:r>
        <w:rPr>
          <w:noProof/>
        </w:rPr>
        <w:fldChar w:fldCharType="separate"/>
      </w:r>
      <w:r>
        <w:rPr>
          <w:noProof/>
        </w:rPr>
        <w:t>14</w:t>
      </w:r>
      <w:r>
        <w:rPr>
          <w:noProof/>
        </w:rPr>
        <w:fldChar w:fldCharType="end"/>
      </w:r>
    </w:p>
    <w:p w14:paraId="22865B08" w14:textId="77777777" w:rsidR="00C433B0" w:rsidRDefault="00C433B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_Toc323560689 \h </w:instrText>
      </w:r>
      <w:r>
        <w:fldChar w:fldCharType="separate"/>
      </w:r>
      <w:r>
        <w:t>14</w:t>
      </w:r>
      <w:r>
        <w:fldChar w:fldCharType="end"/>
      </w:r>
    </w:p>
    <w:p w14:paraId="175EF529" w14:textId="77777777" w:rsidR="00C433B0" w:rsidRDefault="00C433B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_Toc323560690 \h </w:instrText>
      </w:r>
      <w:r>
        <w:rPr>
          <w:noProof/>
        </w:rPr>
      </w:r>
      <w:r>
        <w:rPr>
          <w:noProof/>
        </w:rPr>
        <w:fldChar w:fldCharType="separate"/>
      </w:r>
      <w:r>
        <w:rPr>
          <w:noProof/>
        </w:rPr>
        <w:t>14</w:t>
      </w:r>
      <w:r>
        <w:rPr>
          <w:noProof/>
        </w:rPr>
        <w:fldChar w:fldCharType="end"/>
      </w:r>
    </w:p>
    <w:p w14:paraId="30EFE2AA" w14:textId="77777777" w:rsidR="00C433B0" w:rsidRDefault="00C433B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_Toc323560691 \h </w:instrText>
      </w:r>
      <w:r>
        <w:rPr>
          <w:noProof/>
        </w:rPr>
      </w:r>
      <w:r>
        <w:rPr>
          <w:noProof/>
        </w:rPr>
        <w:fldChar w:fldCharType="separate"/>
      </w:r>
      <w:r>
        <w:rPr>
          <w:noProof/>
        </w:rPr>
        <w:t>15</w:t>
      </w:r>
      <w:r>
        <w:rPr>
          <w:noProof/>
        </w:rPr>
        <w:fldChar w:fldCharType="end"/>
      </w:r>
    </w:p>
    <w:p w14:paraId="7DD75325" w14:textId="77777777" w:rsidR="00C433B0" w:rsidRDefault="00C433B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_Toc323560692 \h </w:instrText>
      </w:r>
      <w:r>
        <w:rPr>
          <w:noProof/>
        </w:rPr>
      </w:r>
      <w:r>
        <w:rPr>
          <w:noProof/>
        </w:rPr>
        <w:fldChar w:fldCharType="separate"/>
      </w:r>
      <w:r>
        <w:rPr>
          <w:noProof/>
        </w:rPr>
        <w:t>15</w:t>
      </w:r>
      <w:r>
        <w:rPr>
          <w:noProof/>
        </w:rPr>
        <w:fldChar w:fldCharType="end"/>
      </w:r>
    </w:p>
    <w:p w14:paraId="489DA5E8" w14:textId="77777777" w:rsidR="00C433B0" w:rsidRDefault="00C433B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_Toc323560693 \h </w:instrText>
      </w:r>
      <w:r>
        <w:rPr>
          <w:noProof/>
        </w:rPr>
      </w:r>
      <w:r>
        <w:rPr>
          <w:noProof/>
        </w:rPr>
        <w:fldChar w:fldCharType="separate"/>
      </w:r>
      <w:r>
        <w:rPr>
          <w:noProof/>
        </w:rPr>
        <w:t>15</w:t>
      </w:r>
      <w:r>
        <w:rPr>
          <w:noProof/>
        </w:rPr>
        <w:fldChar w:fldCharType="end"/>
      </w:r>
    </w:p>
    <w:p w14:paraId="62F28BAC" w14:textId="77777777" w:rsidR="00C433B0" w:rsidRDefault="00C433B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_Toc323560694 \h </w:instrText>
      </w:r>
      <w:r>
        <w:rPr>
          <w:noProof/>
        </w:rPr>
      </w:r>
      <w:r>
        <w:rPr>
          <w:noProof/>
        </w:rPr>
        <w:fldChar w:fldCharType="separate"/>
      </w:r>
      <w:r>
        <w:rPr>
          <w:noProof/>
        </w:rPr>
        <w:t>15</w:t>
      </w:r>
      <w:r>
        <w:rPr>
          <w:noProof/>
        </w:rPr>
        <w:fldChar w:fldCharType="end"/>
      </w:r>
    </w:p>
    <w:p w14:paraId="0DE52FE3" w14:textId="77777777" w:rsidR="00C433B0" w:rsidRDefault="00C433B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_Toc323560695 \h </w:instrText>
      </w:r>
      <w:r>
        <w:rPr>
          <w:noProof/>
        </w:rPr>
      </w:r>
      <w:r>
        <w:rPr>
          <w:noProof/>
        </w:rPr>
        <w:fldChar w:fldCharType="separate"/>
      </w:r>
      <w:r>
        <w:rPr>
          <w:noProof/>
        </w:rPr>
        <w:t>16</w:t>
      </w:r>
      <w:r>
        <w:rPr>
          <w:noProof/>
        </w:rPr>
        <w:fldChar w:fldCharType="end"/>
      </w:r>
    </w:p>
    <w:p w14:paraId="2C6AC83F" w14:textId="77777777" w:rsidR="00C433B0" w:rsidRDefault="00C433B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_Toc323560696 \h </w:instrText>
      </w:r>
      <w:r>
        <w:fldChar w:fldCharType="separate"/>
      </w:r>
      <w:r>
        <w:t>16</w:t>
      </w:r>
      <w:r>
        <w:fldChar w:fldCharType="end"/>
      </w:r>
    </w:p>
    <w:p w14:paraId="1790D5E2" w14:textId="77777777" w:rsidR="00C433B0" w:rsidRDefault="00C433B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_Toc323560697 \h </w:instrText>
      </w:r>
      <w:r>
        <w:fldChar w:fldCharType="separate"/>
      </w:r>
      <w:r>
        <w:t>18</w:t>
      </w:r>
      <w:r>
        <w:fldChar w:fldCharType="end"/>
      </w:r>
    </w:p>
    <w:p w14:paraId="2A69ED09" w14:textId="77777777" w:rsidR="00C433B0" w:rsidRDefault="00C433B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_Toc323560698 \h </w:instrText>
      </w:r>
      <w:r>
        <w:fldChar w:fldCharType="separate"/>
      </w:r>
      <w:r>
        <w:t>18</w:t>
      </w:r>
      <w:r>
        <w:fldChar w:fldCharType="end"/>
      </w:r>
    </w:p>
    <w:p w14:paraId="3CB73302" w14:textId="77777777" w:rsidR="00C433B0" w:rsidRDefault="00C433B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_Toc323560699 \h </w:instrText>
      </w:r>
      <w:r>
        <w:rPr>
          <w:noProof/>
        </w:rPr>
      </w:r>
      <w:r>
        <w:rPr>
          <w:noProof/>
        </w:rPr>
        <w:fldChar w:fldCharType="separate"/>
      </w:r>
      <w:r>
        <w:rPr>
          <w:noProof/>
        </w:rPr>
        <w:t>18</w:t>
      </w:r>
      <w:r>
        <w:rPr>
          <w:noProof/>
        </w:rPr>
        <w:fldChar w:fldCharType="end"/>
      </w:r>
    </w:p>
    <w:p w14:paraId="5B2CAB2B" w14:textId="77777777" w:rsidR="00C433B0" w:rsidRDefault="00C433B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_Toc323560700 \h </w:instrText>
      </w:r>
      <w:r>
        <w:fldChar w:fldCharType="separate"/>
      </w:r>
      <w:r>
        <w:t>18</w:t>
      </w:r>
      <w:r>
        <w:fldChar w:fldCharType="end"/>
      </w:r>
    </w:p>
    <w:p w14:paraId="5BAF697C" w14:textId="77777777" w:rsidR="00C433B0" w:rsidRDefault="00C433B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_Toc323560701 \h </w:instrText>
      </w:r>
      <w:r>
        <w:rPr>
          <w:noProof/>
        </w:rPr>
      </w:r>
      <w:r>
        <w:rPr>
          <w:noProof/>
        </w:rPr>
        <w:fldChar w:fldCharType="separate"/>
      </w:r>
      <w:r>
        <w:rPr>
          <w:noProof/>
        </w:rPr>
        <w:t>18</w:t>
      </w:r>
      <w:r>
        <w:rPr>
          <w:noProof/>
        </w:rPr>
        <w:fldChar w:fldCharType="end"/>
      </w:r>
    </w:p>
    <w:p w14:paraId="736EA438" w14:textId="77777777" w:rsidR="00C433B0" w:rsidRDefault="00C433B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_Toc323560702 \h </w:instrText>
      </w:r>
      <w:r>
        <w:rPr>
          <w:noProof/>
        </w:rPr>
      </w:r>
      <w:r>
        <w:rPr>
          <w:noProof/>
        </w:rPr>
        <w:fldChar w:fldCharType="separate"/>
      </w:r>
      <w:r>
        <w:rPr>
          <w:noProof/>
        </w:rPr>
        <w:t>19</w:t>
      </w:r>
      <w:r>
        <w:rPr>
          <w:noProof/>
        </w:rPr>
        <w:fldChar w:fldCharType="end"/>
      </w:r>
    </w:p>
    <w:p w14:paraId="769EE0F1" w14:textId="77777777" w:rsidR="00C433B0" w:rsidRDefault="00C433B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_Toc323560703 \h </w:instrText>
      </w:r>
      <w:r>
        <w:fldChar w:fldCharType="separate"/>
      </w:r>
      <w:r>
        <w:t>19</w:t>
      </w:r>
      <w:r>
        <w:fldChar w:fldCharType="end"/>
      </w:r>
    </w:p>
    <w:p w14:paraId="48286D45" w14:textId="77777777" w:rsidR="00C433B0" w:rsidRDefault="00C433B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_Toc323560704 \h </w:instrText>
      </w:r>
      <w:r>
        <w:fldChar w:fldCharType="separate"/>
      </w:r>
      <w:r>
        <w:t>19</w:t>
      </w:r>
      <w:r>
        <w:fldChar w:fldCharType="end"/>
      </w:r>
    </w:p>
    <w:p w14:paraId="51F4C350" w14:textId="77777777" w:rsidR="00C433B0" w:rsidRDefault="00C433B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_Toc323560705 \h </w:instrText>
      </w:r>
      <w:r>
        <w:fldChar w:fldCharType="separate"/>
      </w:r>
      <w:r>
        <w:t>20</w:t>
      </w:r>
      <w:r>
        <w:fldChar w:fldCharType="end"/>
      </w:r>
    </w:p>
    <w:p w14:paraId="35F5A656" w14:textId="77777777" w:rsidR="00C433B0" w:rsidRDefault="00C433B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_Toc323560706 \h </w:instrText>
      </w:r>
      <w:r>
        <w:fldChar w:fldCharType="separate"/>
      </w:r>
      <w:r>
        <w:t>20</w:t>
      </w:r>
      <w:r>
        <w:fldChar w:fldCharType="end"/>
      </w:r>
    </w:p>
    <w:p w14:paraId="2BFAF5A7" w14:textId="77777777" w:rsidR="00C433B0" w:rsidRDefault="00C433B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_Toc323560707 \h </w:instrText>
      </w:r>
      <w:r>
        <w:rPr>
          <w:noProof/>
        </w:rPr>
      </w:r>
      <w:r>
        <w:rPr>
          <w:noProof/>
        </w:rPr>
        <w:fldChar w:fldCharType="separate"/>
      </w:r>
      <w:r>
        <w:rPr>
          <w:noProof/>
        </w:rPr>
        <w:t>21</w:t>
      </w:r>
      <w:r>
        <w:rPr>
          <w:noProof/>
        </w:rPr>
        <w:fldChar w:fldCharType="end"/>
      </w:r>
    </w:p>
    <w:p w14:paraId="55AEDB49" w14:textId="77777777" w:rsidR="00C433B0" w:rsidRDefault="00C433B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_Toc323560708 \h </w:instrText>
      </w:r>
      <w:r>
        <w:fldChar w:fldCharType="separate"/>
      </w:r>
      <w:r>
        <w:t>22</w:t>
      </w:r>
      <w:r>
        <w:fldChar w:fldCharType="end"/>
      </w:r>
    </w:p>
    <w:p w14:paraId="301F74A2" w14:textId="77777777" w:rsidR="00C433B0" w:rsidRDefault="00C433B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_Toc323560709 \h </w:instrText>
      </w:r>
      <w:r>
        <w:rPr>
          <w:noProof/>
        </w:rPr>
      </w:r>
      <w:r>
        <w:rPr>
          <w:noProof/>
        </w:rPr>
        <w:fldChar w:fldCharType="separate"/>
      </w:r>
      <w:r>
        <w:rPr>
          <w:noProof/>
        </w:rPr>
        <w:t>22</w:t>
      </w:r>
      <w:r>
        <w:rPr>
          <w:noProof/>
        </w:rPr>
        <w:fldChar w:fldCharType="end"/>
      </w:r>
    </w:p>
    <w:p w14:paraId="41CA4105" w14:textId="77777777" w:rsidR="00C433B0" w:rsidRDefault="00C433B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_Toc323560710 \h </w:instrText>
      </w:r>
      <w:r>
        <w:rPr>
          <w:noProof/>
        </w:rPr>
      </w:r>
      <w:r>
        <w:rPr>
          <w:noProof/>
        </w:rPr>
        <w:fldChar w:fldCharType="separate"/>
      </w:r>
      <w:r>
        <w:rPr>
          <w:noProof/>
        </w:rPr>
        <w:t>23</w:t>
      </w:r>
      <w:r>
        <w:rPr>
          <w:noProof/>
        </w:rPr>
        <w:fldChar w:fldCharType="end"/>
      </w:r>
    </w:p>
    <w:p w14:paraId="072D3250" w14:textId="77777777" w:rsidR="00C433B0" w:rsidRDefault="00C433B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_Toc323560711 \h </w:instrText>
      </w:r>
      <w:r>
        <w:fldChar w:fldCharType="separate"/>
      </w:r>
      <w:r>
        <w:t>24</w:t>
      </w:r>
      <w:r>
        <w:fldChar w:fldCharType="end"/>
      </w:r>
    </w:p>
    <w:p w14:paraId="6BEFE434" w14:textId="77777777" w:rsidR="00C433B0" w:rsidRDefault="00C433B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_Toc323560712 \h </w:instrText>
      </w:r>
      <w:r>
        <w:fldChar w:fldCharType="separate"/>
      </w:r>
      <w:r>
        <w:t>24</w:t>
      </w:r>
      <w:r>
        <w:fldChar w:fldCharType="end"/>
      </w:r>
    </w:p>
    <w:p w14:paraId="6D12811F" w14:textId="77777777" w:rsidR="00C433B0" w:rsidRDefault="00C433B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_Toc323560713 \h </w:instrText>
      </w:r>
      <w:r>
        <w:fldChar w:fldCharType="separate"/>
      </w:r>
      <w:r>
        <w:t>25</w:t>
      </w:r>
      <w:r>
        <w:fldChar w:fldCharType="end"/>
      </w:r>
    </w:p>
    <w:p w14:paraId="79F06131" w14:textId="77777777" w:rsidR="00C433B0" w:rsidRDefault="00C433B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_Toc323560714 \h </w:instrText>
      </w:r>
      <w:r>
        <w:rPr>
          <w:noProof/>
        </w:rPr>
      </w:r>
      <w:r>
        <w:rPr>
          <w:noProof/>
        </w:rPr>
        <w:fldChar w:fldCharType="separate"/>
      </w:r>
      <w:r>
        <w:rPr>
          <w:noProof/>
        </w:rPr>
        <w:t>25</w:t>
      </w:r>
      <w:r>
        <w:rPr>
          <w:noProof/>
        </w:rPr>
        <w:fldChar w:fldCharType="end"/>
      </w:r>
    </w:p>
    <w:p w14:paraId="15CD9A67" w14:textId="77777777" w:rsidR="00C433B0" w:rsidRDefault="00C433B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_Toc323560715 \h </w:instrText>
      </w:r>
      <w:r>
        <w:rPr>
          <w:noProof/>
        </w:rPr>
      </w:r>
      <w:r>
        <w:rPr>
          <w:noProof/>
        </w:rPr>
        <w:fldChar w:fldCharType="separate"/>
      </w:r>
      <w:r>
        <w:rPr>
          <w:noProof/>
        </w:rPr>
        <w:t>25</w:t>
      </w:r>
      <w:r>
        <w:rPr>
          <w:noProof/>
        </w:rPr>
        <w:fldChar w:fldCharType="end"/>
      </w:r>
    </w:p>
    <w:p w14:paraId="0BA90FCD" w14:textId="77777777" w:rsidR="00C433B0" w:rsidRDefault="00C433B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_Toc323560716 \h </w:instrText>
      </w:r>
      <w:r>
        <w:fldChar w:fldCharType="separate"/>
      </w:r>
      <w:r>
        <w:t>25</w:t>
      </w:r>
      <w:r>
        <w:fldChar w:fldCharType="end"/>
      </w:r>
    </w:p>
    <w:p w14:paraId="6FCFEFA8" w14:textId="77777777" w:rsidR="00C433B0" w:rsidRDefault="00C433B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_Toc323560717 \h </w:instrText>
      </w:r>
      <w:r>
        <w:rPr>
          <w:noProof/>
        </w:rPr>
      </w:r>
      <w:r>
        <w:rPr>
          <w:noProof/>
        </w:rPr>
        <w:fldChar w:fldCharType="separate"/>
      </w:r>
      <w:r>
        <w:rPr>
          <w:noProof/>
        </w:rPr>
        <w:t>26</w:t>
      </w:r>
      <w:r>
        <w:rPr>
          <w:noProof/>
        </w:rPr>
        <w:fldChar w:fldCharType="end"/>
      </w:r>
    </w:p>
    <w:p w14:paraId="1729E51D" w14:textId="77777777" w:rsidR="00C433B0" w:rsidRDefault="00C433B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Shifts in Neighborhood Control</w:t>
      </w:r>
      <w:r>
        <w:rPr>
          <w:noProof/>
        </w:rPr>
        <w:tab/>
      </w:r>
      <w:r>
        <w:rPr>
          <w:noProof/>
        </w:rPr>
        <w:fldChar w:fldCharType="begin"/>
      </w:r>
      <w:r>
        <w:rPr>
          <w:noProof/>
        </w:rPr>
        <w:instrText xml:space="preserve"> PAGEREF _Toc323560718 \h </w:instrText>
      </w:r>
      <w:r>
        <w:rPr>
          <w:noProof/>
        </w:rPr>
      </w:r>
      <w:r>
        <w:rPr>
          <w:noProof/>
        </w:rPr>
        <w:fldChar w:fldCharType="separate"/>
      </w:r>
      <w:r>
        <w:rPr>
          <w:noProof/>
        </w:rPr>
        <w:t>26</w:t>
      </w:r>
      <w:r>
        <w:rPr>
          <w:noProof/>
        </w:rPr>
        <w:fldChar w:fldCharType="end"/>
      </w:r>
    </w:p>
    <w:p w14:paraId="3D473E5C" w14:textId="77777777" w:rsidR="00C433B0" w:rsidRDefault="00C433B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Changes due to Changing Beliefs</w:t>
      </w:r>
      <w:r>
        <w:rPr>
          <w:noProof/>
        </w:rPr>
        <w:tab/>
      </w:r>
      <w:r>
        <w:rPr>
          <w:noProof/>
        </w:rPr>
        <w:fldChar w:fldCharType="begin"/>
      </w:r>
      <w:r>
        <w:rPr>
          <w:noProof/>
        </w:rPr>
        <w:instrText xml:space="preserve"> PAGEREF _Toc323560719 \h </w:instrText>
      </w:r>
      <w:r>
        <w:rPr>
          <w:noProof/>
        </w:rPr>
      </w:r>
      <w:r>
        <w:rPr>
          <w:noProof/>
        </w:rPr>
        <w:fldChar w:fldCharType="separate"/>
      </w:r>
      <w:r>
        <w:rPr>
          <w:noProof/>
        </w:rPr>
        <w:t>27</w:t>
      </w:r>
      <w:r>
        <w:rPr>
          <w:noProof/>
        </w:rPr>
        <w:fldChar w:fldCharType="end"/>
      </w:r>
    </w:p>
    <w:p w14:paraId="71302B6E" w14:textId="77777777" w:rsidR="00C433B0" w:rsidRDefault="00C433B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Changes due to Tactics</w:t>
      </w:r>
      <w:r>
        <w:rPr>
          <w:noProof/>
        </w:rPr>
        <w:tab/>
      </w:r>
      <w:r>
        <w:rPr>
          <w:noProof/>
        </w:rPr>
        <w:fldChar w:fldCharType="begin"/>
      </w:r>
      <w:r>
        <w:rPr>
          <w:noProof/>
        </w:rPr>
        <w:instrText xml:space="preserve"> PAGEREF _Toc323560720 \h </w:instrText>
      </w:r>
      <w:r>
        <w:rPr>
          <w:noProof/>
        </w:rPr>
      </w:r>
      <w:r>
        <w:rPr>
          <w:noProof/>
        </w:rPr>
        <w:fldChar w:fldCharType="separate"/>
      </w:r>
      <w:r>
        <w:rPr>
          <w:noProof/>
        </w:rPr>
        <w:t>27</w:t>
      </w:r>
      <w:r>
        <w:rPr>
          <w:noProof/>
        </w:rPr>
        <w:fldChar w:fldCharType="end"/>
      </w:r>
    </w:p>
    <w:p w14:paraId="5FFF1D42" w14:textId="77777777" w:rsidR="00C433B0" w:rsidRDefault="00C433B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_Toc323560721 \h </w:instrText>
      </w:r>
      <w:r>
        <w:fldChar w:fldCharType="separate"/>
      </w:r>
      <w:r>
        <w:t>28</w:t>
      </w:r>
      <w:r>
        <w:fldChar w:fldCharType="end"/>
      </w:r>
    </w:p>
    <w:p w14:paraId="59126862" w14:textId="77777777" w:rsidR="00C433B0" w:rsidRDefault="00C433B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_Toc323560722 \h </w:instrText>
      </w:r>
      <w:r>
        <w:rPr>
          <w:noProof/>
        </w:rPr>
      </w:r>
      <w:r>
        <w:rPr>
          <w:noProof/>
        </w:rPr>
        <w:fldChar w:fldCharType="separate"/>
      </w:r>
      <w:r>
        <w:rPr>
          <w:noProof/>
        </w:rPr>
        <w:t>28</w:t>
      </w:r>
      <w:r>
        <w:rPr>
          <w:noProof/>
        </w:rPr>
        <w:fldChar w:fldCharType="end"/>
      </w:r>
    </w:p>
    <w:p w14:paraId="323B57A9" w14:textId="77777777" w:rsidR="00C433B0" w:rsidRDefault="00C433B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_Toc323560723 \h </w:instrText>
      </w:r>
      <w:r>
        <w:rPr>
          <w:noProof/>
        </w:rPr>
      </w:r>
      <w:r>
        <w:rPr>
          <w:noProof/>
        </w:rPr>
        <w:fldChar w:fldCharType="separate"/>
      </w:r>
      <w:r>
        <w:rPr>
          <w:noProof/>
        </w:rPr>
        <w:t>28</w:t>
      </w:r>
      <w:r>
        <w:rPr>
          <w:noProof/>
        </w:rPr>
        <w:fldChar w:fldCharType="end"/>
      </w:r>
    </w:p>
    <w:p w14:paraId="299EC2FE" w14:textId="77777777" w:rsidR="00C433B0" w:rsidRDefault="00C433B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_Toc323560724 \h </w:instrText>
      </w:r>
      <w:r>
        <w:rPr>
          <w:noProof/>
        </w:rPr>
      </w:r>
      <w:r>
        <w:rPr>
          <w:noProof/>
        </w:rPr>
        <w:fldChar w:fldCharType="separate"/>
      </w:r>
      <w:r>
        <w:rPr>
          <w:noProof/>
        </w:rPr>
        <w:t>30</w:t>
      </w:r>
      <w:r>
        <w:rPr>
          <w:noProof/>
        </w:rPr>
        <w:fldChar w:fldCharType="end"/>
      </w:r>
    </w:p>
    <w:p w14:paraId="4AAB4085" w14:textId="77777777" w:rsidR="00C433B0" w:rsidRDefault="00C433B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_Toc323560725 \h </w:instrText>
      </w:r>
      <w:r>
        <w:rPr>
          <w:noProof/>
        </w:rPr>
      </w:r>
      <w:r>
        <w:rPr>
          <w:noProof/>
        </w:rPr>
        <w:fldChar w:fldCharType="separate"/>
      </w:r>
      <w:r>
        <w:rPr>
          <w:noProof/>
        </w:rPr>
        <w:t>31</w:t>
      </w:r>
      <w:r>
        <w:rPr>
          <w:noProof/>
        </w:rPr>
        <w:fldChar w:fldCharType="end"/>
      </w:r>
    </w:p>
    <w:p w14:paraId="26D71BA3" w14:textId="77777777" w:rsidR="00C433B0" w:rsidRDefault="00C433B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_Toc323560726 \h </w:instrText>
      </w:r>
      <w:r>
        <w:rPr>
          <w:noProof/>
        </w:rPr>
      </w:r>
      <w:r>
        <w:rPr>
          <w:noProof/>
        </w:rPr>
        <w:fldChar w:fldCharType="separate"/>
      </w:r>
      <w:r>
        <w:rPr>
          <w:noProof/>
        </w:rPr>
        <w:t>31</w:t>
      </w:r>
      <w:r>
        <w:rPr>
          <w:noProof/>
        </w:rPr>
        <w:fldChar w:fldCharType="end"/>
      </w:r>
    </w:p>
    <w:p w14:paraId="254C1695" w14:textId="77777777" w:rsidR="00C433B0" w:rsidRDefault="00C433B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_Toc323560727 \h </w:instrText>
      </w:r>
      <w:r>
        <w:fldChar w:fldCharType="separate"/>
      </w:r>
      <w:r>
        <w:t>32</w:t>
      </w:r>
      <w:r>
        <w:fldChar w:fldCharType="end"/>
      </w:r>
    </w:p>
    <w:p w14:paraId="730B07DA" w14:textId="77777777" w:rsidR="00C433B0" w:rsidRDefault="00C433B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_Toc323560728 \h </w:instrText>
      </w:r>
      <w:r>
        <w:rPr>
          <w:noProof/>
        </w:rPr>
      </w:r>
      <w:r>
        <w:rPr>
          <w:noProof/>
        </w:rPr>
        <w:fldChar w:fldCharType="separate"/>
      </w:r>
      <w:r>
        <w:rPr>
          <w:noProof/>
        </w:rPr>
        <w:t>33</w:t>
      </w:r>
      <w:r>
        <w:rPr>
          <w:noProof/>
        </w:rPr>
        <w:fldChar w:fldCharType="end"/>
      </w:r>
    </w:p>
    <w:p w14:paraId="0939191B" w14:textId="77777777" w:rsidR="00C433B0" w:rsidRDefault="00C433B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_Toc323560729 \h </w:instrText>
      </w:r>
      <w:r>
        <w:fldChar w:fldCharType="separate"/>
      </w:r>
      <w:r>
        <w:t>34</w:t>
      </w:r>
      <w:r>
        <w:fldChar w:fldCharType="end"/>
      </w:r>
    </w:p>
    <w:p w14:paraId="6E84CB4A" w14:textId="77777777" w:rsidR="00C433B0" w:rsidRDefault="00C433B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_Toc323560730 \h </w:instrText>
      </w:r>
      <w:r>
        <w:fldChar w:fldCharType="separate"/>
      </w:r>
      <w:r>
        <w:t>34</w:t>
      </w:r>
      <w:r>
        <w:fldChar w:fldCharType="end"/>
      </w:r>
    </w:p>
    <w:p w14:paraId="7777D5B5" w14:textId="77777777" w:rsidR="00C433B0" w:rsidRDefault="00C433B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_Toc323560731 \h </w:instrText>
      </w:r>
      <w:r>
        <w:fldChar w:fldCharType="separate"/>
      </w:r>
      <w:r>
        <w:t>38</w:t>
      </w:r>
      <w:r>
        <w:fldChar w:fldCharType="end"/>
      </w:r>
    </w:p>
    <w:p w14:paraId="4B4E7C4F" w14:textId="77777777" w:rsidR="00C433B0" w:rsidRDefault="00C433B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_Toc323560732 \h </w:instrText>
      </w:r>
      <w:r>
        <w:fldChar w:fldCharType="separate"/>
      </w:r>
      <w:r>
        <w:t>38</w:t>
      </w:r>
      <w:r>
        <w:fldChar w:fldCharType="end"/>
      </w:r>
    </w:p>
    <w:p w14:paraId="1D03D0C5" w14:textId="77777777" w:rsidR="00C433B0" w:rsidRDefault="00C433B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_Toc323560733 \h </w:instrText>
      </w:r>
      <w:r>
        <w:fldChar w:fldCharType="separate"/>
      </w:r>
      <w:r>
        <w:t>40</w:t>
      </w:r>
      <w:r>
        <w:fldChar w:fldCharType="end"/>
      </w:r>
    </w:p>
    <w:p w14:paraId="366CE8E3" w14:textId="77777777" w:rsidR="00C433B0" w:rsidRDefault="00C433B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_Toc323560734 \h </w:instrText>
      </w:r>
      <w:r>
        <w:fldChar w:fldCharType="separate"/>
      </w:r>
      <w:r>
        <w:t>40</w:t>
      </w:r>
      <w:r>
        <w:fldChar w:fldCharType="end"/>
      </w:r>
    </w:p>
    <w:p w14:paraId="0B2F25B5" w14:textId="77777777" w:rsidR="00C433B0" w:rsidRDefault="00C433B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_Toc323560735 \h </w:instrText>
      </w:r>
      <w:r>
        <w:fldChar w:fldCharType="separate"/>
      </w:r>
      <w:r>
        <w:t>43</w:t>
      </w:r>
      <w:r>
        <w:fldChar w:fldCharType="end"/>
      </w:r>
    </w:p>
    <w:p w14:paraId="2AC6510B" w14:textId="77777777" w:rsidR="00C433B0" w:rsidRDefault="00C433B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_Toc323560736 \h </w:instrText>
      </w:r>
      <w:r>
        <w:fldChar w:fldCharType="separate"/>
      </w:r>
      <w:r>
        <w:t>43</w:t>
      </w:r>
      <w:r>
        <w:fldChar w:fldCharType="end"/>
      </w:r>
    </w:p>
    <w:p w14:paraId="151FE6FE" w14:textId="77777777" w:rsidR="00C433B0" w:rsidRDefault="00C433B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_Toc323560737 \h </w:instrText>
      </w:r>
      <w:r>
        <w:fldChar w:fldCharType="separate"/>
      </w:r>
      <w:r>
        <w:t>44</w:t>
      </w:r>
      <w:r>
        <w:fldChar w:fldCharType="end"/>
      </w:r>
    </w:p>
    <w:p w14:paraId="03ED6981" w14:textId="77777777" w:rsidR="00C433B0" w:rsidRDefault="00C433B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_Toc323560738 \h </w:instrText>
      </w:r>
      <w:r>
        <w:fldChar w:fldCharType="separate"/>
      </w:r>
      <w:r>
        <w:t>45</w:t>
      </w:r>
      <w:r>
        <w:fldChar w:fldCharType="end"/>
      </w:r>
    </w:p>
    <w:p w14:paraId="45F53B6D" w14:textId="77777777" w:rsidR="00C433B0" w:rsidRDefault="00C433B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_Toc323560739 \h </w:instrText>
      </w:r>
      <w:r>
        <w:fldChar w:fldCharType="separate"/>
      </w:r>
      <w:r>
        <w:t>46</w:t>
      </w:r>
      <w:r>
        <w:fldChar w:fldCharType="end"/>
      </w:r>
    </w:p>
    <w:p w14:paraId="6BF59BF6" w14:textId="77777777" w:rsidR="00C433B0" w:rsidRDefault="00C433B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_Toc323560740 \h </w:instrText>
      </w:r>
      <w:r>
        <w:fldChar w:fldCharType="separate"/>
      </w:r>
      <w:r>
        <w:t>46</w:t>
      </w:r>
      <w:r>
        <w:fldChar w:fldCharType="end"/>
      </w:r>
    </w:p>
    <w:p w14:paraId="486D24A0" w14:textId="77777777" w:rsidR="00C433B0" w:rsidRDefault="00C433B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_Toc323560741 \h </w:instrText>
      </w:r>
      <w:r>
        <w:rPr>
          <w:noProof/>
        </w:rPr>
      </w:r>
      <w:r>
        <w:rPr>
          <w:noProof/>
        </w:rPr>
        <w:fldChar w:fldCharType="separate"/>
      </w:r>
      <w:r>
        <w:rPr>
          <w:noProof/>
        </w:rPr>
        <w:t>46</w:t>
      </w:r>
      <w:r>
        <w:rPr>
          <w:noProof/>
        </w:rPr>
        <w:fldChar w:fldCharType="end"/>
      </w:r>
    </w:p>
    <w:p w14:paraId="1E22FC7F" w14:textId="77777777" w:rsidR="00C433B0" w:rsidRDefault="00C433B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_Toc323560742 \h </w:instrText>
      </w:r>
      <w:r>
        <w:rPr>
          <w:noProof/>
        </w:rPr>
      </w:r>
      <w:r>
        <w:rPr>
          <w:noProof/>
        </w:rPr>
        <w:fldChar w:fldCharType="separate"/>
      </w:r>
      <w:r>
        <w:rPr>
          <w:noProof/>
        </w:rPr>
        <w:t>46</w:t>
      </w:r>
      <w:r>
        <w:rPr>
          <w:noProof/>
        </w:rPr>
        <w:fldChar w:fldCharType="end"/>
      </w:r>
    </w:p>
    <w:p w14:paraId="3F3D5CF8" w14:textId="77777777" w:rsidR="00C433B0" w:rsidRDefault="00C433B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_Toc323560743 \h </w:instrText>
      </w:r>
      <w:r>
        <w:rPr>
          <w:noProof/>
        </w:rPr>
      </w:r>
      <w:r>
        <w:rPr>
          <w:noProof/>
        </w:rPr>
        <w:fldChar w:fldCharType="separate"/>
      </w:r>
      <w:r>
        <w:rPr>
          <w:noProof/>
        </w:rPr>
        <w:t>47</w:t>
      </w:r>
      <w:r>
        <w:rPr>
          <w:noProof/>
        </w:rPr>
        <w:fldChar w:fldCharType="end"/>
      </w:r>
    </w:p>
    <w:p w14:paraId="30245EDA" w14:textId="77777777" w:rsidR="00C433B0" w:rsidRDefault="00C433B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_Toc323560744 \h </w:instrText>
      </w:r>
      <w:r>
        <w:fldChar w:fldCharType="separate"/>
      </w:r>
      <w:r>
        <w:t>48</w:t>
      </w:r>
      <w:r>
        <w:fldChar w:fldCharType="end"/>
      </w:r>
    </w:p>
    <w:p w14:paraId="7E5792FB" w14:textId="77777777" w:rsidR="00C433B0" w:rsidRDefault="00C433B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_Toc323560745 \h </w:instrText>
      </w:r>
      <w:r>
        <w:rPr>
          <w:noProof/>
        </w:rPr>
      </w:r>
      <w:r>
        <w:rPr>
          <w:noProof/>
        </w:rPr>
        <w:fldChar w:fldCharType="separate"/>
      </w:r>
      <w:r>
        <w:rPr>
          <w:noProof/>
        </w:rPr>
        <w:t>48</w:t>
      </w:r>
      <w:r>
        <w:rPr>
          <w:noProof/>
        </w:rPr>
        <w:fldChar w:fldCharType="end"/>
      </w:r>
    </w:p>
    <w:p w14:paraId="00AE9376" w14:textId="77777777" w:rsidR="00C433B0" w:rsidRDefault="00C433B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_Toc323560746 \h </w:instrText>
      </w:r>
      <w:r>
        <w:rPr>
          <w:noProof/>
        </w:rPr>
      </w:r>
      <w:r>
        <w:rPr>
          <w:noProof/>
        </w:rPr>
        <w:fldChar w:fldCharType="separate"/>
      </w:r>
      <w:r>
        <w:rPr>
          <w:noProof/>
        </w:rPr>
        <w:t>50</w:t>
      </w:r>
      <w:r>
        <w:rPr>
          <w:noProof/>
        </w:rPr>
        <w:fldChar w:fldCharType="end"/>
      </w:r>
    </w:p>
    <w:p w14:paraId="445BB51D" w14:textId="77777777" w:rsidR="00C433B0" w:rsidRDefault="00C433B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_Toc323560747 \h </w:instrText>
      </w:r>
      <w:r>
        <w:rPr>
          <w:noProof/>
        </w:rPr>
      </w:r>
      <w:r>
        <w:rPr>
          <w:noProof/>
        </w:rPr>
        <w:fldChar w:fldCharType="separate"/>
      </w:r>
      <w:r>
        <w:rPr>
          <w:noProof/>
        </w:rPr>
        <w:t>50</w:t>
      </w:r>
      <w:r>
        <w:rPr>
          <w:noProof/>
        </w:rPr>
        <w:fldChar w:fldCharType="end"/>
      </w:r>
    </w:p>
    <w:p w14:paraId="0D3FE990" w14:textId="77777777" w:rsidR="00C433B0" w:rsidRDefault="00C433B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_Toc323560748 \h </w:instrText>
      </w:r>
      <w:r>
        <w:rPr>
          <w:noProof/>
        </w:rPr>
      </w:r>
      <w:r>
        <w:rPr>
          <w:noProof/>
        </w:rPr>
        <w:fldChar w:fldCharType="separate"/>
      </w:r>
      <w:r>
        <w:rPr>
          <w:noProof/>
        </w:rPr>
        <w:t>51</w:t>
      </w:r>
      <w:r>
        <w:rPr>
          <w:noProof/>
        </w:rPr>
        <w:fldChar w:fldCharType="end"/>
      </w:r>
    </w:p>
    <w:p w14:paraId="67EFF7F3" w14:textId="77777777" w:rsidR="00C433B0" w:rsidRDefault="00C433B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_Toc323560749 \h </w:instrText>
      </w:r>
      <w:r>
        <w:rPr>
          <w:noProof/>
        </w:rPr>
      </w:r>
      <w:r>
        <w:rPr>
          <w:noProof/>
        </w:rPr>
        <w:fldChar w:fldCharType="separate"/>
      </w:r>
      <w:r>
        <w:rPr>
          <w:noProof/>
        </w:rPr>
        <w:t>52</w:t>
      </w:r>
      <w:r>
        <w:rPr>
          <w:noProof/>
        </w:rPr>
        <w:fldChar w:fldCharType="end"/>
      </w:r>
    </w:p>
    <w:p w14:paraId="7C081FC8"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_Toc323560750 \h </w:instrText>
      </w:r>
      <w:r>
        <w:rPr>
          <w:noProof/>
        </w:rPr>
      </w:r>
      <w:r>
        <w:rPr>
          <w:noProof/>
        </w:rPr>
        <w:fldChar w:fldCharType="separate"/>
      </w:r>
      <w:r>
        <w:rPr>
          <w:noProof/>
        </w:rPr>
        <w:t>52</w:t>
      </w:r>
      <w:r>
        <w:rPr>
          <w:noProof/>
        </w:rPr>
        <w:fldChar w:fldCharType="end"/>
      </w:r>
    </w:p>
    <w:p w14:paraId="5EB83B2F"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_Toc323560751 \h </w:instrText>
      </w:r>
      <w:r>
        <w:rPr>
          <w:noProof/>
        </w:rPr>
      </w:r>
      <w:r>
        <w:rPr>
          <w:noProof/>
        </w:rPr>
        <w:fldChar w:fldCharType="separate"/>
      </w:r>
      <w:r>
        <w:rPr>
          <w:noProof/>
        </w:rPr>
        <w:t>54</w:t>
      </w:r>
      <w:r>
        <w:rPr>
          <w:noProof/>
        </w:rPr>
        <w:fldChar w:fldCharType="end"/>
      </w:r>
    </w:p>
    <w:p w14:paraId="5CC359C2" w14:textId="77777777" w:rsidR="00C433B0" w:rsidRDefault="00C433B0">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_Toc323560752 \h </w:instrText>
      </w:r>
      <w:r>
        <w:rPr>
          <w:noProof/>
        </w:rPr>
      </w:r>
      <w:r>
        <w:rPr>
          <w:noProof/>
        </w:rPr>
        <w:fldChar w:fldCharType="separate"/>
      </w:r>
      <w:r>
        <w:rPr>
          <w:noProof/>
        </w:rPr>
        <w:t>55</w:t>
      </w:r>
      <w:r>
        <w:rPr>
          <w:noProof/>
        </w:rPr>
        <w:fldChar w:fldCharType="end"/>
      </w:r>
    </w:p>
    <w:p w14:paraId="4D573F97" w14:textId="77777777" w:rsidR="00C433B0" w:rsidRDefault="00C433B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_Toc323560753 \h </w:instrText>
      </w:r>
      <w:r>
        <w:fldChar w:fldCharType="separate"/>
      </w:r>
      <w:r>
        <w:t>57</w:t>
      </w:r>
      <w:r>
        <w:fldChar w:fldCharType="end"/>
      </w:r>
    </w:p>
    <w:p w14:paraId="272F7513" w14:textId="77777777" w:rsidR="00C433B0" w:rsidRDefault="00C433B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_Toc323560754 \h </w:instrText>
      </w:r>
      <w:r>
        <w:fldChar w:fldCharType="separate"/>
      </w:r>
      <w:r>
        <w:t>57</w:t>
      </w:r>
      <w:r>
        <w:fldChar w:fldCharType="end"/>
      </w:r>
    </w:p>
    <w:p w14:paraId="62AB1EFC" w14:textId="77777777" w:rsidR="00C433B0" w:rsidRDefault="00C433B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_Toc323560755 \h </w:instrText>
      </w:r>
      <w:r>
        <w:rPr>
          <w:noProof/>
        </w:rPr>
      </w:r>
      <w:r>
        <w:rPr>
          <w:noProof/>
        </w:rPr>
        <w:fldChar w:fldCharType="separate"/>
      </w:r>
      <w:r>
        <w:rPr>
          <w:noProof/>
        </w:rPr>
        <w:t>57</w:t>
      </w:r>
      <w:r>
        <w:rPr>
          <w:noProof/>
        </w:rPr>
        <w:fldChar w:fldCharType="end"/>
      </w:r>
    </w:p>
    <w:p w14:paraId="59D09584" w14:textId="77777777" w:rsidR="00C433B0" w:rsidRDefault="00C433B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_Toc323560756 \h </w:instrText>
      </w:r>
      <w:r>
        <w:rPr>
          <w:noProof/>
        </w:rPr>
      </w:r>
      <w:r>
        <w:rPr>
          <w:noProof/>
        </w:rPr>
        <w:fldChar w:fldCharType="separate"/>
      </w:r>
      <w:r>
        <w:rPr>
          <w:noProof/>
        </w:rPr>
        <w:t>58</w:t>
      </w:r>
      <w:r>
        <w:rPr>
          <w:noProof/>
        </w:rPr>
        <w:fldChar w:fldCharType="end"/>
      </w:r>
    </w:p>
    <w:p w14:paraId="3204DF57" w14:textId="77777777" w:rsidR="00C433B0" w:rsidRDefault="00C433B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_Toc323560757 \h </w:instrText>
      </w:r>
      <w:r>
        <w:rPr>
          <w:noProof/>
        </w:rPr>
      </w:r>
      <w:r>
        <w:rPr>
          <w:noProof/>
        </w:rPr>
        <w:fldChar w:fldCharType="separate"/>
      </w:r>
      <w:r>
        <w:rPr>
          <w:noProof/>
        </w:rPr>
        <w:t>59</w:t>
      </w:r>
      <w:r>
        <w:rPr>
          <w:noProof/>
        </w:rPr>
        <w:fldChar w:fldCharType="end"/>
      </w:r>
    </w:p>
    <w:p w14:paraId="7FF8E624" w14:textId="77777777" w:rsidR="00C433B0" w:rsidRDefault="00C433B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_Toc323560758 \h </w:instrText>
      </w:r>
      <w:r>
        <w:rPr>
          <w:noProof/>
        </w:rPr>
      </w:r>
      <w:r>
        <w:rPr>
          <w:noProof/>
        </w:rPr>
        <w:fldChar w:fldCharType="separate"/>
      </w:r>
      <w:r>
        <w:rPr>
          <w:noProof/>
        </w:rPr>
        <w:t>59</w:t>
      </w:r>
      <w:r>
        <w:rPr>
          <w:noProof/>
        </w:rPr>
        <w:fldChar w:fldCharType="end"/>
      </w:r>
    </w:p>
    <w:p w14:paraId="0AA1F59B" w14:textId="77777777" w:rsidR="00C433B0" w:rsidRDefault="00C433B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_Toc323560759 \h </w:instrText>
      </w:r>
      <w:r>
        <w:fldChar w:fldCharType="separate"/>
      </w:r>
      <w:r>
        <w:t>59</w:t>
      </w:r>
      <w:r>
        <w:fldChar w:fldCharType="end"/>
      </w:r>
    </w:p>
    <w:p w14:paraId="0257FED3" w14:textId="77777777" w:rsidR="00C433B0" w:rsidRDefault="00C433B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_Toc323560760 \h </w:instrText>
      </w:r>
      <w:r>
        <w:fldChar w:fldCharType="separate"/>
      </w:r>
      <w:r>
        <w:t>60</w:t>
      </w:r>
      <w:r>
        <w:fldChar w:fldCharType="end"/>
      </w:r>
    </w:p>
    <w:p w14:paraId="04D78B05" w14:textId="77777777" w:rsidR="00C433B0" w:rsidRDefault="00C433B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_Toc323560761 \h </w:instrText>
      </w:r>
      <w:r>
        <w:fldChar w:fldCharType="separate"/>
      </w:r>
      <w:r>
        <w:t>60</w:t>
      </w:r>
      <w:r>
        <w:fldChar w:fldCharType="end"/>
      </w:r>
    </w:p>
    <w:p w14:paraId="5BFCF24B" w14:textId="77777777" w:rsidR="00C433B0" w:rsidRDefault="00C433B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_Toc323560762 \h </w:instrText>
      </w:r>
      <w:r>
        <w:fldChar w:fldCharType="separate"/>
      </w:r>
      <w:r>
        <w:t>61</w:t>
      </w:r>
      <w:r>
        <w:fldChar w:fldCharType="end"/>
      </w:r>
    </w:p>
    <w:p w14:paraId="11E80FEB" w14:textId="77777777" w:rsidR="00C433B0" w:rsidRDefault="00C433B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_Toc323560763 \h </w:instrText>
      </w:r>
      <w:r>
        <w:fldChar w:fldCharType="separate"/>
      </w:r>
      <w:r>
        <w:t>61</w:t>
      </w:r>
      <w:r>
        <w:fldChar w:fldCharType="end"/>
      </w:r>
    </w:p>
    <w:p w14:paraId="0EB7730E" w14:textId="77777777" w:rsidR="00C433B0" w:rsidRDefault="00C433B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_Toc323560764 \h </w:instrText>
      </w:r>
      <w:r>
        <w:rPr>
          <w:noProof/>
        </w:rPr>
      </w:r>
      <w:r>
        <w:rPr>
          <w:noProof/>
        </w:rPr>
        <w:fldChar w:fldCharType="separate"/>
      </w:r>
      <w:r>
        <w:rPr>
          <w:noProof/>
        </w:rPr>
        <w:t>61</w:t>
      </w:r>
      <w:r>
        <w:rPr>
          <w:noProof/>
        </w:rPr>
        <w:fldChar w:fldCharType="end"/>
      </w:r>
    </w:p>
    <w:p w14:paraId="2EC59AE8" w14:textId="77777777" w:rsidR="00C433B0" w:rsidRDefault="00C433B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_Toc323560765 \h </w:instrText>
      </w:r>
      <w:r>
        <w:rPr>
          <w:noProof/>
        </w:rPr>
      </w:r>
      <w:r>
        <w:rPr>
          <w:noProof/>
        </w:rPr>
        <w:fldChar w:fldCharType="separate"/>
      </w:r>
      <w:r>
        <w:rPr>
          <w:noProof/>
        </w:rPr>
        <w:t>61</w:t>
      </w:r>
      <w:r>
        <w:rPr>
          <w:noProof/>
        </w:rPr>
        <w:fldChar w:fldCharType="end"/>
      </w:r>
    </w:p>
    <w:p w14:paraId="6DD4804F" w14:textId="77777777" w:rsidR="00C433B0" w:rsidRDefault="00C433B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_Toc323560766 \h </w:instrText>
      </w:r>
      <w:r>
        <w:rPr>
          <w:noProof/>
        </w:rPr>
      </w:r>
      <w:r>
        <w:rPr>
          <w:noProof/>
        </w:rPr>
        <w:fldChar w:fldCharType="separate"/>
      </w:r>
      <w:r>
        <w:rPr>
          <w:noProof/>
        </w:rPr>
        <w:t>61</w:t>
      </w:r>
      <w:r>
        <w:rPr>
          <w:noProof/>
        </w:rPr>
        <w:fldChar w:fldCharType="end"/>
      </w:r>
    </w:p>
    <w:p w14:paraId="0C4B423A" w14:textId="77777777" w:rsidR="00C433B0" w:rsidRDefault="00C433B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_Toc323560767 \h </w:instrText>
      </w:r>
      <w:r>
        <w:fldChar w:fldCharType="separate"/>
      </w:r>
      <w:r>
        <w:t>61</w:t>
      </w:r>
      <w:r>
        <w:fldChar w:fldCharType="end"/>
      </w:r>
    </w:p>
    <w:p w14:paraId="3E38515C" w14:textId="77777777" w:rsidR="00C433B0" w:rsidRDefault="00C433B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_Toc323560768 \h </w:instrText>
      </w:r>
      <w:r>
        <w:rPr>
          <w:noProof/>
        </w:rPr>
      </w:r>
      <w:r>
        <w:rPr>
          <w:noProof/>
        </w:rPr>
        <w:fldChar w:fldCharType="separate"/>
      </w:r>
      <w:r>
        <w:rPr>
          <w:noProof/>
        </w:rPr>
        <w:t>61</w:t>
      </w:r>
      <w:r>
        <w:rPr>
          <w:noProof/>
        </w:rPr>
        <w:fldChar w:fldCharType="end"/>
      </w:r>
    </w:p>
    <w:p w14:paraId="1196094C" w14:textId="77777777" w:rsidR="00C433B0" w:rsidRDefault="00C433B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_Toc323560769 \h </w:instrText>
      </w:r>
      <w:r>
        <w:rPr>
          <w:noProof/>
        </w:rPr>
      </w:r>
      <w:r>
        <w:rPr>
          <w:noProof/>
        </w:rPr>
        <w:fldChar w:fldCharType="separate"/>
      </w:r>
      <w:r>
        <w:rPr>
          <w:noProof/>
        </w:rPr>
        <w:t>61</w:t>
      </w:r>
      <w:r>
        <w:rPr>
          <w:noProof/>
        </w:rPr>
        <w:fldChar w:fldCharType="end"/>
      </w:r>
    </w:p>
    <w:p w14:paraId="43EF580A" w14:textId="77777777" w:rsidR="00C433B0" w:rsidRDefault="00C433B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_Toc323560770 \h </w:instrText>
      </w:r>
      <w:r>
        <w:rPr>
          <w:noProof/>
        </w:rPr>
      </w:r>
      <w:r>
        <w:rPr>
          <w:noProof/>
        </w:rPr>
        <w:fldChar w:fldCharType="separate"/>
      </w:r>
      <w:r>
        <w:rPr>
          <w:noProof/>
        </w:rPr>
        <w:t>62</w:t>
      </w:r>
      <w:r>
        <w:rPr>
          <w:noProof/>
        </w:rPr>
        <w:fldChar w:fldCharType="end"/>
      </w:r>
    </w:p>
    <w:p w14:paraId="501150A6" w14:textId="77777777" w:rsidR="00C433B0" w:rsidRDefault="00C433B0">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_Toc323560771 \h </w:instrText>
      </w:r>
      <w:r>
        <w:rPr>
          <w:noProof/>
        </w:rPr>
      </w:r>
      <w:r>
        <w:rPr>
          <w:noProof/>
        </w:rPr>
        <w:fldChar w:fldCharType="separate"/>
      </w:r>
      <w:r>
        <w:rPr>
          <w:noProof/>
        </w:rPr>
        <w:t>63</w:t>
      </w:r>
      <w:r>
        <w:rPr>
          <w:noProof/>
        </w:rPr>
        <w:fldChar w:fldCharType="end"/>
      </w:r>
    </w:p>
    <w:p w14:paraId="434FC20D" w14:textId="77777777" w:rsidR="00C433B0" w:rsidRDefault="00C433B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_Toc323560772 \h </w:instrText>
      </w:r>
      <w:r>
        <w:fldChar w:fldCharType="separate"/>
      </w:r>
      <w:r>
        <w:t>63</w:t>
      </w:r>
      <w:r>
        <w:fldChar w:fldCharType="end"/>
      </w:r>
    </w:p>
    <w:p w14:paraId="65D44D14" w14:textId="77777777" w:rsidR="00C433B0" w:rsidRDefault="00C433B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_Toc323560773 \h </w:instrText>
      </w:r>
      <w:r>
        <w:fldChar w:fldCharType="separate"/>
      </w:r>
      <w:r>
        <w:t>64</w:t>
      </w:r>
      <w:r>
        <w:fldChar w:fldCharType="end"/>
      </w:r>
    </w:p>
    <w:p w14:paraId="1C9DE8BC" w14:textId="77777777" w:rsidR="00C433B0" w:rsidRDefault="00C433B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_Toc323560774 \h </w:instrText>
      </w:r>
      <w:r>
        <w:rPr>
          <w:noProof/>
        </w:rPr>
      </w:r>
      <w:r>
        <w:rPr>
          <w:noProof/>
        </w:rPr>
        <w:fldChar w:fldCharType="separate"/>
      </w:r>
      <w:r>
        <w:rPr>
          <w:noProof/>
        </w:rPr>
        <w:t>64</w:t>
      </w:r>
      <w:r>
        <w:rPr>
          <w:noProof/>
        </w:rPr>
        <w:fldChar w:fldCharType="end"/>
      </w:r>
    </w:p>
    <w:p w14:paraId="70F6406C" w14:textId="77777777" w:rsidR="00C433B0" w:rsidRDefault="00C433B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_Toc323560775 \h </w:instrText>
      </w:r>
      <w:r>
        <w:rPr>
          <w:noProof/>
        </w:rPr>
      </w:r>
      <w:r>
        <w:rPr>
          <w:noProof/>
        </w:rPr>
        <w:fldChar w:fldCharType="separate"/>
      </w:r>
      <w:r>
        <w:rPr>
          <w:noProof/>
        </w:rPr>
        <w:t>66</w:t>
      </w:r>
      <w:r>
        <w:rPr>
          <w:noProof/>
        </w:rPr>
        <w:fldChar w:fldCharType="end"/>
      </w:r>
    </w:p>
    <w:p w14:paraId="32125E0E"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_Toc323560776 \h </w:instrText>
      </w:r>
      <w:r>
        <w:rPr>
          <w:noProof/>
        </w:rPr>
      </w:r>
      <w:r>
        <w:rPr>
          <w:noProof/>
        </w:rPr>
        <w:fldChar w:fldCharType="separate"/>
      </w:r>
      <w:r>
        <w:rPr>
          <w:noProof/>
        </w:rPr>
        <w:t>68</w:t>
      </w:r>
      <w:r>
        <w:rPr>
          <w:noProof/>
        </w:rPr>
        <w:fldChar w:fldCharType="end"/>
      </w:r>
    </w:p>
    <w:p w14:paraId="05AF0B71"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lastRenderedPageBreak/>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_Toc323560777 \h </w:instrText>
      </w:r>
      <w:r>
        <w:rPr>
          <w:noProof/>
        </w:rPr>
      </w:r>
      <w:r>
        <w:rPr>
          <w:noProof/>
        </w:rPr>
        <w:fldChar w:fldCharType="separate"/>
      </w:r>
      <w:r>
        <w:rPr>
          <w:noProof/>
        </w:rPr>
        <w:t>69</w:t>
      </w:r>
      <w:r>
        <w:rPr>
          <w:noProof/>
        </w:rPr>
        <w:fldChar w:fldCharType="end"/>
      </w:r>
    </w:p>
    <w:p w14:paraId="2756A50D"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_Toc323560778 \h </w:instrText>
      </w:r>
      <w:r>
        <w:rPr>
          <w:noProof/>
        </w:rPr>
      </w:r>
      <w:r>
        <w:rPr>
          <w:noProof/>
        </w:rPr>
        <w:fldChar w:fldCharType="separate"/>
      </w:r>
      <w:r>
        <w:rPr>
          <w:noProof/>
        </w:rPr>
        <w:t>70</w:t>
      </w:r>
      <w:r>
        <w:rPr>
          <w:noProof/>
        </w:rPr>
        <w:fldChar w:fldCharType="end"/>
      </w:r>
    </w:p>
    <w:p w14:paraId="4206A3A3" w14:textId="77777777" w:rsidR="00C433B0" w:rsidRDefault="00C433B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_Toc323560779 \h </w:instrText>
      </w:r>
      <w:r>
        <w:fldChar w:fldCharType="separate"/>
      </w:r>
      <w:r>
        <w:t>70</w:t>
      </w:r>
      <w:r>
        <w:fldChar w:fldCharType="end"/>
      </w:r>
    </w:p>
    <w:p w14:paraId="13C07BBC" w14:textId="77777777" w:rsidR="00C433B0" w:rsidRDefault="00C433B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_Toc323560780 \h </w:instrText>
      </w:r>
      <w:r>
        <w:fldChar w:fldCharType="separate"/>
      </w:r>
      <w:r>
        <w:t>71</w:t>
      </w:r>
      <w:r>
        <w:fldChar w:fldCharType="end"/>
      </w:r>
    </w:p>
    <w:p w14:paraId="5A5794C4" w14:textId="77777777" w:rsidR="00C433B0" w:rsidRDefault="00C433B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_Toc323560781 \h </w:instrText>
      </w:r>
      <w:r>
        <w:rPr>
          <w:noProof/>
        </w:rPr>
      </w:r>
      <w:r>
        <w:rPr>
          <w:noProof/>
        </w:rPr>
        <w:fldChar w:fldCharType="separate"/>
      </w:r>
      <w:r>
        <w:rPr>
          <w:noProof/>
        </w:rPr>
        <w:t>71</w:t>
      </w:r>
      <w:r>
        <w:rPr>
          <w:noProof/>
        </w:rPr>
        <w:fldChar w:fldCharType="end"/>
      </w:r>
    </w:p>
    <w:p w14:paraId="6CF30941" w14:textId="77777777" w:rsidR="00C433B0" w:rsidRDefault="00C433B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_Toc323560782 \h </w:instrText>
      </w:r>
      <w:r>
        <w:rPr>
          <w:noProof/>
        </w:rPr>
      </w:r>
      <w:r>
        <w:rPr>
          <w:noProof/>
        </w:rPr>
        <w:fldChar w:fldCharType="separate"/>
      </w:r>
      <w:r>
        <w:rPr>
          <w:noProof/>
        </w:rPr>
        <w:t>72</w:t>
      </w:r>
      <w:r>
        <w:rPr>
          <w:noProof/>
        </w:rPr>
        <w:fldChar w:fldCharType="end"/>
      </w:r>
    </w:p>
    <w:p w14:paraId="42B6EB97" w14:textId="77777777" w:rsidR="00C433B0" w:rsidRDefault="00C433B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_Toc323560783 \h </w:instrText>
      </w:r>
      <w:r>
        <w:rPr>
          <w:noProof/>
        </w:rPr>
      </w:r>
      <w:r>
        <w:rPr>
          <w:noProof/>
        </w:rPr>
        <w:fldChar w:fldCharType="separate"/>
      </w:r>
      <w:r>
        <w:rPr>
          <w:noProof/>
        </w:rPr>
        <w:t>72</w:t>
      </w:r>
      <w:r>
        <w:rPr>
          <w:noProof/>
        </w:rPr>
        <w:fldChar w:fldCharType="end"/>
      </w:r>
    </w:p>
    <w:p w14:paraId="7E78C5C3" w14:textId="77777777" w:rsidR="00C433B0" w:rsidRDefault="00C433B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_Toc323560784 \h </w:instrText>
      </w:r>
      <w:r>
        <w:fldChar w:fldCharType="separate"/>
      </w:r>
      <w:r>
        <w:t>74</w:t>
      </w:r>
      <w:r>
        <w:fldChar w:fldCharType="end"/>
      </w:r>
    </w:p>
    <w:p w14:paraId="7A47B5BC" w14:textId="77777777" w:rsidR="00C433B0" w:rsidRDefault="00C433B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_Toc323560785 \h </w:instrText>
      </w:r>
      <w:r>
        <w:fldChar w:fldCharType="separate"/>
      </w:r>
      <w:r>
        <w:t>74</w:t>
      </w:r>
      <w:r>
        <w:fldChar w:fldCharType="end"/>
      </w:r>
    </w:p>
    <w:p w14:paraId="2C13DCB7" w14:textId="77777777" w:rsidR="00C433B0" w:rsidRDefault="00C433B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_Toc323560786 \h </w:instrText>
      </w:r>
      <w:r>
        <w:fldChar w:fldCharType="separate"/>
      </w:r>
      <w:r>
        <w:t>75</w:t>
      </w:r>
      <w:r>
        <w:fldChar w:fldCharType="end"/>
      </w:r>
    </w:p>
    <w:p w14:paraId="11073638" w14:textId="77777777" w:rsidR="00C433B0" w:rsidRDefault="00C433B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_Toc323560787 \h </w:instrText>
      </w:r>
      <w:r>
        <w:fldChar w:fldCharType="separate"/>
      </w:r>
      <w:r>
        <w:t>76</w:t>
      </w:r>
      <w:r>
        <w:fldChar w:fldCharType="end"/>
      </w:r>
    </w:p>
    <w:p w14:paraId="5CB7BEBC" w14:textId="77777777" w:rsidR="00C433B0" w:rsidRDefault="00C433B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_Toc323560788 \h </w:instrText>
      </w:r>
      <w:r>
        <w:fldChar w:fldCharType="separate"/>
      </w:r>
      <w:r>
        <w:t>76</w:t>
      </w:r>
      <w:r>
        <w:fldChar w:fldCharType="end"/>
      </w:r>
    </w:p>
    <w:p w14:paraId="101D1B93" w14:textId="77777777" w:rsidR="00C433B0" w:rsidRDefault="00C433B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_Toc323560789 \h </w:instrText>
      </w:r>
      <w:r>
        <w:rPr>
          <w:noProof/>
        </w:rPr>
      </w:r>
      <w:r>
        <w:rPr>
          <w:noProof/>
        </w:rPr>
        <w:fldChar w:fldCharType="separate"/>
      </w:r>
      <w:r>
        <w:rPr>
          <w:noProof/>
        </w:rPr>
        <w:t>76</w:t>
      </w:r>
      <w:r>
        <w:rPr>
          <w:noProof/>
        </w:rPr>
        <w:fldChar w:fldCharType="end"/>
      </w:r>
    </w:p>
    <w:p w14:paraId="47B791BF" w14:textId="77777777" w:rsidR="00C433B0" w:rsidRDefault="00C433B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_Toc323560790 \h </w:instrText>
      </w:r>
      <w:r>
        <w:rPr>
          <w:noProof/>
        </w:rPr>
      </w:r>
      <w:r>
        <w:rPr>
          <w:noProof/>
        </w:rPr>
        <w:fldChar w:fldCharType="separate"/>
      </w:r>
      <w:r>
        <w:rPr>
          <w:noProof/>
        </w:rPr>
        <w:t>77</w:t>
      </w:r>
      <w:r>
        <w:rPr>
          <w:noProof/>
        </w:rPr>
        <w:fldChar w:fldCharType="end"/>
      </w:r>
    </w:p>
    <w:p w14:paraId="685F20D4" w14:textId="77777777" w:rsidR="00C433B0" w:rsidRDefault="00C433B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_Toc323560791 \h </w:instrText>
      </w:r>
      <w:r>
        <w:rPr>
          <w:noProof/>
        </w:rPr>
      </w:r>
      <w:r>
        <w:rPr>
          <w:noProof/>
        </w:rPr>
        <w:fldChar w:fldCharType="separate"/>
      </w:r>
      <w:r>
        <w:rPr>
          <w:noProof/>
        </w:rPr>
        <w:t>77</w:t>
      </w:r>
      <w:r>
        <w:rPr>
          <w:noProof/>
        </w:rPr>
        <w:fldChar w:fldCharType="end"/>
      </w:r>
    </w:p>
    <w:p w14:paraId="247B5A0E" w14:textId="77777777" w:rsidR="00C433B0" w:rsidRDefault="00C433B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_Toc323560792 \h </w:instrText>
      </w:r>
      <w:r>
        <w:rPr>
          <w:noProof/>
        </w:rPr>
      </w:r>
      <w:r>
        <w:rPr>
          <w:noProof/>
        </w:rPr>
        <w:fldChar w:fldCharType="separate"/>
      </w:r>
      <w:r>
        <w:rPr>
          <w:noProof/>
        </w:rPr>
        <w:t>77</w:t>
      </w:r>
      <w:r>
        <w:rPr>
          <w:noProof/>
        </w:rPr>
        <w:fldChar w:fldCharType="end"/>
      </w:r>
    </w:p>
    <w:p w14:paraId="2B3A9A49" w14:textId="77777777" w:rsidR="00C433B0" w:rsidRDefault="00C433B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_Toc323560793 \h </w:instrText>
      </w:r>
      <w:r>
        <w:fldChar w:fldCharType="separate"/>
      </w:r>
      <w:r>
        <w:t>78</w:t>
      </w:r>
      <w:r>
        <w:fldChar w:fldCharType="end"/>
      </w:r>
    </w:p>
    <w:p w14:paraId="023DBC23" w14:textId="77777777" w:rsidR="00C433B0" w:rsidRDefault="00C433B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_Toc323560794 \h </w:instrText>
      </w:r>
      <w:r>
        <w:rPr>
          <w:noProof/>
        </w:rPr>
      </w:r>
      <w:r>
        <w:rPr>
          <w:noProof/>
        </w:rPr>
        <w:fldChar w:fldCharType="separate"/>
      </w:r>
      <w:r>
        <w:rPr>
          <w:noProof/>
        </w:rPr>
        <w:t>78</w:t>
      </w:r>
      <w:r>
        <w:rPr>
          <w:noProof/>
        </w:rPr>
        <w:fldChar w:fldCharType="end"/>
      </w:r>
    </w:p>
    <w:p w14:paraId="1567477C" w14:textId="77777777" w:rsidR="00C433B0" w:rsidRDefault="00C433B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_Toc323560795 \h </w:instrText>
      </w:r>
      <w:r>
        <w:rPr>
          <w:noProof/>
        </w:rPr>
      </w:r>
      <w:r>
        <w:rPr>
          <w:noProof/>
        </w:rPr>
        <w:fldChar w:fldCharType="separate"/>
      </w:r>
      <w:r>
        <w:rPr>
          <w:noProof/>
        </w:rPr>
        <w:t>79</w:t>
      </w:r>
      <w:r>
        <w:rPr>
          <w:noProof/>
        </w:rPr>
        <w:fldChar w:fldCharType="end"/>
      </w:r>
    </w:p>
    <w:p w14:paraId="362E1F71" w14:textId="77777777" w:rsidR="00C433B0" w:rsidRDefault="00C433B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_Toc323560796 \h </w:instrText>
      </w:r>
      <w:r>
        <w:rPr>
          <w:noProof/>
        </w:rPr>
      </w:r>
      <w:r>
        <w:rPr>
          <w:noProof/>
        </w:rPr>
        <w:fldChar w:fldCharType="separate"/>
      </w:r>
      <w:r>
        <w:rPr>
          <w:noProof/>
        </w:rPr>
        <w:t>79</w:t>
      </w:r>
      <w:r>
        <w:rPr>
          <w:noProof/>
        </w:rPr>
        <w:fldChar w:fldCharType="end"/>
      </w:r>
    </w:p>
    <w:p w14:paraId="2278EFCB" w14:textId="77777777" w:rsidR="00C433B0" w:rsidRDefault="00C433B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_Toc323560797 \h </w:instrText>
      </w:r>
      <w:r>
        <w:rPr>
          <w:noProof/>
        </w:rPr>
      </w:r>
      <w:r>
        <w:rPr>
          <w:noProof/>
        </w:rPr>
        <w:fldChar w:fldCharType="separate"/>
      </w:r>
      <w:r>
        <w:rPr>
          <w:noProof/>
        </w:rPr>
        <w:t>79</w:t>
      </w:r>
      <w:r>
        <w:rPr>
          <w:noProof/>
        </w:rPr>
        <w:fldChar w:fldCharType="end"/>
      </w:r>
    </w:p>
    <w:p w14:paraId="14940C00" w14:textId="77777777" w:rsidR="00C433B0" w:rsidRDefault="00C433B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_Toc323560798 \h </w:instrText>
      </w:r>
      <w:r>
        <w:fldChar w:fldCharType="separate"/>
      </w:r>
      <w:r>
        <w:t>79</w:t>
      </w:r>
      <w:r>
        <w:fldChar w:fldCharType="end"/>
      </w:r>
    </w:p>
    <w:p w14:paraId="0E9D19E5" w14:textId="77777777" w:rsidR="00C433B0" w:rsidRDefault="00C433B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_Toc323560799 \h </w:instrText>
      </w:r>
      <w:r>
        <w:fldChar w:fldCharType="separate"/>
      </w:r>
      <w:r>
        <w:t>80</w:t>
      </w:r>
      <w:r>
        <w:fldChar w:fldCharType="end"/>
      </w:r>
    </w:p>
    <w:p w14:paraId="3BF71B04" w14:textId="77777777" w:rsidR="00C433B0" w:rsidRDefault="00C433B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_Toc323560800 \h </w:instrText>
      </w:r>
      <w:r>
        <w:rPr>
          <w:noProof/>
        </w:rPr>
      </w:r>
      <w:r>
        <w:rPr>
          <w:noProof/>
        </w:rPr>
        <w:fldChar w:fldCharType="separate"/>
      </w:r>
      <w:r>
        <w:rPr>
          <w:noProof/>
        </w:rPr>
        <w:t>80</w:t>
      </w:r>
      <w:r>
        <w:rPr>
          <w:noProof/>
        </w:rPr>
        <w:fldChar w:fldCharType="end"/>
      </w:r>
    </w:p>
    <w:p w14:paraId="11D44478" w14:textId="77777777" w:rsidR="00C433B0" w:rsidRDefault="00C433B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_Toc323560801 \h </w:instrText>
      </w:r>
      <w:r>
        <w:rPr>
          <w:noProof/>
        </w:rPr>
      </w:r>
      <w:r>
        <w:rPr>
          <w:noProof/>
        </w:rPr>
        <w:fldChar w:fldCharType="separate"/>
      </w:r>
      <w:r>
        <w:rPr>
          <w:noProof/>
        </w:rPr>
        <w:t>80</w:t>
      </w:r>
      <w:r>
        <w:rPr>
          <w:noProof/>
        </w:rPr>
        <w:fldChar w:fldCharType="end"/>
      </w:r>
    </w:p>
    <w:p w14:paraId="1753652C" w14:textId="77777777" w:rsidR="00C433B0" w:rsidRDefault="00C433B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_Toc323560802 \h </w:instrText>
      </w:r>
      <w:r>
        <w:rPr>
          <w:noProof/>
        </w:rPr>
      </w:r>
      <w:r>
        <w:rPr>
          <w:noProof/>
        </w:rPr>
        <w:fldChar w:fldCharType="separate"/>
      </w:r>
      <w:r>
        <w:rPr>
          <w:noProof/>
        </w:rPr>
        <w:t>81</w:t>
      </w:r>
      <w:r>
        <w:rPr>
          <w:noProof/>
        </w:rPr>
        <w:fldChar w:fldCharType="end"/>
      </w:r>
    </w:p>
    <w:p w14:paraId="755CF796" w14:textId="77777777" w:rsidR="00C433B0" w:rsidRDefault="00C433B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_Toc323560803 \h </w:instrText>
      </w:r>
      <w:r>
        <w:fldChar w:fldCharType="separate"/>
      </w:r>
      <w:r>
        <w:t>83</w:t>
      </w:r>
      <w:r>
        <w:fldChar w:fldCharType="end"/>
      </w:r>
    </w:p>
    <w:p w14:paraId="0A9334F3" w14:textId="77777777" w:rsidR="00C433B0" w:rsidRDefault="00C433B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_Toc323560804 \h </w:instrText>
      </w:r>
      <w:r>
        <w:fldChar w:fldCharType="separate"/>
      </w:r>
      <w:r>
        <w:t>83</w:t>
      </w:r>
      <w:r>
        <w:fldChar w:fldCharType="end"/>
      </w:r>
    </w:p>
    <w:p w14:paraId="4C6300B4" w14:textId="77777777" w:rsidR="00C433B0" w:rsidRDefault="00C433B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_Toc323560805 \h </w:instrText>
      </w:r>
      <w:r>
        <w:fldChar w:fldCharType="separate"/>
      </w:r>
      <w:r>
        <w:t>83</w:t>
      </w:r>
      <w:r>
        <w:fldChar w:fldCharType="end"/>
      </w:r>
    </w:p>
    <w:p w14:paraId="0D1EDC99" w14:textId="77777777" w:rsidR="00C433B0" w:rsidRDefault="00C433B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_Toc323560806 \h </w:instrText>
      </w:r>
      <w:r>
        <w:fldChar w:fldCharType="separate"/>
      </w:r>
      <w:r>
        <w:t>84</w:t>
      </w:r>
      <w:r>
        <w:fldChar w:fldCharType="end"/>
      </w:r>
    </w:p>
    <w:p w14:paraId="74019FF0" w14:textId="77777777" w:rsidR="00C433B0" w:rsidRDefault="00C433B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_Toc323560807 \h </w:instrText>
      </w:r>
      <w:r>
        <w:fldChar w:fldCharType="separate"/>
      </w:r>
      <w:r>
        <w:t>84</w:t>
      </w:r>
      <w:r>
        <w:fldChar w:fldCharType="end"/>
      </w:r>
    </w:p>
    <w:p w14:paraId="7D61A987" w14:textId="77777777" w:rsidR="00C433B0" w:rsidRDefault="00C433B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_Toc323560808 \h </w:instrText>
      </w:r>
      <w:r>
        <w:fldChar w:fldCharType="separate"/>
      </w:r>
      <w:r>
        <w:t>85</w:t>
      </w:r>
      <w:r>
        <w:fldChar w:fldCharType="end"/>
      </w:r>
    </w:p>
    <w:p w14:paraId="26B19D1A" w14:textId="77777777" w:rsidR="00C433B0" w:rsidRDefault="00C433B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_Toc323560809 \h </w:instrText>
      </w:r>
      <w:r>
        <w:fldChar w:fldCharType="separate"/>
      </w:r>
      <w:r>
        <w:t>85</w:t>
      </w:r>
      <w:r>
        <w:fldChar w:fldCharType="end"/>
      </w:r>
    </w:p>
    <w:p w14:paraId="06E4A812" w14:textId="77777777" w:rsidR="00C433B0" w:rsidRDefault="00C433B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_Toc323560810 \h </w:instrText>
      </w:r>
      <w:r>
        <w:rPr>
          <w:noProof/>
        </w:rPr>
      </w:r>
      <w:r>
        <w:rPr>
          <w:noProof/>
        </w:rPr>
        <w:fldChar w:fldCharType="separate"/>
      </w:r>
      <w:r>
        <w:rPr>
          <w:noProof/>
        </w:rPr>
        <w:t>86</w:t>
      </w:r>
      <w:r>
        <w:rPr>
          <w:noProof/>
        </w:rPr>
        <w:fldChar w:fldCharType="end"/>
      </w:r>
    </w:p>
    <w:p w14:paraId="0D1061CE" w14:textId="77777777" w:rsidR="00C433B0" w:rsidRDefault="00C433B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_Toc323560811 \h </w:instrText>
      </w:r>
      <w:r>
        <w:rPr>
          <w:noProof/>
        </w:rPr>
      </w:r>
      <w:r>
        <w:rPr>
          <w:noProof/>
        </w:rPr>
        <w:fldChar w:fldCharType="separate"/>
      </w:r>
      <w:r>
        <w:rPr>
          <w:noProof/>
        </w:rPr>
        <w:t>86</w:t>
      </w:r>
      <w:r>
        <w:rPr>
          <w:noProof/>
        </w:rPr>
        <w:fldChar w:fldCharType="end"/>
      </w:r>
    </w:p>
    <w:p w14:paraId="4884D634" w14:textId="77777777" w:rsidR="00C433B0" w:rsidRDefault="00C433B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_Toc323560812 \h </w:instrText>
      </w:r>
      <w:r>
        <w:rPr>
          <w:noProof/>
        </w:rPr>
      </w:r>
      <w:r>
        <w:rPr>
          <w:noProof/>
        </w:rPr>
        <w:fldChar w:fldCharType="separate"/>
      </w:r>
      <w:r>
        <w:rPr>
          <w:noProof/>
        </w:rPr>
        <w:t>87</w:t>
      </w:r>
      <w:r>
        <w:rPr>
          <w:noProof/>
        </w:rPr>
        <w:fldChar w:fldCharType="end"/>
      </w:r>
    </w:p>
    <w:p w14:paraId="2B1A75D7" w14:textId="77777777" w:rsidR="00C433B0" w:rsidRDefault="00C433B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_Toc323560813 \h </w:instrText>
      </w:r>
      <w:r>
        <w:fldChar w:fldCharType="separate"/>
      </w:r>
      <w:r>
        <w:t>87</w:t>
      </w:r>
      <w:r>
        <w:fldChar w:fldCharType="end"/>
      </w:r>
    </w:p>
    <w:p w14:paraId="312770A1" w14:textId="77777777" w:rsidR="00C433B0" w:rsidRDefault="00C433B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_Toc323560814 \h </w:instrText>
      </w:r>
      <w:r>
        <w:fldChar w:fldCharType="separate"/>
      </w:r>
      <w:r>
        <w:t>87</w:t>
      </w:r>
      <w:r>
        <w:fldChar w:fldCharType="end"/>
      </w:r>
    </w:p>
    <w:p w14:paraId="51189AD1" w14:textId="77777777" w:rsidR="00C433B0" w:rsidRDefault="00C433B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_Toc323560815 \h </w:instrText>
      </w:r>
      <w:r>
        <w:fldChar w:fldCharType="separate"/>
      </w:r>
      <w:r>
        <w:t>88</w:t>
      </w:r>
      <w:r>
        <w:fldChar w:fldCharType="end"/>
      </w:r>
    </w:p>
    <w:p w14:paraId="37F824F5" w14:textId="77777777" w:rsidR="00C433B0" w:rsidRDefault="00C433B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_Toc323560816 \h </w:instrText>
      </w:r>
      <w:r>
        <w:fldChar w:fldCharType="separate"/>
      </w:r>
      <w:r>
        <w:t>89</w:t>
      </w:r>
      <w:r>
        <w:fldChar w:fldCharType="end"/>
      </w:r>
    </w:p>
    <w:p w14:paraId="45AEAD76" w14:textId="77777777" w:rsidR="00C433B0" w:rsidRDefault="00C433B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_Toc323560817 \h </w:instrText>
      </w:r>
      <w:r>
        <w:fldChar w:fldCharType="separate"/>
      </w:r>
      <w:r>
        <w:t>89</w:t>
      </w:r>
      <w:r>
        <w:fldChar w:fldCharType="end"/>
      </w:r>
    </w:p>
    <w:p w14:paraId="59415544" w14:textId="77777777" w:rsidR="00C433B0" w:rsidRDefault="00C433B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_Toc323560818 \h </w:instrText>
      </w:r>
      <w:r>
        <w:fldChar w:fldCharType="separate"/>
      </w:r>
      <w:r>
        <w:t>90</w:t>
      </w:r>
      <w:r>
        <w:fldChar w:fldCharType="end"/>
      </w:r>
    </w:p>
    <w:p w14:paraId="3A7103E5" w14:textId="77777777" w:rsidR="00C433B0" w:rsidRDefault="00C433B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_Toc323560819 \h </w:instrText>
      </w:r>
      <w:r>
        <w:rPr>
          <w:noProof/>
        </w:rPr>
      </w:r>
      <w:r>
        <w:rPr>
          <w:noProof/>
        </w:rPr>
        <w:fldChar w:fldCharType="separate"/>
      </w:r>
      <w:r>
        <w:rPr>
          <w:noProof/>
        </w:rPr>
        <w:t>91</w:t>
      </w:r>
      <w:r>
        <w:rPr>
          <w:noProof/>
        </w:rPr>
        <w:fldChar w:fldCharType="end"/>
      </w:r>
    </w:p>
    <w:p w14:paraId="1CAF3B24" w14:textId="77777777" w:rsidR="00C433B0" w:rsidRDefault="00C433B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_Toc323560820 \h </w:instrText>
      </w:r>
      <w:r>
        <w:fldChar w:fldCharType="separate"/>
      </w:r>
      <w:r>
        <w:t>92</w:t>
      </w:r>
      <w:r>
        <w:fldChar w:fldCharType="end"/>
      </w:r>
    </w:p>
    <w:p w14:paraId="097C8A7B" w14:textId="77777777" w:rsidR="00C433B0" w:rsidRDefault="00C433B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_Toc323560821 \h </w:instrText>
      </w:r>
      <w:r>
        <w:fldChar w:fldCharType="separate"/>
      </w:r>
      <w:r>
        <w:t>105</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23560667"/>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23560668"/>
      <w:r>
        <w:lastRenderedPageBreak/>
        <w:t>Introduction</w:t>
      </w:r>
      <w:bookmarkEnd w:id="2"/>
      <w:bookmarkEnd w:id="3"/>
    </w:p>
    <w:p w14:paraId="4765646A" w14:textId="5EB6A46F"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C433B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23560669"/>
      <w:r w:rsidRPr="001C1CCF">
        <w:t>Overview</w:t>
      </w:r>
      <w:bookmarkEnd w:id="4"/>
      <w:bookmarkEnd w:id="5"/>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23560670"/>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lastRenderedPageBreak/>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0BC05A9F" w:rsidR="000604F7" w:rsidRDefault="000604F7" w:rsidP="000604F7">
      <w:pPr>
        <w:pStyle w:val="Heading3"/>
      </w:pPr>
      <w:bookmarkStart w:id="9" w:name="_Toc310421732"/>
      <w:bookmarkStart w:id="10" w:name="_Toc323560671"/>
      <w:r>
        <w:t xml:space="preserve">Changes for Athena </w:t>
      </w:r>
      <w:r w:rsidR="00FC0A5B">
        <w:t>4</w:t>
      </w:r>
      <w:bookmarkEnd w:id="9"/>
      <w:bookmarkEnd w:id="10"/>
    </w:p>
    <w:p w14:paraId="751AF7C5" w14:textId="43BB8367" w:rsidR="00B80D7B" w:rsidRDefault="00FC0A5B" w:rsidP="00B80D7B">
      <w:r>
        <w:t>TBD</w:t>
      </w:r>
    </w:p>
    <w:p w14:paraId="6D9A77FF" w14:textId="77777777" w:rsidR="002B6704" w:rsidRDefault="002B6704" w:rsidP="002B6704">
      <w:pPr>
        <w:pStyle w:val="Heading2"/>
      </w:pPr>
      <w:bookmarkStart w:id="11" w:name="_Ref309649305"/>
      <w:bookmarkStart w:id="12" w:name="_Toc310421733"/>
      <w:bookmarkStart w:id="13" w:name="_Toc323560672"/>
      <w:r>
        <w:lastRenderedPageBreak/>
        <w:t>Athena Concepts</w:t>
      </w:r>
      <w:bookmarkEnd w:id="11"/>
      <w:bookmarkEnd w:id="12"/>
      <w:bookmarkEnd w:id="13"/>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C433B0">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23560673"/>
      <w:r>
        <w:t>Model Parameters</w:t>
      </w:r>
      <w:bookmarkEnd w:id="14"/>
      <w:bookmarkEnd w:id="15"/>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23560674"/>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193ABB44"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8C8935D" w14:textId="77777777" w:rsidR="002B6704" w:rsidRPr="00E03798" w:rsidRDefault="002B6704" w:rsidP="002B6704"/>
    <w:p w14:paraId="6655E158" w14:textId="0845DEF0"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zulu time string based on the start date.</w:t>
      </w:r>
    </w:p>
    <w:p w14:paraId="61CA2349" w14:textId="77777777" w:rsidR="002B6704" w:rsidRDefault="002B6704" w:rsidP="002B6704"/>
    <w:p w14:paraId="07B2CC22" w14:textId="5CCBC515"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xml:space="preserve">.  For example, economics </w:t>
      </w:r>
      <w:r w:rsidR="00EE3FE6">
        <w:t>is</w:t>
      </w:r>
      <w:r>
        <w:t xml:space="preserve"> assessed every </w:t>
      </w:r>
      <w:r w:rsidR="00EE3FE6">
        <w:t>week</w:t>
      </w:r>
      <w:r>
        <w:t xml:space="preserve"> (by default); thus, we say that the economics tock </w:t>
      </w:r>
      <w:r w:rsidR="00EE3FE6">
        <w:t>is</w:t>
      </w:r>
      <w:r>
        <w:t xml:space="preserve"> one week.</w:t>
      </w:r>
      <w:r w:rsidR="00EE3FE6">
        <w:rPr>
          <w:rStyle w:val="FootnoteReference"/>
        </w:rPr>
        <w:footnoteReference w:id="3"/>
      </w:r>
    </w:p>
    <w:p w14:paraId="714DDBB0" w14:textId="77777777" w:rsidR="002B6704" w:rsidRDefault="002B6704" w:rsidP="002B6704">
      <w:pPr>
        <w:pStyle w:val="Heading3"/>
      </w:pPr>
      <w:bookmarkStart w:id="18" w:name="_Toc310421736"/>
      <w:bookmarkStart w:id="19" w:name="_Toc323560675"/>
      <w:r>
        <w:lastRenderedPageBreak/>
        <w:t>Geography</w:t>
      </w:r>
      <w:bookmarkEnd w:id="18"/>
      <w:bookmarkEnd w:id="19"/>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0" w:name="_Toc310421737"/>
      <w:bookmarkStart w:id="21" w:name="_Toc323560676"/>
      <w:r w:rsidRPr="002B6704">
        <w:t>Neighborhoods</w:t>
      </w:r>
      <w:bookmarkEnd w:id="20"/>
      <w:bookmarkEnd w:id="21"/>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4"/>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7C6DC9" w:rsidRDefault="007C6DC9"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7C6DC9" w:rsidRDefault="007C6DC9"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7C6DC9" w:rsidRDefault="007C6DC9"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7C6DC9" w:rsidRDefault="007C6DC9"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7C6DC9" w:rsidRDefault="007C6DC9"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7C6DC9" w:rsidRDefault="007C6DC9"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7C6DC9" w:rsidRDefault="007C6DC9"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7C6DC9" w:rsidRDefault="007C6DC9"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7C6DC9" w:rsidRDefault="007C6DC9" w:rsidP="002B6704">
                              <w:r>
                                <w:t>E</w:t>
                              </w:r>
                            </w:p>
                          </w:txbxContent>
                        </wps:txbx>
                        <wps:bodyPr vert="horz" lIns="89976" tIns="44988" rIns="89976" bIns="44988" anchorCtr="0" compatLnSpc="0">
                          <a:spAutoFit/>
                        </wps:bodyPr>
                      </wps:wsp>
                    </wpg:wgp>
                  </a:graphicData>
                </a:graphic>
              </wp:inline>
            </w:drawing>
          </mc:Choice>
          <mc:Fallback xmlns:mv="urn:schemas-microsoft-com:mac:vml" xmlns:mo="http://schemas.microsoft.com/office/mac/office/2008/main">
            <w:pict>
              <v:group id="Group 1" o:spid="_x0000_s1026"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DV0lrkYwYAAN0iAAAOAAAAAAAAAAAAAAAAACwCAABkcnMvZTJvRG9j&#10;LnhtbFBLAQItABQABgAIAAAAIQAUuc6J3QAAAAUBAAAPAAAAAAAAAAAAAAAAALsIAABkcnMvZG93&#10;bnJldi54bWxQSwUGAAAAAAQABADzAAAAxQkAAAAA&#10;">
                <v:shape id="Freeform 2" o:spid="_x0000_s1027"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p05wwAA&#10;ANoAAAAPAAAAZHJzL2Rvd25yZXYueG1sRI9Bi8IwFITvgv8hPMGLrOkKinSNoosuexNbD/b2aJ5t&#10;afNSmqjdf78RBI/DzHzDrDa9acSdOldZVvA5jUAQ51ZXXCg4p4ePJQjnkTU2lknBHznYrIeDFcba&#10;PvhE98QXIkDYxaig9L6NpXR5SQbd1LbEwbvazqAPsiuk7vAR4KaRsyhaSIMVh4USW/ouKa+Tm1Fw&#10;Setsu7su91ma/RwPu0m7n9dzpcajfvsFwlPv3+FX+1crmMHzSrg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ip05wwAAANoAAAAPAAAAAAAAAAAAAAAAAJcCAABkcnMvZG93&#10;bnJldi54bWxQSwUGAAAAAAQABAD1AAAAhwM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056FB20B" w14:textId="77777777" w:rsidR="002E7BC9" w:rsidRDefault="002E7BC9" w:rsidP="002B6704">
                        <w:pPr>
                          <w:jc w:val="center"/>
                        </w:pPr>
                      </w:p>
                    </w:txbxContent>
                  </v:textbox>
                </v:shape>
                <v:shape id="Freeform 3" o:spid="_x0000_s1028"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7WDnxAAA&#10;ANoAAAAPAAAAZHJzL2Rvd25yZXYueG1sRI9Pa8JAFMTvgt9heUIvRTe2VCW6igq2PYjgn4u3R/aZ&#10;RLNvY3Zr4rd3hYLHYWZ+w0xmjSnEjSqXW1bQ70UgiBOrc04VHPar7giE88gaC8uk4E4OZtN2a4Kx&#10;tjVv6bbzqQgQdjEqyLwvYyldkpFB17MlcfBOtjLog6xSqSusA9wU8iOKBtJgzmEhw5KWGSWX3Z9R&#10;kKz09bhZnxbfP+v9+Wt4eLe1JKXeOs18DMJT41/h//avVvAJzyvhBsjp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1g58QAAADaAAAADwAAAAAAAAAAAAAAAACXAgAAZHJzL2Rv&#10;d25yZXYueG1sUEsFBgAAAAAEAAQA9QAAAIgDA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19772CD5" w14:textId="77777777" w:rsidR="002E7BC9" w:rsidRDefault="002E7BC9" w:rsidP="002B6704"/>
                    </w:txbxContent>
                  </v:textbox>
                </v:shape>
                <v:shape id="Freeform 4" o:spid="_x0000_s1029"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YMLxgAA&#10;ANoAAAAPAAAAZHJzL2Rvd25yZXYueG1sRI9Pa8JAFMTvBb/D8gpeim4UkRJdpUgr6qHWPwjentln&#10;Esy+Ddk1Rj99tyD0OMzMb5jxtDGFqKlyuWUFvW4EgjixOudUwX731XkH4TyyxsIyKbiTg+mk9TLG&#10;WNsbb6je+lQECLsYFWTel7GULsnIoOvakjh4Z1sZ9EFWqdQV3gLcFLIfRUNpMOewkGFJs4ySy/Zq&#10;FBx+lit76s3X35/nx5s7rmebY50r1X5tPkYgPDX+P/xsL7SCAfxdCTdAT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kYMLxgAAANoAAAAPAAAAAAAAAAAAAAAAAJcCAABkcnMv&#10;ZG93bnJldi54bWxQSwUGAAAAAAQABAD1AAAAigM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66D38184" w14:textId="77777777" w:rsidR="002E7BC9" w:rsidRDefault="002E7BC9" w:rsidP="002B6704"/>
                    </w:txbxContent>
                  </v:textbox>
                </v:shape>
                <v:shape id="Freeform 5" o:spid="_x0000_s1030"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r9mwwAA&#10;ANoAAAAPAAAAZHJzL2Rvd25yZXYueG1sRI9Bi8IwFITvgv8hPMGbpgrKUo0iiuLFdbeK52fzbIvN&#10;S2mi7frrzcLCHoeZ+YaZL1tTiifVrrCsYDSMQBCnVhecKTiftoMPEM4jaywtk4IfcrBcdDtzjLVt&#10;+Jueic9EgLCLUUHufRVL6dKcDLqhrYiDd7O1QR9knUldYxPgppTjKJpKgwWHhRwrWueU3pOHUfC5&#10;qXaH9XE/OlxvlzbRr69mPGmU6vfa1QyEp9b/h//ae61gAr9Xwg2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Hr9mwwAAANoAAAAPAAAAAAAAAAAAAAAAAJcCAABkcnMvZG93&#10;bnJldi54bWxQSwUGAAAAAAQABAD1AAAAhwM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7055969D" w14:textId="77777777" w:rsidR="002E7BC9" w:rsidRDefault="002E7BC9" w:rsidP="002B6704"/>
                    </w:txbxContent>
                  </v:textbox>
                </v:shape>
                <v:line id="Straight Connector 6" o:spid="_x0000_s1031"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0,0l0,21600,21600,21600,21600,0xe">
                  <v:stroke joinstyle="miter"/>
                  <v:path gradientshapeok="t" o:connecttype="rect"/>
                </v:shapetype>
                <v:shape id="Text Box 8" o:spid="_x0000_s1033"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xj7wQAA&#10;ANoAAAAPAAAAZHJzL2Rvd25yZXYueG1sRE/Pa8IwFL4P9j+EN/A20/UwpJoWlU0GnuzG1NujebZ1&#10;zUtJorb/vTkIO358vxfFYDpxJedbywrepgkI4srqlmsFP9+frzMQPiBr7CyTgpE8FPnz0wIzbW+8&#10;o2sZahFD2GeooAmhz6T0VUMG/dT2xJE7WWcwROhqqR3eYrjpZJok79Jgy7GhwZ7WDVV/5cUoKD+O&#10;KzfqfY+H33GzP6frdLsqlZq8DMs5iEBD+Bc/3F9aQdwar8QbIP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jcY+8EAAADaAAAADwAAAAAAAAAAAAAAAACXAgAAZHJzL2Rvd25y&#10;ZXYueG1sUEsFBgAAAAAEAAQA9QAAAIUDAAAAAA==&#10;" filled="f" stroked="f">
                  <v:textbox style="mso-fit-shape-to-text:t" inset="89976emu,44988emu,89976emu,44988emu">
                    <w:txbxContent>
                      <w:p w14:paraId="2C9E51A4" w14:textId="00CA6488" w:rsidR="002E7BC9" w:rsidRDefault="00674F1B" w:rsidP="002B6704">
                        <w:r>
                          <w:t>A</w:t>
                        </w:r>
                      </w:p>
                    </w:txbxContent>
                  </v:textbox>
                </v:shape>
                <v:shape id="Text Box 9" o:spid="_x0000_s1034"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71gxAAA&#10;ANoAAAAPAAAAZHJzL2Rvd25yZXYueG1sRI9Ba8JAFITvgv9heUJvZmMOpY2uUsWWQk9G0fb2yL4m&#10;abNvw+5Wk3/vFgSPw8x8wyxWvWnFmZxvLCuYJSkI4tLqhisFh/3r9AmED8gaW8ukYCAPq+V4tMBc&#10;2wvv6FyESkQI+xwV1CF0uZS+rMmgT2xHHL1v6wyGKF0ltcNLhJtWZmn6KA02HBdq7GhTU/lb/BkF&#10;xfZr7QZ96vDzOLydfrJN9rEulHqY9C9zEIH6cA/f2u9awTP8X4k3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u9YMQAAADaAAAADwAAAAAAAAAAAAAAAACXAgAAZHJzL2Rv&#10;d25yZXYueG1sUEsFBgAAAAAEAAQA9QAAAIgDAAAAAA==&#10;" filled="f" stroked="f">
                  <v:textbox style="mso-fit-shape-to-text:t" inset="89976emu,44988emu,89976emu,44988emu">
                    <w:txbxContent>
                      <w:p w14:paraId="5C604AAD" w14:textId="3BF1724A" w:rsidR="002E7BC9" w:rsidRDefault="00674F1B" w:rsidP="002B6704">
                        <w:r>
                          <w:t>B</w:t>
                        </w:r>
                      </w:p>
                    </w:txbxContent>
                  </v:textbox>
                </v:shape>
                <v:shape id="Text Box 10" o:spid="_x0000_s1035"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YpFxQAA&#10;ANsAAAAPAAAAZHJzL2Rvd25yZXYueG1sRI9Bb8IwDIXvk/YfIk/abaTrYZoKAQHa0KSd1k0DblZj&#10;2rLGqZIA7b/HB6TdbL3n9z7PFoPr1JlCbD0beJ5koIgrb1uuDfx8vz+9gooJ2WLnmQyMFGExv7+b&#10;YWH9hb/oXKZaSQjHAg00KfWF1rFqyGGc+J5YtIMPDpOsodY24EXCXafzLHvRDluWhgZ7WjdU/ZUn&#10;Z6B826/CaLc97n7HzfaYr/PPVWnM48OwnIJKNKR/8+36wwq+0MsvMoCe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BikXFAAAA2wAAAA8AAAAAAAAAAAAAAAAAlwIAAGRycy9k&#10;b3ducmV2LnhtbFBLBQYAAAAABAAEAPUAAACJAwAAAAA=&#10;" filled="f" stroked="f">
                  <v:textbox style="mso-fit-shape-to-text:t" inset="89976emu,44988emu,89976emu,44988emu">
                    <w:txbxContent>
                      <w:p w14:paraId="0DF71873" w14:textId="6128B204" w:rsidR="002E7BC9" w:rsidRDefault="00674F1B" w:rsidP="002B6704">
                        <w:r>
                          <w:t>C</w:t>
                        </w:r>
                      </w:p>
                    </w:txbxContent>
                  </v:textbox>
                </v:shape>
                <v:shape id="Text Box 11" o:spid="_x0000_s1036"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S/ewgAA&#10;ANsAAAAPAAAAZHJzL2Rvd25yZXYueG1sRE9Na8JAEL0L/odlhN7qxhyKRFepoiL01LRUexuy0yQ1&#10;Oxt2V03+vSsI3ubxPme+7EwjLuR8bVnBZJyAIC6srrlU8P21fZ2C8AFZY2OZFPTkYbkYDuaYaXvl&#10;T7rkoRQxhH2GCqoQ2kxKX1Rk0I9tSxy5P+sMhghdKbXDaww3jUyT5E0arDk2VNjSuqLilJ+Ngnzz&#10;u3K9PrR4/Ol3h/90nX6scqVeRt37DESgLjzFD/dex/kTuP8SD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NL97CAAAA2wAAAA8AAAAAAAAAAAAAAAAAlwIAAGRycy9kb3du&#10;cmV2LnhtbFBLBQYAAAAABAAEAPUAAACGAwAAAAA=&#10;" filled="f" stroked="f">
                  <v:textbox style="mso-fit-shape-to-text:t" inset="89976emu,44988emu,89976emu,44988emu">
                    <w:txbxContent>
                      <w:p w14:paraId="324CB8BC" w14:textId="1036DA40" w:rsidR="002E7BC9" w:rsidRDefault="00674F1B" w:rsidP="002B6704">
                        <w:r>
                          <w:t>D</w:t>
                        </w:r>
                      </w:p>
                    </w:txbxContent>
                  </v:textbox>
                </v:shape>
                <v:shape id="Text Box 12" o:spid="_x0000_s1037"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7GpwgAA&#10;ANsAAAAPAAAAZHJzL2Rvd25yZXYueG1sRE9Na8JAEL0L/odlhN7MxhxKiW6kii2FnhpF29uQnSbR&#10;7GzY3Wry77uFgrd5vM9ZrQfTiSs531pWsEhSEMSV1S3XCg77l/kTCB+QNXaWScFIHtbFdLLCXNsb&#10;f9C1DLWIIexzVNCE0OdS+qohgz6xPXHkvq0zGCJ0tdQObzHcdDJL00dpsOXY0GBP24aqS/ljFJS7&#10;r40b9anHz+P4ejpn2+x9Uyr1MBuelyACDeEu/ne/6Tg/g79f4gGy+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fsanCAAAA2wAAAA8AAAAAAAAAAAAAAAAAlwIAAGRycy9kb3du&#10;cmV2LnhtbFBLBQYAAAAABAAEAPUAAACGAwAAAAA=&#10;" filled="f" stroked="f">
                  <v:textbox style="mso-fit-shape-to-text:t" inset="89976emu,44988emu,89976emu,44988emu">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lastRenderedPageBreak/>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23560677"/>
      <w:r>
        <w:t>Neighborhood Proximity</w:t>
      </w:r>
      <w:bookmarkEnd w:id="22"/>
      <w:bookmarkEnd w:id="23"/>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7C6DC9" w:rsidRDefault="007C6DC9"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7C6DC9" w:rsidRDefault="007C6DC9"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7C6DC9" w:rsidRDefault="007C6DC9"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7C6DC9" w:rsidRDefault="007C6DC9"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7C6DC9" w:rsidRDefault="007C6DC9"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7C6DC9" w:rsidRDefault="007C6DC9"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7C6DC9" w:rsidRDefault="007C6DC9"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7C6DC9" w:rsidRDefault="007C6DC9"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7C6DC9" w:rsidRDefault="007C6DC9" w:rsidP="000233B0">
                              <w:r>
                                <w:t>E</w:t>
                              </w:r>
                            </w:p>
                          </w:txbxContent>
                        </wps:txbx>
                        <wps:bodyPr vert="horz" lIns="89976" tIns="44988" rIns="89976" bIns="44988" anchorCtr="0" compatLnSpc="0">
                          <a:spAutoFit/>
                        </wps:bodyPr>
                      </wps:wsp>
                    </wpg:wgp>
                  </a:graphicData>
                </a:graphic>
              </wp:inline>
            </w:drawing>
          </mc:Choice>
          <mc:Fallback xmlns:mv="urn:schemas-microsoft-com:mac:vml" xmlns:mo="http://schemas.microsoft.com/office/mac/office/2008/main">
            <w:pict>
              <v:group id="Group 40" o:spid="_x0000_s1038"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Cpv+gEYwYAAP4iAAAOAAAAAAAAAAAAAAAAACwCAABkcnMvZTJvRG9j&#10;LnhtbFBLAQItABQABgAIAAAAIQAUuc6J3QAAAAUBAAAPAAAAAAAAAAAAAAAAALsIAABkcnMvZG93&#10;bnJldi54bWxQSwUGAAAAAAQABADzAAAAxQkAAAAA&#10;">
                <v:shape id="Freeform 42" o:spid="_x0000_s1039"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745xAAA&#10;ANsAAAAPAAAAZHJzL2Rvd25yZXYueG1sRI9Bi8IwFITvC/6H8AQvy5oqKlKNoouKt0XrYXt7NM+2&#10;tHkpTVbrvzeCsMdhZr5hluvO1OJGrSstKxgNIxDEmdUl5wouyf5rDsJ5ZI21ZVLwIAfrVe9jibG2&#10;dz7R7exzESDsYlRQeN/EUrqsIINuaBvi4F1ta9AH2eZSt3gPcFPLcRTNpMGSw0KBDX0XlFXnP6Pg&#10;N6nSzfY636VJevjZbz+b3bSaKjXod5sFCE+d/w+/20etYDKG15fwA+Tq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O+OcQAAADbAAAADwAAAAAAAAAAAAAAAACXAgAAZHJzL2Rv&#10;d25yZXYueG1sUEsFBgAAAAAEAAQA9QAAAIgDA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1342E386" w14:textId="77777777" w:rsidR="000233B0" w:rsidRDefault="000233B0" w:rsidP="000233B0">
                        <w:pPr>
                          <w:jc w:val="center"/>
                        </w:pPr>
                      </w:p>
                    </w:txbxContent>
                  </v:textbox>
                </v:shape>
                <v:shape id="Freeform 44" o:spid="_x0000_s1040"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hHWKxgAA&#10;ANsAAAAPAAAAZHJzL2Rvd25yZXYueG1sRI9Pa8JAFMTvBb/D8gpeitko1kp0FSuoPYhQ9eLtkX35&#10;U7Nv0+xq0m/fFQo9DjPzG2a+7Ewl7tS40rKCYRSDIE6tLjlXcD5tBlMQziNrrCyTgh9ysFz0nuaY&#10;aNvyJ92PPhcBwi5BBYX3dSKlSwsy6CJbEwcvs41BH2STS91gG+CmkqM4nkiDJYeFAmtaF5Rejzej&#10;IN3o78thn71vd/vT1+vb+cW2kpTqP3erGQhPnf8P/7U/tILxGB5fw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hHWKxgAAANsAAAAPAAAAAAAAAAAAAAAAAJcCAABkcnMv&#10;ZG93bnJldi54bWxQSwUGAAAAAAQABAD1AAAAigM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081F43E1" w14:textId="77777777" w:rsidR="000233B0" w:rsidRDefault="000233B0" w:rsidP="000233B0"/>
                    </w:txbxContent>
                  </v:textbox>
                </v:shape>
                <v:shape id="Freeform 45" o:spid="_x0000_s1041"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4v0rxwAA&#10;ANsAAAAPAAAAZHJzL2Rvd25yZXYueG1sRI9Ba8JAFITvgv9heUIvRTcWKyW6ikhbbA/aaCl4e2af&#10;STD7NmS3MfXXu0LB4zAz3zDTeWtK0VDtCssKhoMIBHFqdcGZgu/dW/8FhPPIGkvLpOCPHMxn3c4U&#10;Y23PnFCz9ZkIEHYxKsi9r2IpXZqTQTewFXHwjrY26IOsM6lrPAe4KeVTFI2lwYLDQo4VLXNKT9tf&#10;o+Dn6+PTHobvm/Xr8fLo9ptlsm8KpR567WICwlPr7+H/9korGD3D7Uv4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eL9K8cAAADbAAAADwAAAAAAAAAAAAAAAACXAgAAZHJz&#10;L2Rvd25yZXYueG1sUEsFBgAAAAAEAAQA9QAAAIsDA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327BCB0F" w14:textId="77777777" w:rsidR="000233B0" w:rsidRDefault="000233B0" w:rsidP="000233B0"/>
                    </w:txbxContent>
                  </v:textbox>
                </v:shape>
                <v:shape id="Freeform 46" o:spid="_x0000_s1042"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g+xAAA&#10;ANsAAAAPAAAAZHJzL2Rvd25yZXYueG1sRI9Ba8JAFITvhf6H5QnezEaxItFVxNLixapRPL9mn0lo&#10;9m3Ibk3013cFocdhZr5h5svOVOJKjSstKxhGMQjizOqScwWn48dgCsJ5ZI2VZVJwIwfLxevLHBNt&#10;Wz7QNfW5CBB2CSoovK8TKV1WkEEX2Zo4eBfbGPRBNrnUDbYBbio5iuOJNFhyWCiwpnVB2U/6axR8&#10;vdef2/VuM9x+X85dqu/7dvTWKtXvdasZCE+d/w8/2xutYDyBx5fw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RIPsQAAADbAAAADwAAAAAAAAAAAAAAAACXAgAAZHJzL2Rv&#10;d25yZXYueG1sUEsFBgAAAAAEAAQA9QAAAIgDA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5229BA64" w14:textId="77777777" w:rsidR="000233B0" w:rsidRDefault="000233B0" w:rsidP="000233B0"/>
                    </w:txbxContent>
                  </v:textbox>
                </v:shape>
                <v:line id="Straight Connector 47" o:spid="_x0000_s1043"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AzFxQAA&#10;ANsAAAAPAAAAZHJzL2Rvd25yZXYueG1sRI9Pa8JAFMTvhX6H5Qm91Y2hSBtdRUWL0FNT8c/tkX0m&#10;sdm3YXerybfvFoQeh5n5DTOdd6YRV3K+tqxgNExAEBdW11wq2H1tnl9B+ICssbFMCnryMJ89Pkwx&#10;0/bGn3TNQykihH2GCqoQ2kxKX1Rk0A9tSxy9s3UGQ5SulNrhLcJNI9MkGUuDNceFCltaVVR85z9G&#10;Qb4+LV2vDy0e9/374ZKu0o9lrtTToFtMQATqwn/43t5qBS9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IDMXFAAAA2wAAAA8AAAAAAAAAAAAAAAAAlwIAAGRycy9k&#10;b3ducmV2LnhtbFBLBQYAAAAABAAEAPUAAACJAwAAAAA=&#10;" filled="f" stroked="f">
                  <v:textbox style="mso-fit-shape-to-text:t" inset="89976emu,44988emu,89976emu,44988emu">
                    <w:txbxContent>
                      <w:p w14:paraId="25E07428" w14:textId="77777777" w:rsidR="000233B0" w:rsidRDefault="000233B0" w:rsidP="000233B0">
                        <w:r>
                          <w:t>A</w:t>
                        </w:r>
                      </w:p>
                    </w:txbxContent>
                  </v:textbox>
                </v:shape>
                <v:shape id="Text Box 50" o:spid="_x0000_s1046"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zOFwgAA&#10;ANsAAAAPAAAAZHJzL2Rvd25yZXYueG1sRE/Pa8IwFL4L+x/CG3jTdAWHdMayiorgaXXM7fZo3tpu&#10;zUtJorb//XIYePz4fq/ywXTiSs63lhU8zRMQxJXVLdcK3k+72RKED8gaO8ukYCQP+fphssJM2xu/&#10;0bUMtYgh7DNU0ITQZ1L6qiGDfm574sh9W2cwROhqqR3eYrjpZJokz9Jgy7GhwZ42DVW/5cUoKLdf&#10;hRv1ucfPj3F//kk36bEolZo+Dq8vIAIN4S7+dx+0gkVcH7/EH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zrM4XCAAAA2wAAAA8AAAAAAAAAAAAAAAAAlwIAAGRycy9kb3du&#10;cmV2LnhtbFBLBQYAAAAABAAEAPUAAACGAwAAAAA=&#10;" filled="f" stroked="f">
                  <v:textbox style="mso-fit-shape-to-text:t" inset="89976emu,44988emu,89976emu,44988emu">
                    <w:txbxContent>
                      <w:p w14:paraId="2ED4F69A" w14:textId="77777777" w:rsidR="000233B0" w:rsidRDefault="000233B0" w:rsidP="000233B0">
                        <w:r>
                          <w:t>B</w:t>
                        </w:r>
                      </w:p>
                    </w:txbxContent>
                  </v:textbox>
                </v:shape>
                <v:shape id="Text Box 51" o:spid="_x0000_s1047"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5YexAAA&#10;ANsAAAAPAAAAZHJzL2Rvd25yZXYueG1sRI9Ba8JAFITvBf/D8gRvdWPAUqKrqNgi9NRYqt4e2WcS&#10;zb4Nu6sm/75bKPQ4zMw3zHzZmUbcyfnasoLJOAFBXFhdc6nga//2/ArCB2SNjWVS0JOH5WLwNMdM&#10;2wd/0j0PpYgQ9hkqqEJoMyl9UZFBP7YtcfTO1hkMUbpSaoePCDeNTJPkRRqsOS5U2NKmouKa34yC&#10;fHtau14fWjx+9++HS7pJP9a5UqNht5qBCNSF//Bfe6cVTCfw+yX+AL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eWHsQAAADbAAAADwAAAAAAAAAAAAAAAACXAgAAZHJzL2Rv&#10;d25yZXYueG1sUEsFBgAAAAAEAAQA9QAAAIgDAAAAAA==&#10;" filled="f" stroked="f">
                  <v:textbox style="mso-fit-shape-to-text:t" inset="89976emu,44988emu,89976emu,44988emu">
                    <w:txbxContent>
                      <w:p w14:paraId="3B054424" w14:textId="77777777" w:rsidR="000233B0" w:rsidRDefault="000233B0" w:rsidP="000233B0">
                        <w:r>
                          <w:t>C</w:t>
                        </w:r>
                      </w:p>
                    </w:txbxContent>
                  </v:textbox>
                </v:shape>
                <v:shape id="Text Box 52" o:spid="_x0000_s1048"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QhpxAAA&#10;ANsAAAAPAAAAZHJzL2Rvd25yZXYueG1sRI9Ba8JAFITvgv9heUJvZmOgpURXqWJLoSejaHt7ZF+T&#10;tNm3YXeryb93C4LHYWa+YRar3rTiTM43lhXMkhQEcWl1w5WCw/51+gzCB2SNrWVSMJCH1XI8WmCu&#10;7YV3dC5CJSKEfY4K6hC6XEpf1mTQJ7Yjjt63dQZDlK6S2uElwk0rszR9kgYbjgs1drSpqfwt/oyC&#10;Yvu1doM+dfh5HN5OP9km+1gXSj1M+pc5iEB9uIdv7Xet4DGD/y/x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UIacQAAADbAAAADwAAAAAAAAAAAAAAAACXAgAAZHJzL2Rv&#10;d25yZXYueG1sUEsFBgAAAAAEAAQA9QAAAIgDAAAAAA==&#10;" filled="f" stroked="f">
                  <v:textbox style="mso-fit-shape-to-text:t" inset="89976emu,44988emu,89976emu,44988emu">
                    <w:txbxContent>
                      <w:p w14:paraId="5413FCE2" w14:textId="77777777" w:rsidR="000233B0" w:rsidRDefault="000233B0" w:rsidP="000233B0">
                        <w:r>
                          <w:t>D</w:t>
                        </w:r>
                      </w:p>
                    </w:txbxContent>
                  </v:textbox>
                </v:shape>
                <v:shape id="Text Box 53" o:spid="_x0000_s1049"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a3yxQAA&#10;ANsAAAAPAAAAZHJzL2Rvd25yZXYueG1sRI9Pa8JAFMTvhX6H5Qm91Y0plhJdRUWL0FNT8c/tkX0m&#10;sdm3YXerybfvFoQeh5n5DTOdd6YRV3K+tqxgNExAEBdW11wq2H1tnt9A+ICssbFMCnryMJ89Pkwx&#10;0/bGn3TNQykihH2GCqoQ2kxKX1Rk0A9tSxy9s3UGQ5SulNrhLcJNI9MkeZUGa44LFba0qqj4zn+M&#10;gnx9WrpeH1o87vv3wyVdpR/LXKmnQbeYgAjUhf/wvb3VCsY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w5rfLFAAAA2wAAAA8AAAAAAAAAAAAAAAAAlwIAAGRycy9k&#10;b3ducmV2LnhtbFBLBQYAAAAABAAEAPUAAACJAwAAAAA=&#10;" filled="f" stroked="f">
                  <v:textbox style="mso-fit-shape-to-text:t" inset="89976emu,44988emu,89976emu,44988emu">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4" w:name="_Toc310421739"/>
      <w:bookmarkStart w:id="25" w:name="_Toc323560678"/>
      <w:r>
        <w:t>Local vs. Non-Local Neighborhoods</w:t>
      </w:r>
      <w:bookmarkEnd w:id="24"/>
      <w:bookmarkEnd w:id="25"/>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w:t>
      </w:r>
      <w:r>
        <w:lastRenderedPageBreak/>
        <w:t>United States could be represented as a neighborhood, both as a place to stash US troops and as a way to track US civilian attitudes with regard to actions elsewhere in the world.</w:t>
      </w:r>
      <w:r>
        <w:rPr>
          <w:rStyle w:val="FootnoteReference"/>
          <w:rFonts w:eastAsia="Wingdings"/>
        </w:rPr>
        <w:footnoteReference w:id="5"/>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23560679"/>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29" w:name="_Toc310421741"/>
      <w:bookmarkStart w:id="30" w:name="_Toc323560680"/>
      <w:r>
        <w:t>Strategies: Goals, Tactics, and Conditions</w:t>
      </w:r>
      <w:bookmarkEnd w:id="29"/>
      <w:bookmarkEnd w:id="30"/>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23560681"/>
      <w:r>
        <w:lastRenderedPageBreak/>
        <w:t>Support, Influence, and Control</w:t>
      </w:r>
      <w:bookmarkEnd w:id="31"/>
      <w:bookmarkEnd w:id="32"/>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C433B0">
        <w:t>4</w:t>
      </w:r>
      <w:r w:rsidR="006467AF">
        <w:fldChar w:fldCharType="end"/>
      </w:r>
      <w:r>
        <w:t>.</w:t>
      </w:r>
    </w:p>
    <w:p w14:paraId="49D8A146" w14:textId="77777777" w:rsidR="002B6704" w:rsidRDefault="002B6704" w:rsidP="001E49E9">
      <w:pPr>
        <w:pStyle w:val="Heading4"/>
      </w:pPr>
      <w:bookmarkStart w:id="33" w:name="_Toc310421743"/>
      <w:bookmarkStart w:id="34" w:name="_Toc323560682"/>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5" w:name="_Toc310421744"/>
      <w:bookmarkStart w:id="36" w:name="_Toc323560683"/>
      <w:r>
        <w:t>Groups</w:t>
      </w:r>
      <w:bookmarkEnd w:id="35"/>
      <w:bookmarkEnd w:id="36"/>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23560684"/>
      <w:r>
        <w:t>Civilian Groups</w:t>
      </w:r>
      <w:bookmarkEnd w:id="37"/>
      <w:bookmarkEnd w:id="38"/>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C433B0">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w:t>
      </w:r>
      <w:r>
        <w:lastRenderedPageBreak/>
        <w:t>the two, however; units are simply a</w:t>
      </w:r>
      <w:r w:rsidR="00AA7885">
        <w:t>n aid to</w:t>
      </w:r>
      <w:r>
        <w:t xml:space="preserve"> visualization of where people are and what they are doing.</w:t>
      </w:r>
      <w:r>
        <w:rPr>
          <w:rStyle w:val="FootnoteReference"/>
        </w:rPr>
        <w:footnoteReference w:id="6"/>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39" w:name="_Toc310421746"/>
      <w:bookmarkStart w:id="40" w:name="_Toc323560685"/>
      <w:r>
        <w:t>Force Groups</w:t>
      </w:r>
      <w:bookmarkEnd w:id="39"/>
      <w:bookmarkEnd w:id="40"/>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23560686"/>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23560687"/>
      <w:r>
        <w:lastRenderedPageBreak/>
        <w:t>Organization Groups</w:t>
      </w:r>
      <w:bookmarkEnd w:id="44"/>
      <w:bookmarkEnd w:id="45"/>
    </w:p>
    <w:p w14:paraId="1B05DFA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23560688"/>
      <w:r>
        <w:t>Force, Security, and Volatility</w:t>
      </w:r>
      <w:bookmarkEnd w:id="46"/>
      <w:bookmarkEnd w:id="47"/>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8" w:name="_Toc310421750"/>
      <w:bookmarkStart w:id="49" w:name="_Toc323560689"/>
      <w:r>
        <w:t>Modeling Areas</w:t>
      </w:r>
      <w:bookmarkEnd w:id="48"/>
      <w:bookmarkEnd w:id="49"/>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0" w:name="_Toc310421751"/>
      <w:bookmarkStart w:id="51" w:name="_Toc323560690"/>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23560691"/>
      <w:r>
        <w:lastRenderedPageBreak/>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7"/>
      </w:r>
    </w:p>
    <w:p w14:paraId="5A409755" w14:textId="77777777" w:rsidR="002B6704" w:rsidRDefault="002B6704" w:rsidP="001E49E9">
      <w:pPr>
        <w:pStyle w:val="Heading4"/>
      </w:pPr>
      <w:bookmarkStart w:id="54" w:name="__RefHeading__35345922"/>
      <w:bookmarkStart w:id="55" w:name="_Toc310421753"/>
      <w:bookmarkStart w:id="56" w:name="_Toc323560692"/>
      <w:r>
        <w:t>Attitudes</w:t>
      </w:r>
      <w:bookmarkEnd w:id="54"/>
      <w:bookmarkEnd w:id="55"/>
      <w:bookmarkEnd w:id="56"/>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7" w:name="_Toc323560693"/>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23560694"/>
      <w:r>
        <w:t>Economics</w:t>
      </w:r>
      <w:bookmarkEnd w:id="58"/>
      <w:bookmarkEnd w:id="59"/>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0" w:name="_Toc323560695"/>
      <w:r>
        <w:lastRenderedPageBreak/>
        <w:t>Information</w:t>
      </w:r>
      <w:bookmarkEnd w:id="60"/>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1" w:name="_Toc310421755"/>
      <w:bookmarkStart w:id="62" w:name="_Toc323560696"/>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lastRenderedPageBreak/>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r>
        <w:rPr>
          <w:i/>
          <w:iCs/>
        </w:rPr>
        <w:t>t</w:t>
      </w:r>
      <w:r>
        <w:t xml:space="preserve"> the user will first see it at time </w:t>
      </w:r>
      <m:oMath>
        <m:r>
          <w:rPr>
            <w:rFonts w:ascii="Cambria Math" w:hAnsi="Cambria Math"/>
          </w:rPr>
          <m:t>t+1</m:t>
        </m:r>
      </m:oMath>
      <w:r w:rsidR="007E45DF">
        <w:t xml:space="preserve">. </w:t>
      </w:r>
    </w:p>
    <w:p w14:paraId="4986A04A" w14:textId="77777777" w:rsidR="00A41624" w:rsidRDefault="00A41624" w:rsidP="00A41624">
      <w:pPr>
        <w:pStyle w:val="Heading2"/>
      </w:pPr>
      <w:bookmarkStart w:id="63" w:name="_Toc310421756"/>
      <w:bookmarkStart w:id="64" w:name="_Ref316890631"/>
      <w:bookmarkStart w:id="65" w:name="_Toc323560697"/>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C433B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23560698"/>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C433B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23560699"/>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23560700"/>
      <w:r>
        <w:t>Actors</w:t>
      </w:r>
      <w:bookmarkEnd w:id="70"/>
      <w:bookmarkEnd w:id="71"/>
      <w:bookmarkEnd w:id="72"/>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23560701"/>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5" w:name="_Toc310421761"/>
      <w:bookmarkStart w:id="76" w:name="_Toc323560702"/>
      <w:r>
        <w:t>Assets: Personnel</w:t>
      </w:r>
      <w:bookmarkEnd w:id="75"/>
      <w:bookmarkEnd w:id="76"/>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C433B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7" w:name="_Toc310421762"/>
      <w:bookmarkStart w:id="78" w:name="_Toc323560703"/>
      <w:r>
        <w:t>Conditions</w:t>
      </w:r>
      <w:bookmarkEnd w:id="77"/>
      <w:bookmarkEnd w:id="78"/>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79" w:name="_Toc310421763"/>
      <w:bookmarkStart w:id="80" w:name="_Toc323560704"/>
      <w:r>
        <w:t>Goals</w:t>
      </w:r>
      <w:bookmarkEnd w:id="79"/>
      <w:bookmarkEnd w:id="80"/>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1" w:name="_Toc310421764"/>
      <w:bookmarkStart w:id="82" w:name="_Toc323560705"/>
      <w:r>
        <w:t>Tactics</w:t>
      </w:r>
      <w:bookmarkEnd w:id="81"/>
      <w:bookmarkEnd w:id="82"/>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3" w:name="_Toc310421765"/>
      <w:bookmarkStart w:id="84" w:name="_Toc323560706"/>
      <w:r>
        <w:t>Strategy Execution</w:t>
      </w:r>
      <w:bookmarkEnd w:id="83"/>
      <w:bookmarkEnd w:id="84"/>
    </w:p>
    <w:p w14:paraId="26A83694" w14:textId="02D494D3"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5" w:name="_Toc310421766"/>
      <w:bookmarkStart w:id="86" w:name="_Toc323560707"/>
      <w:r>
        <w:t>Working Data</w:t>
      </w:r>
      <w:bookmarkEnd w:id="85"/>
      <w:bookmarkEnd w:id="86"/>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7" w:name="_Toc310421767"/>
      <w:bookmarkStart w:id="88" w:name="_Toc323560708"/>
      <w:r>
        <w:lastRenderedPageBreak/>
        <w:t>Roads Not Taken</w:t>
      </w:r>
      <w:bookmarkEnd w:id="87"/>
      <w:bookmarkEnd w:id="88"/>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89" w:name="_Toc310421768"/>
      <w:bookmarkStart w:id="90" w:name="_Toc323560709"/>
      <w:r>
        <w:t>Goal Extensions</w:t>
      </w:r>
      <w:bookmarkEnd w:id="89"/>
      <w:bookmarkEnd w:id="90"/>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8E7DA8">
      <w:pPr>
        <w:pStyle w:val="ListParagraph"/>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1" w:name="_Toc310421769"/>
      <w:bookmarkStart w:id="92" w:name="_Toc323560710"/>
      <w:r>
        <w:lastRenderedPageBreak/>
        <w:t>Goal Prioritization</w:t>
      </w:r>
      <w:bookmarkEnd w:id="91"/>
      <w:bookmarkEnd w:id="92"/>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3" w:name="_Toc310421770"/>
      <w:bookmarkStart w:id="94" w:name="_Ref316890632"/>
      <w:bookmarkStart w:id="95" w:name="_Toc323560711"/>
      <w:r>
        <w:lastRenderedPageBreak/>
        <w:t>Relationships and Control</w:t>
      </w:r>
      <w:bookmarkEnd w:id="93"/>
      <w:bookmarkEnd w:id="94"/>
      <w:bookmarkEnd w:id="95"/>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CA02CD2" w:rsidR="00502610" w:rsidRDefault="00502610" w:rsidP="00B80934">
      <w:pPr>
        <w:pStyle w:val="ListParagraph"/>
        <w:numPr>
          <w:ilvl w:val="0"/>
          <w:numId w:val="24"/>
        </w:numPr>
      </w:pPr>
      <w:r>
        <w:t>How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6" w:name="_Toc310421771"/>
      <w:bookmarkStart w:id="97" w:name="_Toc323560712"/>
      <w:r>
        <w:t>Relationships and Affinity</w:t>
      </w:r>
      <w:bookmarkEnd w:id="96"/>
      <w:bookmarkEnd w:id="97"/>
    </w:p>
    <w:p w14:paraId="270DEEF8" w14:textId="27E46C40"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An affinity greater than zero implies that the two entities tend to have compatible beliefs; an affinity less than zero implies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8" w:name="_Toc310421772"/>
      <w:bookmarkStart w:id="99" w:name="_Toc323560713"/>
      <w:r>
        <w:lastRenderedPageBreak/>
        <w:t>Horizontal Relationships</w:t>
      </w:r>
      <w:bookmarkEnd w:id="98"/>
      <w:bookmarkEnd w:id="99"/>
    </w:p>
    <w:p w14:paraId="03F08FE4" w14:textId="5D756E5E"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bases the relationship on group affinity as described in this section.</w:t>
      </w:r>
      <w:r w:rsidR="007C6DC9">
        <w:t xml:space="preserve">  Horizontal relationships are tracked in URAM, and may vary dynamically; however, no non-magical attitude drivers affect them at present.</w:t>
      </w:r>
    </w:p>
    <w:p w14:paraId="3ECCD6ED" w14:textId="77777777" w:rsidR="00502610" w:rsidRDefault="00502610" w:rsidP="00502610">
      <w:pPr>
        <w:pStyle w:val="Heading4"/>
      </w:pPr>
      <w:bookmarkStart w:id="100" w:name="_Toc310421773"/>
      <w:bookmarkStart w:id="101" w:name="_Toc323560714"/>
      <w:r>
        <w:t>Force and Organization Group Affinities</w:t>
      </w:r>
      <w:bookmarkEnd w:id="100"/>
      <w:bookmarkEnd w:id="101"/>
    </w:p>
    <w:p w14:paraId="535E054F" w14:textId="463C1C0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2" w:name="_Toc310421774"/>
      <w:bookmarkStart w:id="103" w:name="_Toc323560715"/>
      <w:r>
        <w:t>Computing Horizontal Relationships</w:t>
      </w:r>
      <w:bookmarkEnd w:id="102"/>
      <w:bookmarkEnd w:id="103"/>
    </w:p>
    <w:p w14:paraId="16C98952" w14:textId="08E1E26E" w:rsidR="00502610" w:rsidRDefault="00502610" w:rsidP="0036543E">
      <w:r>
        <w:t xml:space="preserve">The </w:t>
      </w:r>
      <w:r w:rsidR="007C6DC9">
        <w:t xml:space="preserve">initial baseline </w:t>
      </w:r>
      <w:r>
        <w:t>horizontal relationship between two groups is then defined as follows:</w:t>
      </w:r>
    </w:p>
    <w:p w14:paraId="16A4AEC8" w14:textId="77777777" w:rsidR="0036543E" w:rsidRPr="00885938" w:rsidRDefault="0036543E" w:rsidP="0036543E"/>
    <w:p w14:paraId="4CA5BF6B" w14:textId="24413202" w:rsidR="00502610" w:rsidRPr="0081375D" w:rsidRDefault="007C6DC9" w:rsidP="0036543E">
      <w:pPr>
        <w:ind w:left="360"/>
      </w:pPr>
      <m:oMathPara>
        <m:oMathParaPr>
          <m:jc m:val="left"/>
        </m:oMathParaPr>
        <m:oMath>
          <m:sSub>
            <m:sSubPr>
              <m:ctrlPr>
                <w:rPr>
                  <w:rFonts w:ascii="Cambria Math" w:hAnsi="Cambria Math"/>
                </w:rPr>
              </m:ctrlPr>
            </m:sSubPr>
            <m:e>
              <m:r>
                <w:rPr>
                  <w:rFonts w:ascii="Cambria Math" w:hAnsi="Cambria Math"/>
                </w:rPr>
                <m:t>B</m:t>
              </m:r>
              <m:r>
                <w:rPr>
                  <w:rFonts w:ascii="Cambria Math" w:hAnsi="Cambria Math"/>
                </w:rPr>
                <m:t>R</m:t>
              </m:r>
            </m:e>
            <m:sub>
              <m:r>
                <w:rPr>
                  <w:rFonts w:ascii="Cambria Math" w:hAnsi="Cambria Math"/>
                </w:rPr>
                <m:t>fg</m:t>
              </m:r>
            </m:sub>
          </m:sSub>
          <m:r>
            <m:rPr>
              <m:sty m:val="p"/>
            </m:rPr>
            <w:rPr>
              <w:rFonts w:ascii="Cambria Math" w:hAnsi="Cambria Math"/>
            </w:rPr>
            <m:t>(0)</m:t>
          </m:r>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4A7D2736"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explicit URAM inputs.  In Athena 4, only the latter is supported.</w:t>
      </w:r>
    </w:p>
    <w:p w14:paraId="25E73F3A" w14:textId="77777777" w:rsidR="00502610" w:rsidRDefault="00502610" w:rsidP="00502610">
      <w:pPr>
        <w:pStyle w:val="Heading3"/>
      </w:pPr>
      <w:bookmarkStart w:id="104" w:name="_Ref174775754"/>
      <w:bookmarkStart w:id="105" w:name="_Toc310421775"/>
      <w:bookmarkStart w:id="106" w:name="_Toc323560716"/>
      <w:r>
        <w:t>Vertical Relationship</w:t>
      </w:r>
      <w:bookmarkEnd w:id="104"/>
      <w:r>
        <w:t>s</w:t>
      </w:r>
      <w:bookmarkEnd w:id="105"/>
      <w:bookmarkEnd w:id="106"/>
    </w:p>
    <w:p w14:paraId="33714C31" w14:textId="3E561EA1"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D1E08F" w14:textId="77777777" w:rsidR="0036543E" w:rsidRDefault="0036543E" w:rsidP="0036543E"/>
    <w:p w14:paraId="1C84CF84"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0D62730F" w14:textId="2BD7A138"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14E4C3BE" w14:textId="2B6485D3" w:rsidR="007C6DC9" w:rsidRDefault="007C6DC9" w:rsidP="007C6DC9">
      <w:pPr>
        <w:pStyle w:val="Heading4"/>
      </w:pPr>
      <w:bookmarkStart w:id="107" w:name="_Toc323560717"/>
      <w:r>
        <w:t>Baseline Vertical Relationships</w:t>
      </w:r>
      <w:bookmarkEnd w:id="107"/>
    </w:p>
    <w:p w14:paraId="7A4A0FCA" w14:textId="0BFB2163"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2BC6FD96" w14:textId="77777777" w:rsidR="007C6DC9" w:rsidRDefault="007C6DC9" w:rsidP="007C6DC9"/>
    <w:p w14:paraId="3C3C87CA" w14:textId="14DDFAA2" w:rsidR="007C6DC9" w:rsidRPr="007C6DC9" w:rsidRDefault="007C6DC9"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4A6ECC43" w14:textId="77777777" w:rsidR="007C6DC9" w:rsidRDefault="007C6DC9" w:rsidP="0036543E"/>
    <w:p w14:paraId="260D34E0" w14:textId="1015CD9C"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r>
          <w:rPr>
            <w:rFonts w:ascii="Cambria Math" w:hAnsi="Cambria Math"/>
          </w:rPr>
          <m:t>0</m:t>
        </m:r>
        <m:r>
          <w:rPr>
            <w:rFonts w:ascii="Cambria Math" w:hAnsi="Cambria Math"/>
          </w:rPr>
          <m:t>)</m:t>
        </m:r>
      </m:oMath>
      <w:r>
        <w:t xml:space="preserve"> as follows:</w:t>
      </w:r>
    </w:p>
    <w:p w14:paraId="63B235D0" w14:textId="77777777" w:rsidR="00502610" w:rsidRDefault="00502610" w:rsidP="00502610"/>
    <w:p w14:paraId="46C74E7E" w14:textId="1C686A25" w:rsidR="00502610" w:rsidRPr="00300366" w:rsidRDefault="007C6DC9" w:rsidP="0036543E">
      <w:pPr>
        <w:ind w:left="360"/>
      </w:pPr>
      <m:oMathPara>
        <m:oMathParaPr>
          <m:jc m:val="left"/>
        </m:oMathParaPr>
        <m:oMath>
          <m:sSub>
            <m:sSubPr>
              <m:ctrlPr>
                <w:rPr>
                  <w:rFonts w:ascii="Cambria Math" w:hAnsi="Cambria Math"/>
                </w:rPr>
              </m:ctrlPr>
            </m:sSubPr>
            <m:e>
              <m:r>
                <w:rPr>
                  <w:rFonts w:ascii="Cambria Math" w:hAnsi="Cambria Math"/>
                </w:rPr>
                <m:t>B</m:t>
              </m:r>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46D8FCAE" w14:textId="0A50B232" w:rsidR="007C6DC9" w:rsidRDefault="00502610" w:rsidP="0036543E">
      <w:r>
        <w:t>That is, a force or organization group has a perfect relationship with its owner, and its vertical relationship with any other actor is simply the affinity of its owner for that actor.</w:t>
      </w:r>
    </w:p>
    <w:p w14:paraId="0A9315A5" w14:textId="6C9266BE" w:rsidR="00502610" w:rsidRPr="002D708E" w:rsidRDefault="007C6DC9" w:rsidP="00502610">
      <w:pPr>
        <w:pStyle w:val="Heading4"/>
      </w:pPr>
      <w:bookmarkStart w:id="108" w:name="_Toc323560718"/>
      <w:r>
        <w:t>Shifts in Neighborhood Cont</w:t>
      </w:r>
      <w:r w:rsidR="00F45187">
        <w:t>rol</w:t>
      </w:r>
      <w:bookmarkEnd w:id="108"/>
    </w:p>
    <w:p w14:paraId="3FD924DB" w14:textId="22E4C789" w:rsidR="00502610" w:rsidRDefault="00502610" w:rsidP="007C6DC9">
      <w:r>
        <w:t xml:space="preserve">The vertical relationship of civilian group </w:t>
      </w:r>
      <w:r>
        <w:rPr>
          <w:i/>
        </w:rPr>
        <w:t>g</w:t>
      </w:r>
      <w:r>
        <w:t xml:space="preserve"> with actor </w:t>
      </w:r>
      <w:r>
        <w:rPr>
          <w:i/>
        </w:rPr>
        <w:t>a</w:t>
      </w:r>
      <w:r>
        <w:t xml:space="preserve"> is a dynamic quantity </w:t>
      </w:r>
    </w:p>
    <w:p w14:paraId="41927C47" w14:textId="77777777" w:rsidR="00AD49A6" w:rsidRDefault="00AD49A6" w:rsidP="00AD49A6"/>
    <w:p w14:paraId="0867BE5A" w14:textId="477C6D4D"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5B58CE13" w14:textId="77777777" w:rsidR="00502610" w:rsidRPr="003444D9" w:rsidRDefault="00502610" w:rsidP="00502610"/>
    <w:p w14:paraId="78E68837" w14:textId="4ECA2771" w:rsidR="00502610" w:rsidRDefault="00502610" w:rsidP="00D56613">
      <w:r>
        <w:t xml:space="preserve">The base vertical relationship is </w:t>
      </w:r>
      <w:r w:rsidR="00F45187">
        <w:t xml:space="preserve">adjusted </w:t>
      </w:r>
      <w:r>
        <w:t xml:space="preserve">whenever control of </w:t>
      </w:r>
      <w:r>
        <w:rPr>
          <w:i/>
        </w:rPr>
        <w:t>g</w:t>
      </w:r>
      <w:r w:rsidR="00F45187">
        <w:t>’s neighborhood changes, so that</w:t>
      </w:r>
    </w:p>
    <w:p w14:paraId="25C27260" w14:textId="77777777" w:rsidR="00D56613" w:rsidRPr="00157602" w:rsidRDefault="00D56613" w:rsidP="00D56613"/>
    <w:p w14:paraId="3F04939A" w14:textId="3C57EA60" w:rsidR="00502610" w:rsidRPr="004A6307" w:rsidRDefault="007C6DC9"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oMath>
      </m:oMathPara>
    </w:p>
    <w:p w14:paraId="2D9F4AE5" w14:textId="77777777" w:rsidR="00502610" w:rsidRDefault="00502610" w:rsidP="00502610"/>
    <w:p w14:paraId="530905C3" w14:textId="77777777" w:rsidR="00502610" w:rsidRDefault="00502610" w:rsidP="00D56613">
      <w:r>
        <w:lastRenderedPageBreak/>
        <w:t>where</w:t>
      </w:r>
    </w:p>
    <w:p w14:paraId="1C2EEA20" w14:textId="77777777" w:rsidR="00502610" w:rsidRPr="00DE78EF" w:rsidRDefault="007C6DC9"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7C6DC9"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71048F6F" w14:textId="77777777" w:rsidR="00502610" w:rsidRDefault="00502610" w:rsidP="00502610"/>
    <w:p w14:paraId="4BF84FFA" w14:textId="2AA3C1E0" w:rsidR="00F45187" w:rsidRPr="00F45187" w:rsidRDefault="00F45187" w:rsidP="00502610">
      <w:r>
        <w:t xml:space="preserve">There are additional effects in URAM due to the CONTROL rule set; see the </w:t>
      </w:r>
      <w:r>
        <w:rPr>
          <w:i/>
        </w:rPr>
        <w:t>Athena Rules Document</w:t>
      </w:r>
      <w:r>
        <w:t xml:space="preserve"> for details.</w:t>
      </w:r>
    </w:p>
    <w:p w14:paraId="13C733ED" w14:textId="77777777" w:rsidR="00F45187" w:rsidRDefault="00F45187" w:rsidP="00502610"/>
    <w:p w14:paraId="5C1FD6C6" w14:textId="4C7F554D" w:rsidR="00F45187" w:rsidRPr="00F45187" w:rsidRDefault="00F45187" w:rsidP="00502610">
      <w:pPr>
        <w:rPr>
          <w:b/>
        </w:rPr>
      </w:pPr>
      <w:r>
        <w:rPr>
          <w:b/>
        </w:rPr>
        <w:t>TBD: The following rule set will become a DAM rule set in the immediate future.</w:t>
      </w:r>
    </w:p>
    <w:p w14:paraId="4FC61164" w14:textId="6429A285" w:rsidR="00502610" w:rsidRDefault="00502610" w:rsidP="00502610">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7C960DF4" w14:textId="77777777" w:rsidR="00502610" w:rsidRDefault="00502610" w:rsidP="00502610"/>
    <w:tbl>
      <w:tblPr>
        <w:tblStyle w:val="TableGrid"/>
        <w:tblW w:w="0" w:type="auto"/>
        <w:tblLook w:val="04A0" w:firstRow="1" w:lastRow="0" w:firstColumn="1" w:lastColumn="0" w:noHBand="0" w:noVBand="1"/>
      </w:tblPr>
      <w:tblGrid>
        <w:gridCol w:w="2484"/>
        <w:gridCol w:w="2484"/>
        <w:gridCol w:w="2484"/>
        <w:gridCol w:w="2484"/>
      </w:tblGrid>
      <w:tr w:rsidR="00502610" w14:paraId="4FD60773" w14:textId="77777777" w:rsidTr="001D79EC">
        <w:tc>
          <w:tcPr>
            <w:tcW w:w="2484" w:type="dxa"/>
          </w:tcPr>
          <w:p w14:paraId="23A247AC" w14:textId="77777777" w:rsidR="00502610" w:rsidRDefault="007C6DC9" w:rsidP="001D79EC">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23A458E5" w14:textId="77777777" w:rsidR="00502610" w:rsidRDefault="00502610" w:rsidP="001D79EC">
            <w:r>
              <w:rPr>
                <w:i/>
              </w:rPr>
              <w:t>a</w:t>
            </w:r>
            <w:r>
              <w:t xml:space="preserve"> is now in control</w:t>
            </w:r>
          </w:p>
          <w:p w14:paraId="72F300A3" w14:textId="4ECD53C3" w:rsidR="00502610" w:rsidRPr="00CC2304" w:rsidRDefault="00EC6A88" w:rsidP="001D79EC">
            <w:r>
              <w:t>but was not</w:t>
            </w:r>
          </w:p>
        </w:tc>
        <w:tc>
          <w:tcPr>
            <w:tcW w:w="2484" w:type="dxa"/>
          </w:tcPr>
          <w:p w14:paraId="6F6C56F0" w14:textId="77777777" w:rsidR="00502610" w:rsidRDefault="00502610" w:rsidP="001D79EC">
            <w:r>
              <w:rPr>
                <w:i/>
              </w:rPr>
              <w:t>a</w:t>
            </w:r>
            <w:r>
              <w:t xml:space="preserve"> is still not</w:t>
            </w:r>
          </w:p>
          <w:p w14:paraId="2A501A6B" w14:textId="77777777" w:rsidR="00502610" w:rsidRPr="00CC2304" w:rsidRDefault="00502610" w:rsidP="001D79EC">
            <w:r>
              <w:t>in control</w:t>
            </w:r>
          </w:p>
        </w:tc>
        <w:tc>
          <w:tcPr>
            <w:tcW w:w="2484" w:type="dxa"/>
          </w:tcPr>
          <w:p w14:paraId="5E123DA1" w14:textId="77777777" w:rsidR="00502610" w:rsidRDefault="00502610" w:rsidP="001D79EC">
            <w:r>
              <w:rPr>
                <w:i/>
              </w:rPr>
              <w:t>a</w:t>
            </w:r>
            <w:r>
              <w:t xml:space="preserve"> was in control</w:t>
            </w:r>
          </w:p>
          <w:p w14:paraId="7CD3439E" w14:textId="77777777" w:rsidR="00502610" w:rsidRPr="00CC2304" w:rsidRDefault="00502610" w:rsidP="001D79EC">
            <w:r>
              <w:t>but now is not</w:t>
            </w:r>
          </w:p>
        </w:tc>
      </w:tr>
      <w:tr w:rsidR="00502610" w14:paraId="725A1563" w14:textId="77777777" w:rsidTr="001D79EC">
        <w:tc>
          <w:tcPr>
            <w:tcW w:w="2484" w:type="dxa"/>
          </w:tcPr>
          <w:p w14:paraId="60E894C7" w14:textId="77777777" w:rsidR="00502610" w:rsidRDefault="00502610" w:rsidP="001D79EC">
            <w:r>
              <w:t>SUPPORT</w:t>
            </w:r>
          </w:p>
        </w:tc>
        <w:tc>
          <w:tcPr>
            <w:tcW w:w="2484" w:type="dxa"/>
          </w:tcPr>
          <w:p w14:paraId="55A07381" w14:textId="77777777" w:rsidR="00502610" w:rsidRDefault="00502610" w:rsidP="001D79EC">
            <w:r>
              <w:t>L+</w:t>
            </w:r>
          </w:p>
        </w:tc>
        <w:tc>
          <w:tcPr>
            <w:tcW w:w="2484" w:type="dxa"/>
          </w:tcPr>
          <w:p w14:paraId="077BF435" w14:textId="77777777" w:rsidR="00502610" w:rsidRDefault="00502610" w:rsidP="001D79EC">
            <w:r>
              <w:t>M–</w:t>
            </w:r>
          </w:p>
        </w:tc>
        <w:tc>
          <w:tcPr>
            <w:tcW w:w="2484" w:type="dxa"/>
          </w:tcPr>
          <w:p w14:paraId="39544EA6" w14:textId="77777777" w:rsidR="00502610" w:rsidRDefault="00502610" w:rsidP="001D79EC">
            <w:r>
              <w:t>L–</w:t>
            </w:r>
          </w:p>
        </w:tc>
      </w:tr>
      <w:tr w:rsidR="00502610" w14:paraId="08B45EB7" w14:textId="77777777" w:rsidTr="001D79EC">
        <w:tc>
          <w:tcPr>
            <w:tcW w:w="2484" w:type="dxa"/>
          </w:tcPr>
          <w:p w14:paraId="04F36410" w14:textId="77777777" w:rsidR="00502610" w:rsidRDefault="00502610" w:rsidP="001D79EC">
            <w:r>
              <w:t>LIKE</w:t>
            </w:r>
          </w:p>
        </w:tc>
        <w:tc>
          <w:tcPr>
            <w:tcW w:w="2484" w:type="dxa"/>
          </w:tcPr>
          <w:p w14:paraId="08527F46" w14:textId="77777777" w:rsidR="00502610" w:rsidRDefault="00502610" w:rsidP="001D79EC">
            <w:r>
              <w:t>M+</w:t>
            </w:r>
          </w:p>
        </w:tc>
        <w:tc>
          <w:tcPr>
            <w:tcW w:w="2484" w:type="dxa"/>
          </w:tcPr>
          <w:p w14:paraId="5FE96284" w14:textId="77777777" w:rsidR="00502610" w:rsidRDefault="00502610" w:rsidP="001D79EC">
            <w:r>
              <w:t>S–</w:t>
            </w:r>
          </w:p>
        </w:tc>
        <w:tc>
          <w:tcPr>
            <w:tcW w:w="2484" w:type="dxa"/>
          </w:tcPr>
          <w:p w14:paraId="177543BD" w14:textId="77777777" w:rsidR="00502610" w:rsidRDefault="00502610" w:rsidP="001D79EC">
            <w:r>
              <w:t>M–</w:t>
            </w:r>
          </w:p>
        </w:tc>
      </w:tr>
      <w:tr w:rsidR="00502610" w14:paraId="01E95F72" w14:textId="77777777" w:rsidTr="001D79EC">
        <w:tc>
          <w:tcPr>
            <w:tcW w:w="2484" w:type="dxa"/>
          </w:tcPr>
          <w:p w14:paraId="0AA236AD" w14:textId="77777777" w:rsidR="00502610" w:rsidRDefault="00502610" w:rsidP="001D79EC">
            <w:r>
              <w:t>INDIFF</w:t>
            </w:r>
          </w:p>
        </w:tc>
        <w:tc>
          <w:tcPr>
            <w:tcW w:w="2484" w:type="dxa"/>
          </w:tcPr>
          <w:p w14:paraId="0C183410" w14:textId="77777777" w:rsidR="00502610" w:rsidRDefault="00502610" w:rsidP="001D79EC">
            <w:r>
              <w:t>0</w:t>
            </w:r>
          </w:p>
        </w:tc>
        <w:tc>
          <w:tcPr>
            <w:tcW w:w="2484" w:type="dxa"/>
          </w:tcPr>
          <w:p w14:paraId="1791F98B" w14:textId="77777777" w:rsidR="00502610" w:rsidRDefault="00502610" w:rsidP="001D79EC">
            <w:r>
              <w:t>0</w:t>
            </w:r>
          </w:p>
        </w:tc>
        <w:tc>
          <w:tcPr>
            <w:tcW w:w="2484" w:type="dxa"/>
          </w:tcPr>
          <w:p w14:paraId="561F1805" w14:textId="77777777" w:rsidR="00502610" w:rsidRDefault="00502610" w:rsidP="001D79EC">
            <w:r>
              <w:t>0</w:t>
            </w:r>
          </w:p>
        </w:tc>
      </w:tr>
      <w:tr w:rsidR="00502610" w14:paraId="6A7500C1" w14:textId="77777777" w:rsidTr="001D79EC">
        <w:tc>
          <w:tcPr>
            <w:tcW w:w="2484" w:type="dxa"/>
          </w:tcPr>
          <w:p w14:paraId="70FF53E8" w14:textId="77777777" w:rsidR="00502610" w:rsidRDefault="00502610" w:rsidP="001D79EC">
            <w:r>
              <w:t>DISLIKE</w:t>
            </w:r>
          </w:p>
        </w:tc>
        <w:tc>
          <w:tcPr>
            <w:tcW w:w="2484" w:type="dxa"/>
          </w:tcPr>
          <w:p w14:paraId="0E42CDAB" w14:textId="77777777" w:rsidR="00502610" w:rsidRDefault="00502610" w:rsidP="001D79EC">
            <w:r>
              <w:t>M–</w:t>
            </w:r>
          </w:p>
        </w:tc>
        <w:tc>
          <w:tcPr>
            <w:tcW w:w="2484" w:type="dxa"/>
          </w:tcPr>
          <w:p w14:paraId="33D8D032" w14:textId="77777777" w:rsidR="00502610" w:rsidRDefault="00502610" w:rsidP="001D79EC">
            <w:r>
              <w:t>0</w:t>
            </w:r>
          </w:p>
        </w:tc>
        <w:tc>
          <w:tcPr>
            <w:tcW w:w="2484" w:type="dxa"/>
          </w:tcPr>
          <w:p w14:paraId="1FB7D50C" w14:textId="77777777" w:rsidR="00502610" w:rsidRDefault="00502610" w:rsidP="001D79EC">
            <w:r>
              <w:t>XS–</w:t>
            </w:r>
          </w:p>
        </w:tc>
      </w:tr>
      <w:tr w:rsidR="00502610" w14:paraId="624C9944" w14:textId="77777777" w:rsidTr="001D79EC">
        <w:tc>
          <w:tcPr>
            <w:tcW w:w="2484" w:type="dxa"/>
          </w:tcPr>
          <w:p w14:paraId="25AACC53" w14:textId="77777777" w:rsidR="00502610" w:rsidRDefault="00502610" w:rsidP="001D79EC">
            <w:r>
              <w:t>OPPOSE</w:t>
            </w:r>
          </w:p>
        </w:tc>
        <w:tc>
          <w:tcPr>
            <w:tcW w:w="2484" w:type="dxa"/>
          </w:tcPr>
          <w:p w14:paraId="246D4852" w14:textId="77777777" w:rsidR="00502610" w:rsidRDefault="00502610" w:rsidP="001D79EC">
            <w:r>
              <w:t>L–</w:t>
            </w:r>
          </w:p>
        </w:tc>
        <w:tc>
          <w:tcPr>
            <w:tcW w:w="2484" w:type="dxa"/>
          </w:tcPr>
          <w:p w14:paraId="0F7C4629" w14:textId="77777777" w:rsidR="00502610" w:rsidRDefault="00502610" w:rsidP="001D79EC">
            <w:r>
              <w:t>0</w:t>
            </w:r>
          </w:p>
        </w:tc>
        <w:tc>
          <w:tcPr>
            <w:tcW w:w="2484" w:type="dxa"/>
          </w:tcPr>
          <w:p w14:paraId="2D9C5A9A" w14:textId="77777777" w:rsidR="00502610" w:rsidRDefault="00502610" w:rsidP="001D79EC">
            <w:r>
              <w:t>S–</w:t>
            </w:r>
          </w:p>
        </w:tc>
      </w:tr>
    </w:tbl>
    <w:p w14:paraId="2FA09EF2" w14:textId="77777777" w:rsidR="00502610" w:rsidRDefault="00502610" w:rsidP="00502610"/>
    <w:p w14:paraId="58B6D79C" w14:textId="77777777" w:rsidR="00D56613" w:rsidRDefault="00502610" w:rsidP="00D56613">
      <w:r>
        <w:t xml:space="preserve">The symbols L+, M+, etc., have the usual interpretation, as described in Section </w:t>
      </w:r>
      <w:r>
        <w:fldChar w:fldCharType="begin"/>
      </w:r>
      <w:r>
        <w:instrText xml:space="preserve"> REF _Ref162337101 \r \h </w:instrText>
      </w:r>
      <w:r>
        <w:fldChar w:fldCharType="separate"/>
      </w:r>
      <w:r w:rsidR="00C433B0">
        <w:rPr>
          <w:b/>
          <w:bCs/>
        </w:rPr>
        <w:t>Error! Reference source not found.</w:t>
      </w:r>
      <w:r>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308FF1E8" w14:textId="797A677E" w:rsidR="00D56613" w:rsidRDefault="00D56613" w:rsidP="00D56613">
      <w:r>
        <w:tab/>
      </w:r>
    </w:p>
    <w:p w14:paraId="1E3D20E3" w14:textId="1D402E7F" w:rsidR="00502610" w:rsidRPr="00CF5274" w:rsidRDefault="00502610" w:rsidP="00D56613">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13575A6A" w14:textId="0C3D64C9" w:rsidR="00502610" w:rsidRDefault="00F45187" w:rsidP="00502610">
      <w:pPr>
        <w:pStyle w:val="Heading4"/>
      </w:pPr>
      <w:bookmarkStart w:id="109" w:name="_Toc310421782"/>
      <w:bookmarkStart w:id="110" w:name="_Toc323560719"/>
      <w:r>
        <w:t>Changes due to Changing Beliefs</w:t>
      </w:r>
      <w:bookmarkEnd w:id="109"/>
      <w:bookmarkEnd w:id="110"/>
    </w:p>
    <w:p w14:paraId="7EB7927A" w14:textId="73B60721" w:rsidR="00502610" w:rsidRDefault="00502610" w:rsidP="00835EBB">
      <w:r w:rsidRPr="00835EBB">
        <w:rPr>
          <w:b/>
        </w:rPr>
        <w:t>Note:</w:t>
      </w:r>
      <w:r w:rsidRPr="00744FFA">
        <w:t xml:space="preserve"> Beliefs </w:t>
      </w:r>
      <w:r w:rsidR="00F45187">
        <w:t xml:space="preserve">(and hence, affinity) </w:t>
      </w:r>
      <w:r w:rsidRPr="00744FFA">
        <w:t>do not change dynamically in this version of Athena</w:t>
      </w:r>
      <w:r w:rsidR="00F45187">
        <w:t>.  When and if changes in belief are allowed, then a change in affinity should affect the baseline vertical relationship in some way.  This effect is TBD.</w:t>
      </w:r>
    </w:p>
    <w:p w14:paraId="637B54C5" w14:textId="5E9716AE" w:rsidR="00502610" w:rsidRDefault="00F45187" w:rsidP="00502610">
      <w:pPr>
        <w:pStyle w:val="Heading4"/>
      </w:pPr>
      <w:bookmarkStart w:id="111" w:name="_Toc310421783"/>
      <w:bookmarkStart w:id="112" w:name="_Toc323560720"/>
      <w:r>
        <w:t>Changes due to Tactics</w:t>
      </w:r>
      <w:bookmarkEnd w:id="111"/>
      <w:bookmarkEnd w:id="112"/>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w:t>
      </w:r>
      <w:r>
        <w:lastRenderedPageBreak/>
        <w:t xml:space="preserve">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13" w:name="_Toc310421784"/>
      <w:bookmarkStart w:id="114" w:name="_Toc323560721"/>
      <w:r>
        <w:t>Actor Support and Influence</w:t>
      </w:r>
      <w:bookmarkEnd w:id="113"/>
      <w:bookmarkEnd w:id="114"/>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15" w:name="_Toc310421785"/>
      <w:bookmarkStart w:id="116" w:name="_Toc323560722"/>
      <w:r>
        <w:t>Direct vs. Derived Support</w:t>
      </w:r>
      <w:bookmarkEnd w:id="115"/>
      <w:bookmarkEnd w:id="116"/>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17" w:name="_Toc310421786"/>
      <w:bookmarkStart w:id="118" w:name="_Toc323560723"/>
      <w:r>
        <w:t>Direct Support</w:t>
      </w:r>
      <w:bookmarkEnd w:id="117"/>
      <w:bookmarkEnd w:id="118"/>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7C6DC9"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r>
        <w:t>where</w:t>
      </w:r>
    </w:p>
    <w:p w14:paraId="35CC15E5" w14:textId="77777777" w:rsidR="00502610" w:rsidRDefault="00502610" w:rsidP="00502610"/>
    <w:p w14:paraId="7170B925" w14:textId="77777777" w:rsidR="00502610" w:rsidRPr="00A06820" w:rsidRDefault="007C6DC9"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7C6DC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7C6DC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7C6DC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7C6DC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7C6DC9"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n 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7C6DC9"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m:t>
              </m:r>
              <m:r>
                <w:rPr>
                  <w:rFonts w:ascii="Cambria Math" w:hAnsi="Cambria Math"/>
                </w:rPr>
                <m: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19" w:name="_Toc310421787"/>
      <w:bookmarkStart w:id="120" w:name="_Toc323560724"/>
      <w:r>
        <w:lastRenderedPageBreak/>
        <w:t>Derived Support</w:t>
      </w:r>
      <w:bookmarkEnd w:id="119"/>
      <w:bookmarkEnd w:id="120"/>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21" w:name="_Toc310421788"/>
      <w:bookmarkStart w:id="122" w:name="_Toc323560725"/>
      <w:r>
        <w:lastRenderedPageBreak/>
        <w:t>Total Support</w:t>
      </w:r>
      <w:bookmarkEnd w:id="121"/>
      <w:bookmarkEnd w:id="122"/>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7C6DC9"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23" w:name="_Toc310421789"/>
      <w:bookmarkStart w:id="124" w:name="_Toc323560726"/>
      <w:r>
        <w:t>Influence</w:t>
      </w:r>
      <w:bookmarkEnd w:id="123"/>
      <w:bookmarkEnd w:id="124"/>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7C6DC9"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lastRenderedPageBreak/>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25" w:name="_Toc310421790"/>
      <w:bookmarkStart w:id="126" w:name="_Toc323560727"/>
      <w:r>
        <w:t>Control of a Neighborhood</w:t>
      </w:r>
      <w:bookmarkEnd w:id="125"/>
      <w:bookmarkEnd w:id="126"/>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C433B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w:t>
      </w:r>
      <w:bookmarkStart w:id="127" w:name="_GoBack"/>
      <w:bookmarkEnd w:id="127"/>
      <w:r>
        <w:t xml:space="preserve">h actor’s influence in </w:t>
      </w:r>
      <w:r>
        <w:rPr>
          <w:i/>
        </w:rPr>
        <w:t>n</w:t>
      </w:r>
      <w:r>
        <w:t>.  Who is in control after the re-assessment is determined by applying these rules:</w:t>
      </w:r>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lastRenderedPageBreak/>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28" w:name="_Toc310421791"/>
      <w:bookmarkStart w:id="129" w:name="_Toc323560728"/>
      <w:r>
        <w:t>When Control Shifts</w:t>
      </w:r>
      <w:bookmarkEnd w:id="128"/>
      <w:bookmarkEnd w:id="129"/>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30" w:name="_Toc310421792"/>
      <w:bookmarkStart w:id="131" w:name="_Toc323560729"/>
      <w:r>
        <w:lastRenderedPageBreak/>
        <w:t>Force Analysis</w:t>
      </w:r>
      <w:bookmarkEnd w:id="130"/>
      <w:bookmarkEnd w:id="131"/>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32" w:name="_Toc310421793"/>
      <w:bookmarkStart w:id="133" w:name="_Toc323560730"/>
      <w:r>
        <w:t>Measuring Force</w:t>
      </w:r>
      <w:bookmarkEnd w:id="132"/>
      <w:bookmarkEnd w:id="133"/>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7C6DC9"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r>
        <w:t>where</w:t>
      </w:r>
    </w:p>
    <w:p w14:paraId="756296EF" w14:textId="77777777" w:rsidR="001D79EC" w:rsidRDefault="001D79EC" w:rsidP="001D79EC"/>
    <w:p w14:paraId="53F5F3E9" w14:textId="77777777" w:rsidR="001D79EC" w:rsidRDefault="007C6DC9"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7C6DC9"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7C6DC9"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r>
        <w:rPr>
          <w:i/>
          <w:iCs/>
        </w:rPr>
        <w:t>a</w:t>
      </w:r>
      <w:r>
        <w:t xml:space="preserve"> is a multiplier, nominally 0.</w:t>
      </w:r>
      <w:r w:rsidR="00DC5775">
        <w:t>0</w:t>
      </w:r>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7C6DC9"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7C6DC9"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7C6DC9"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7C6DC9"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is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r w:rsidRPr="001D79EC">
              <w:rPr>
                <w:rFonts w:asciiTheme="minorHAnsi" w:hAnsiTheme="minorHAnsi"/>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7C6DC9"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7C6DC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7C6DC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7C6DC9"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in </w:t>
      </w:r>
      <m:oMath>
        <m:sSub>
          <m:sSubPr>
            <m:ctrlPr>
              <w:rPr>
                <w:rFonts w:ascii="Cambria Math" w:hAnsi="Cambria Math"/>
              </w:rPr>
            </m:ctrlPr>
          </m:sSubPr>
          <m:e>
            <m:r>
              <w:rPr>
                <w:rFonts w:ascii="Cambria Math" w:hAnsi="Cambria Math"/>
              </w:rPr>
              <m:t>Lo</m:t>
            </m:r>
            <m:r>
              <w:rPr>
                <w:rFonts w:ascii="Cambria Math" w:hAnsi="Cambria Math"/>
              </w:rPr>
              <m:t>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7C6DC9"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m:t>
              </m:r>
              <m:r>
                <w:rPr>
                  <w:rFonts w:ascii="Cambria Math" w:hAnsi="Cambria Math"/>
                </w:rPr>
                <m:t>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7C6DC9"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7C6DC9"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m:t>
                  </m:r>
                  <m:r>
                    <w:rPr>
                      <w:rFonts w:ascii="Cambria Math" w:hAnsi="Cambria Math"/>
                    </w:rPr>
                    <m:t>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34" w:name="_Toc310421794"/>
      <w:bookmarkStart w:id="135" w:name="_Toc323560731"/>
      <w:r>
        <w:t>Volatility</w:t>
      </w:r>
      <w:bookmarkEnd w:id="134"/>
      <w:bookmarkEnd w:id="135"/>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7C6DC9"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7C6DC9"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7C6DC9"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36" w:name="_Toc310421795"/>
      <w:bookmarkStart w:id="137" w:name="_Toc323560732"/>
      <w:r>
        <w:t>Security</w:t>
      </w:r>
      <w:bookmarkEnd w:id="136"/>
      <w:bookmarkEnd w:id="137"/>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7C6DC9"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7C6DC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7C6DC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7C6DC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7C6DC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38" w:name="__RefHeading__30424212"/>
      <w:bookmarkStart w:id="139" w:name="_Toc310421796"/>
      <w:bookmarkStart w:id="140" w:name="_Toc323560733"/>
      <w:r>
        <w:lastRenderedPageBreak/>
        <w:t>Effects of Unit Activities</w:t>
      </w:r>
      <w:bookmarkEnd w:id="138"/>
      <w:bookmarkEnd w:id="139"/>
      <w:bookmarkEnd w:id="140"/>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41" w:name="__RefHeading__35223422"/>
      <w:bookmarkStart w:id="142" w:name="_Toc310421797"/>
      <w:bookmarkStart w:id="143" w:name="_Toc323560734"/>
      <w:r>
        <w:t>Force Presence and Activities</w:t>
      </w:r>
      <w:bookmarkEnd w:id="141"/>
      <w:bookmarkEnd w:id="142"/>
      <w:bookmarkEnd w:id="143"/>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7C6DC9" w:rsidRDefault="007C6DC9"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" fillcolor="white [3201]" stroked="f" strokeweight=".5pt">
                <v:textbox>
                  <w:txbxContent>
                    <w:p w14:paraId="709C0E48" w14:textId="77777777" w:rsidR="002E7BC9" w:rsidRDefault="002E7BC9" w:rsidP="00392218">
                      <w:proofErr w:type="gramStart"/>
                      <w:r>
                        <w:t>c</w:t>
                      </w:r>
                      <w:proofErr w:type="gramEnd"/>
                      <w:r>
                        <w:t xml:space="preserve">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7C6DC9" w:rsidRDefault="007C6DC9" w:rsidP="00392218"/>
                            <w:p w14:paraId="5C39A1A7" w14:textId="77777777" w:rsidR="007C6DC9" w:rsidRDefault="007C6DC9"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7C6DC9" w:rsidRDefault="007C6DC9"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7C6DC9" w:rsidRDefault="007C6DC9"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7C6DC9" w:rsidRDefault="007C6DC9"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7C6DC9" w:rsidRDefault="007C6DC9"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7C6DC9" w:rsidRDefault="007C6DC9"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xmlns:mv="urn:schemas-microsoft-com:mac:vml" xmlns:mo="http://schemas.microsoft.com/office/mac/office/2008/main">
            <w:pict>
              <v:group id="Group 13" o:spid="_x0000_s1051" style="width:233.75pt;height:188.6pt;mso-position-horizontal-relative:char;mso-position-vertical-relative:line" coordsize="3662628,2936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">
                <v:line id="Straight Connector 14" o:spid="_x0000_s1052" style="position:absolute;visibility:visible;mso-wrap-style:square" from="462594,228600" to="4625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94,228600" to="3434394,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94,2743200" to="34343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94;top:457200;width:3200034;height:2285634;visibility:visible;mso-wrap-style:square;v-text-anchor:middle-center" coordsize="8890,63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hz4wgAA&#10;ANsAAAAPAAAAZHJzL2Rvd25yZXYueG1sRE9Na8JAEL0X/A/LCN7qplKtpK7SCgUNvTRRz2N2mg3N&#10;zobsauK/dwuF3ubxPme1GWwjrtT52rGCp2kCgrh0uuZKwaH4eFyC8AFZY+OYFNzIw2Y9elhhql3P&#10;X3TNQyViCPsUFZgQ2lRKXxqy6KeuJY7ct+sshgi7SuoO+xhuGzlLkoW0WHNsMNjS1lD5k1+sgtP5&#10;VCyO71m2s970z1mxzz+buVKT8fD2CiLQEP7Ff+6djvNf4PeXeI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mHPjCAAAA2wAAAA8AAAAAAAAAAAAAAAAAlwIAAGRycy9kb3du&#10;cmV2LnhtbFBLBQYAAAAABAAEAPUAAACGAwAAAAA=&#10;" adj="-11796480,,5400" path="m8890,0c5715,635,3175,1270,,6350l0,6350e" filled="f" strokecolor="red" strokeweight="0">
                  <v:stroke joinstyle="miter"/>
                  <v:formulas/>
                  <v:path arrowok="t" o:connecttype="custom" o:connectlocs="1600017,0;0,1142817;1600017,2285634;3200034,1142817" o:connectangles="270,180,90,0" textboxrect="0,0,8890,6350"/>
                  <v:textbox inset="89976emu,44988emu,89976emu,44988emu">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71;width:679855;height:3630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pCqxAAA&#10;ANsAAAAPAAAAZHJzL2Rvd25yZXYueG1sRI9Ba8MwDIXvg/0Ho8Juq9NBx8jqFlPYKJQOluawo4i1&#10;JCyWg+2m6b+fDoPdJN7Te582u9kPaqKY+sAGVssCFHETXM+tgfr89vgCKmVkh0NgMnCjBLvt/d0G&#10;Sxeu/ElTlVslIZxKNNDlPJZap6Yjj2kZRmLRvkP0mGWNrXYRrxLuB/1UFM/aY8/S0OFI+46an+ri&#10;Dbyfp+Mp2nU122n/Yes62Nvpy5iHxWxfQWWa87/57/rg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KQqsQAAADbAAAADwAAAAAAAAAAAAAAAACXAgAAZHJzL2Rv&#10;d25yZXYueG1sUEsFBgAAAAAEAAQA9QAAAIgDAAAAAA==&#10;" filled="f" stroked="f">
                  <v:textbox inset="89976emu,44988emu,89976emu,44988emu">
                    <w:txbxContent>
                      <w:p w14:paraId="2AFFD8BF" w14:textId="77777777" w:rsidR="002E7BC9" w:rsidRDefault="002E7BC9" w:rsidP="00392218">
                        <w:r>
                          <w:t>1.0</w:t>
                        </w:r>
                      </w:p>
                    </w:txbxContent>
                  </v:textbox>
                </v:shape>
                <v:shape id="Text Box 19" o:spid="_x0000_s1057" type="#_x0000_t202" style="position:absolute;top:914210;width:794496;height:5223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jUxwgAA&#10;ANsAAAAPAAAAZHJzL2Rvd25yZXYueG1sRE/fa8IwEH4X/B/CCXvTdMKGdkYJgmMwHNj2wcejubVl&#10;zaUkWa3//TIY7O0+vp+3O0y2FyP50DlW8LjKQBDXznTcKKjK03IDIkRkg71jUnCnAIf9fLbD3Lgb&#10;X2gsYiNSCIccFbQxDrmUoW7JYli5gThxn85bjAn6RhqPtxRue7nOsmdpsePU0OJAx5bqr+LbKngt&#10;x/ez10/FpMfjh64qp+/nq1IPi0m/gIg0xX/xn/vNpPlb+P0lHS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eNTHCAAAA2wAAAA8AAAAAAAAAAAAAAAAAlwIAAGRycy9kb3du&#10;cmV2LnhtbFBLBQYAAAAABAAEAPUAAACGAwAAAAA=&#10;" filled="f" stroked="f">
                  <v:textbox inset="89976emu,44988emu,89976emu,44988emu">
                    <w:txbxContent>
                      <w:p w14:paraId="6ABABAAD" w14:textId="77777777" w:rsidR="002E7BC9" w:rsidRDefault="002E7BC9" w:rsidP="00392218">
                        <w:r>
                          <w:t>2/3</w:t>
                        </w:r>
                      </w:p>
                    </w:txbxContent>
                  </v:textbox>
                </v:shape>
                <v:shape id="Text Box 20" o:spid="_x0000_s1058" type="#_x0000_t202" style="position:absolute;left:82489;top:2589000;width:711832;height:346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FYRwAAA&#10;ANsAAAAPAAAAZHJzL2Rvd25yZXYueG1sRE/Pa8IwFL4P/B/CE7zNdIIyOqMEQRFEYbUHj4/mrS1r&#10;XkoSa/3vzWGw48f3e70dbScG8qF1rOBjnoEgrpxpuVZQXvfvnyBCRDbYOSYFTwqw3Uze1pgb9+Bv&#10;GopYixTCIUcFTYx9LmWoGrIY5q4nTtyP8xZjgr6WxuMjhdtOLrJsJS22nBoa7GnXUPVb3K2Cw3U4&#10;nb1eFqMedhddlk4/zzelZtNRf4GINMZ/8Z/7aBQs0vr0Jf0AuX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SFYRwAAAANsAAAAPAAAAAAAAAAAAAAAAAJcCAABkcnMvZG93bnJl&#10;di54bWxQSwUGAAAAAAQABAD1AAAAhAMAAAAA&#10;" filled="f" stroked="f">
                  <v:textbox inset="89976emu,44988emu,89976emu,44988emu">
                    <w:txbxContent>
                      <w:p w14:paraId="2B4F3E6B" w14:textId="77777777" w:rsidR="002E7BC9" w:rsidRDefault="002E7BC9" w:rsidP="00392218">
                        <w:r>
                          <w:t>0.0</w:t>
                        </w:r>
                      </w:p>
                    </w:txbxContent>
                  </v:textbox>
                </v:shape>
                <v:shape id="Text Box 21" o:spid="_x0000_s1059" type="#_x0000_t202" style="position:absolute;left:397272;top:2671070;width:29679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POKxAAA&#10;ANsAAAAPAAAAZHJzL2Rvd25yZXYueG1sRI/BasMwEETvgf6D2EBviZxAS3EtBxFoKJQU6viQ42Jt&#10;bRNrZSTFcf6+KhR6HGbmDVPsZjuIiXzoHSvYrDMQxI0zPbcK6tPb6gVEiMgGB8ek4E4BduXDosDc&#10;uBt/0VTFViQIhxwVdDGOuZSh6chiWLuROHnfzluMSfpWGo+3BLeD3GbZs7TYc1rocKR9R82luloF&#10;h9P0cfT6qZr1tP/Ude30/XhW6nE561cQkeb4H/5rvxsF2w38fkk/QJ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TzisQAAADbAAAADwAAAAAAAAAAAAAAAACXAgAAZHJzL2Rv&#10;d25yZXYueG1sUEsFBgAAAAAEAAQA9QAAAIgDAAAAAA==&#10;" filled="f" stroked="f">
                  <v:textbox inset="89976emu,44988emu,89976emu,44988emu">
                    <w:txbxContent>
                      <w:p w14:paraId="7D111AC2" w14:textId="77777777" w:rsidR="002E7BC9" w:rsidRDefault="002E7BC9" w:rsidP="00392218"/>
                    </w:txbxContent>
                  </v:textbox>
                </v:shape>
                <v:shape id="Text Box 22" o:spid="_x0000_s1060" type="#_x0000_t202" style="position:absolute;left:1636436;top:2671070;width:41045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1m39xAAA&#10;ANsAAAAPAAAAZHJzL2Rvd25yZXYueG1sRI9Ba8JAFITvhf6H5Qne6saAIqmrLEJLoSgYc+jxkX1N&#10;QrNvw+42xn/fLQgeh5n5htnuJ9uLkXzoHCtYLjIQxLUzHTcKqsvbywZEiMgGe8ek4EYB9rvnpy0W&#10;xl35TGMZG5EgHApU0MY4FFKGuiWLYeEG4uR9O28xJukbaTxeE9z2Ms+ytbTYcVpocaBDS/VP+WsV&#10;vF/Gz6PXq3LS4+Gkq8rp2/FLqfls0q8gIk3xEb63P4yCPIf/L+kHyN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Zt/cQAAADbAAAADwAAAAAAAAAAAAAAAACXAgAAZHJzL2Rv&#10;d25yZXYueG1sUEsFBgAAAAAEAAQA9QAAAIgDAAAAAA==&#10;" filled="f" stroked="f">
                  <v:textbox inset="89976emu,44988emu,89976emu,44988emu">
                    <w:txbxContent>
                      <w:p w14:paraId="70929AC4" w14:textId="77777777" w:rsidR="002E7BC9" w:rsidRDefault="002E7BC9" w:rsidP="00392218"/>
                    </w:txbxContent>
                  </v:textbox>
                </v:shape>
                <v:line id="Straight Connector 23" o:spid="_x0000_s1061" style="position:absolute;visibility:visible;mso-wrap-style:square" from="462594,1143000" to="1834194,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94,1143000" to="18341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r>
        <w:t xml:space="preserve">where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7C6DC9"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7C6DC9"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44" w:name="_Toc310421798"/>
      <w:bookmarkStart w:id="145" w:name="_Toc323560735"/>
      <w:r>
        <w:t>Organization Activities</w:t>
      </w:r>
      <w:bookmarkEnd w:id="144"/>
      <w:bookmarkEnd w:id="145"/>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46" w:name="_Toc310421799"/>
      <w:bookmarkStart w:id="147" w:name="_Toc323560736"/>
      <w:r>
        <w:t>Civilian Activities</w:t>
      </w:r>
      <w:bookmarkEnd w:id="146"/>
      <w:bookmarkEnd w:id="147"/>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48" w:name="_Toc310421800"/>
      <w:bookmarkStart w:id="149" w:name="_Toc323560737"/>
      <w:r>
        <w:t>Activity Situations</w:t>
      </w:r>
      <w:bookmarkEnd w:id="148"/>
      <w:bookmarkEnd w:id="149"/>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50" w:name="_Ref310324877"/>
      <w:bookmarkStart w:id="151" w:name="_Toc310421801"/>
      <w:bookmarkStart w:id="152" w:name="_Toc323560738"/>
      <w:r>
        <w:lastRenderedPageBreak/>
        <w:t>Environmental Situations</w:t>
      </w:r>
      <w:bookmarkEnd w:id="150"/>
      <w:bookmarkEnd w:id="151"/>
      <w:bookmarkEnd w:id="152"/>
    </w:p>
    <w:p w14:paraId="6CFCDC62" w14:textId="77777777" w:rsidR="000D3FC9" w:rsidRDefault="000D3FC9" w:rsidP="000D3FC9">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53" w:name="_Ref310246902"/>
      <w:bookmarkStart w:id="154" w:name="_Ref310247782"/>
      <w:bookmarkStart w:id="155" w:name="_Toc310421802"/>
      <w:bookmarkStart w:id="156" w:name="_Toc323560739"/>
      <w:r>
        <w:lastRenderedPageBreak/>
        <w:t>Services</w:t>
      </w:r>
      <w:bookmarkEnd w:id="153"/>
      <w:bookmarkEnd w:id="154"/>
      <w:bookmarkEnd w:id="155"/>
      <w:bookmarkEnd w:id="156"/>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57" w:name="_Toc310421803"/>
      <w:bookmarkStart w:id="158" w:name="_Toc323560740"/>
      <w:r>
        <w:t>Overview</w:t>
      </w:r>
      <w:bookmarkEnd w:id="157"/>
      <w:bookmarkEnd w:id="158"/>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C433B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59" w:name="_Toc310421804"/>
      <w:bookmarkStart w:id="160" w:name="_Toc323560741"/>
      <w:r>
        <w:t>Services vs. Environmental Situations</w:t>
      </w:r>
      <w:bookmarkEnd w:id="159"/>
      <w:bookmarkEnd w:id="160"/>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C433B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61" w:name="_Toc310421805"/>
      <w:bookmarkStart w:id="162" w:name="_Toc323560742"/>
      <w:r>
        <w:t>Levels of Service</w:t>
      </w:r>
      <w:bookmarkEnd w:id="161"/>
      <w:bookmarkEnd w:id="162"/>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63" w:name="_Ref310415360"/>
      <w:bookmarkStart w:id="164" w:name="_Toc310421806"/>
      <w:bookmarkStart w:id="165" w:name="_Toc323560743"/>
      <w:r>
        <w:t>Service Cases</w:t>
      </w:r>
      <w:bookmarkEnd w:id="163"/>
      <w:bookmarkEnd w:id="164"/>
      <w:bookmarkEnd w:id="165"/>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66" w:name="_Ref310327255"/>
      <w:bookmarkStart w:id="167" w:name="_Toc310421807"/>
      <w:bookmarkStart w:id="168" w:name="_Toc323560744"/>
      <w:r>
        <w:lastRenderedPageBreak/>
        <w:t>Essential Non-Infrastructure (ENI) Services</w:t>
      </w:r>
      <w:bookmarkEnd w:id="166"/>
      <w:bookmarkEnd w:id="167"/>
      <w:bookmarkEnd w:id="168"/>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69" w:name="_Toc310421808"/>
      <w:bookmarkStart w:id="170" w:name="_Toc323560745"/>
      <w:r>
        <w:t>Service vs. Funding</w:t>
      </w:r>
      <w:bookmarkEnd w:id="169"/>
      <w:bookmarkEnd w:id="170"/>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7C6DC9"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7C6D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7C6DC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7C6DC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7C6DC9"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7C6DC9"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7C6DC9"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7C6DC9"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7C6DC9"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71" w:name="_Toc310421809"/>
      <w:bookmarkStart w:id="172" w:name="_Toc323560746"/>
      <w:r>
        <w:t>Funding by Individual Actors</w:t>
      </w:r>
      <w:bookmarkEnd w:id="171"/>
      <w:bookmarkEnd w:id="172"/>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7C6DC9"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r>
        <w:t>where</w:t>
      </w:r>
    </w:p>
    <w:p w14:paraId="1F152EA1" w14:textId="77777777" w:rsidR="00A4698B" w:rsidRDefault="00A4698B" w:rsidP="00A4698B"/>
    <w:p w14:paraId="178BCDD6" w14:textId="77777777" w:rsidR="00B75001" w:rsidRDefault="007C6DC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73" w:name="_Toc310421810"/>
      <w:bookmarkStart w:id="174" w:name="_Toc323560747"/>
      <w:r>
        <w:t>Expected Level of Service</w:t>
      </w:r>
      <w:bookmarkEnd w:id="173"/>
      <w:bookmarkEnd w:id="174"/>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7C6DC9"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r>
        <w:lastRenderedPageBreak/>
        <w:t>where</w:t>
      </w:r>
    </w:p>
    <w:p w14:paraId="4B92995E" w14:textId="77777777" w:rsidR="00A4698B" w:rsidRDefault="00A4698B" w:rsidP="00A4698B"/>
    <w:p w14:paraId="67B5D7A4" w14:textId="77777777" w:rsidR="00B75001" w:rsidRDefault="007C6DC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7C6DC9"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7C6D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61DF7878" w14:textId="77777777" w:rsidR="00FC0A5B" w:rsidRDefault="00FC0A5B" w:rsidP="00A4698B"/>
    <w:p w14:paraId="7CBD16FD" w14:textId="77777777" w:rsidR="00FC0A5B" w:rsidRDefault="00FC0A5B" w:rsidP="00FC0A5B">
      <w:pPr>
        <w:pStyle w:val="Heading4"/>
      </w:pPr>
      <w:bookmarkStart w:id="175" w:name="_Toc310421815"/>
      <w:bookmarkStart w:id="176" w:name="_Toc323560748"/>
      <w:r>
        <w:t>Categorize the Actual Level of Service</w:t>
      </w:r>
      <w:bookmarkEnd w:id="175"/>
      <w:bookmarkEnd w:id="176"/>
    </w:p>
    <w:p w14:paraId="7D27EF27" w14:textId="41332A85" w:rsidR="00FC0A5B" w:rsidRDefault="00FC0A5B" w:rsidP="00FC0A5B">
      <w:r>
        <w:t xml:space="preserve">To compute the attitude effects, we use the four service cases described in Section </w:t>
      </w:r>
      <w:r>
        <w:fldChar w:fldCharType="begin"/>
      </w:r>
      <w:r>
        <w:instrText xml:space="preserve"> REF _Ref310415360 \r \h </w:instrText>
      </w:r>
      <w:r>
        <w:fldChar w:fldCharType="separate"/>
      </w:r>
      <w:r w:rsidR="00C433B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000EA621" w14:textId="77777777" w:rsidR="00FC0A5B" w:rsidRDefault="00FC0A5B" w:rsidP="00FC0A5B"/>
    <w:p w14:paraId="4D07F650" w14:textId="77777777" w:rsidR="00FC0A5B" w:rsidRDefault="00FC0A5B" w:rsidP="00FC0A5B">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458128FD" w14:textId="77777777" w:rsidR="00FC0A5B" w:rsidRDefault="00FC0A5B" w:rsidP="00FC0A5B"/>
    <w:p w14:paraId="070E55CB" w14:textId="77777777" w:rsidR="00FC0A5B" w:rsidRDefault="00FC0A5B" w:rsidP="00FC0A5B">
      <w:pPr>
        <w:pStyle w:val="ListParagraph"/>
        <w:numPr>
          <w:ilvl w:val="0"/>
          <w:numId w:val="36"/>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4BFE0517" w14:textId="77777777" w:rsidR="00FC0A5B" w:rsidRDefault="00FC0A5B" w:rsidP="00FC0A5B"/>
    <w:p w14:paraId="6B1633F8" w14:textId="77777777" w:rsidR="00FC0A5B" w:rsidRDefault="00FC0A5B" w:rsidP="00FC0A5B">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4DD4B185" w14:textId="77777777" w:rsidR="00FC0A5B" w:rsidRDefault="00FC0A5B" w:rsidP="00FC0A5B"/>
    <w:p w14:paraId="73AB21E4" w14:textId="77777777" w:rsidR="00FC0A5B" w:rsidRDefault="00FC0A5B" w:rsidP="00FC0A5B">
      <w:pPr>
        <w:pStyle w:val="ListParagraph"/>
        <w:numPr>
          <w:ilvl w:val="0"/>
          <w:numId w:val="36"/>
        </w:numPr>
      </w:pPr>
      <w:r>
        <w:t xml:space="preserve">Otherwise, the actual is greater than expected, and case </w:t>
      </w:r>
      <w:r w:rsidRPr="00A4698B">
        <w:rPr>
          <w:b/>
        </w:rPr>
        <w:t>E+</w:t>
      </w:r>
      <w:r>
        <w:t xml:space="preserve"> applies.</w:t>
      </w:r>
    </w:p>
    <w:p w14:paraId="07401B39" w14:textId="77777777" w:rsidR="00FC0A5B" w:rsidRDefault="00FC0A5B" w:rsidP="00FC0A5B"/>
    <w:p w14:paraId="416102B1" w14:textId="77777777" w:rsidR="00FC0A5B" w:rsidRDefault="00FC0A5B" w:rsidP="00FC0A5B">
      <w:r>
        <w:t>where</w:t>
      </w:r>
    </w:p>
    <w:p w14:paraId="41B127DA" w14:textId="77777777" w:rsidR="00FC0A5B" w:rsidRDefault="00FC0A5B" w:rsidP="00FC0A5B"/>
    <w:p w14:paraId="4452B115" w14:textId="77777777" w:rsidR="00FC0A5B" w:rsidRDefault="00FC0A5B"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tab/>
        <w:t>=</w:t>
      </w:r>
      <w:r>
        <w:tab/>
        <w:t xml:space="preserve">The actual level of service received by </w:t>
      </w:r>
      <w:r>
        <w:rPr>
          <w:i/>
        </w:rPr>
        <w:t>g</w:t>
      </w:r>
      <w:r>
        <w:t>.</w:t>
      </w:r>
    </w:p>
    <w:p w14:paraId="33605922" w14:textId="77777777" w:rsidR="00FC0A5B" w:rsidRDefault="00FC0A5B"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tab/>
        <w:t>=</w:t>
      </w:r>
      <w:r>
        <w:tab/>
        <w:t xml:space="preserve">The expected level of service for </w:t>
      </w:r>
      <w:r>
        <w:rPr>
          <w:i/>
        </w:rPr>
        <w:t>g</w:t>
      </w:r>
      <w:r>
        <w:t>.</w:t>
      </w:r>
    </w:p>
    <w:p w14:paraId="1248336A" w14:textId="77777777" w:rsidR="00FC0A5B" w:rsidRPr="003D3FDD" w:rsidRDefault="00FC0A5B"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tab/>
        <w:t>=</w:t>
      </w:r>
      <w:r>
        <w:tab/>
        <w:t xml:space="preserve">The required level of service for residents of neighborhoods with urbanization </w:t>
      </w:r>
      <w:r w:rsidRPr="00B57042">
        <w:rPr>
          <w:i/>
        </w:rPr>
        <w:t>r</w:t>
      </w:r>
      <w:r>
        <w:t xml:space="preserve">, where </w:t>
      </w:r>
      <w:r>
        <w:rPr>
          <w:i/>
        </w:rPr>
        <w:t>r</w:t>
      </w:r>
      <w:r>
        <w:t xml:space="preserve"> is the urbanization of </w:t>
      </w:r>
      <w:r>
        <w:rPr>
          <w:i/>
        </w:rPr>
        <w:t>g</w:t>
      </w:r>
      <w:r>
        <w:t>’s neighborhood, as defined above.</w:t>
      </w:r>
    </w:p>
    <w:p w14:paraId="76E9169D"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0"/>
      </w:r>
    </w:p>
    <w:p w14:paraId="551D882E" w14:textId="77777777" w:rsidR="00FC0A5B" w:rsidRDefault="00FC0A5B" w:rsidP="00A4698B"/>
    <w:p w14:paraId="27BB91A9" w14:textId="77777777" w:rsidR="00B75001" w:rsidRDefault="00B75001" w:rsidP="00B75001">
      <w:pPr>
        <w:pStyle w:val="Heading4"/>
      </w:pPr>
      <w:bookmarkStart w:id="177" w:name="_Toc310421811"/>
      <w:bookmarkStart w:id="178" w:name="_Toc323560749"/>
      <w:r>
        <w:t>Satisfaction Effects</w:t>
      </w:r>
      <w:bookmarkEnd w:id="177"/>
      <w:bookmarkEnd w:id="178"/>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79" w:name="_Toc310421812"/>
      <w:bookmarkStart w:id="180" w:name="_Toc323560750"/>
      <w:r>
        <w:t xml:space="preserve">The </w:t>
      </w:r>
      <w:r w:rsidRPr="00A4698B">
        <w:t>Needs</w:t>
      </w:r>
      <w:r>
        <w:t xml:space="preserve"> Factor</w:t>
      </w:r>
      <w:bookmarkEnd w:id="179"/>
      <w:bookmarkEnd w:id="180"/>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rPr>
          <w:noProof/>
        </w:rPr>
        <w:lastRenderedPageBreak/>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7C6DC9"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7C6D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7C6DC9"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1"/>
      </w:r>
    </w:p>
    <w:p w14:paraId="2480511D" w14:textId="77777777" w:rsidR="00B75001" w:rsidRDefault="007C6DC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2"/>
      </w:r>
      <w:r w:rsidR="00B75001">
        <w:t xml:space="preserve"> the gain on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7C6DC9"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3A5F1F2" w14:textId="7B0760BC"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81" w:name="_Toc310421813"/>
      <w:bookmarkStart w:id="182" w:name="_Toc323560751"/>
      <w:r>
        <w:t>The Expectations Factor</w:t>
      </w:r>
      <w:bookmarkEnd w:id="181"/>
      <w:bookmarkEnd w:id="182"/>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7C6DC9"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r>
        <w:t>where</w:t>
      </w:r>
    </w:p>
    <w:p w14:paraId="5C276C9C" w14:textId="77777777" w:rsidR="00B75001" w:rsidRPr="0099602B" w:rsidRDefault="007C6DC9"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7C6D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7C6DC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7C6DC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3"/>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Default="00B75001" w:rsidP="00B75001">
      <w:pPr>
        <w:pStyle w:val="Heading4"/>
      </w:pPr>
      <w:bookmarkStart w:id="183" w:name="_Ref310342819"/>
      <w:bookmarkStart w:id="184" w:name="_Toc310421814"/>
      <w:bookmarkStart w:id="185" w:name="_Toc323560752"/>
      <w:r>
        <w:t>Vertical Relationship</w:t>
      </w:r>
      <w:bookmarkEnd w:id="183"/>
      <w:r>
        <w:t xml:space="preserve"> Effects</w:t>
      </w:r>
      <w:bookmarkEnd w:id="184"/>
      <w:bookmarkEnd w:id="185"/>
    </w:p>
    <w:p w14:paraId="56B3BA78" w14:textId="7877F0E2"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0B1650C8" w14:textId="77777777" w:rsidR="004E72E8" w:rsidRDefault="004E72E8" w:rsidP="00A4698B"/>
    <w:p w14:paraId="5237D214" w14:textId="2DCEA918"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7FA1A755" w14:textId="77777777" w:rsidR="00FC0A5B" w:rsidRDefault="00FC0A5B" w:rsidP="00FC0A5B">
      <w:pPr>
        <w:pStyle w:val="ListParagraph"/>
      </w:pPr>
    </w:p>
    <w:p w14:paraId="5484418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7C6DC9"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7C6DC9"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r>
        <w:t xml:space="preserve">where </w:t>
      </w:r>
    </w:p>
    <w:p w14:paraId="7DF8F214" w14:textId="77777777" w:rsidR="00A4698B" w:rsidRPr="008D32D0" w:rsidRDefault="00A4698B" w:rsidP="00A4698B"/>
    <w:p w14:paraId="7BEDD38A" w14:textId="77777777" w:rsidR="00B75001" w:rsidRDefault="007C6DC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7C6DC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7C6DC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9D71AB" w:rsidR="00B75001" w:rsidRDefault="00B75001" w:rsidP="00A4698B">
      <w:r>
        <w:t>We then categorize these contributions as shown in the following table:</w:t>
      </w:r>
      <w:r w:rsidR="00FC0A5B">
        <w:rPr>
          <w:rStyle w:val="FootnoteReference"/>
        </w:rPr>
        <w:footnoteReference w:id="34"/>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7C6DC9"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7C6DC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7C6DC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C39BAA2" w14:textId="09823B34"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186" w:name="_Toc310421818"/>
      <w:bookmarkStart w:id="187" w:name="_Toc323560753"/>
      <w:r>
        <w:lastRenderedPageBreak/>
        <w:t>Athena Attrition Model (AAM)</w:t>
      </w:r>
      <w:bookmarkEnd w:id="186"/>
      <w:bookmarkEnd w:id="187"/>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188" w:name="_Toc310421819"/>
      <w:bookmarkStart w:id="189" w:name="_Toc323560754"/>
      <w:r>
        <w:t>Overview</w:t>
      </w:r>
      <w:bookmarkEnd w:id="188"/>
      <w:bookmarkEnd w:id="189"/>
    </w:p>
    <w:p w14:paraId="5F4F888F" w14:textId="77777777" w:rsidR="002520B8" w:rsidRDefault="002520B8" w:rsidP="002520B8">
      <w:pPr>
        <w:pStyle w:val="Heading4"/>
      </w:pPr>
      <w:bookmarkStart w:id="190" w:name="_Toc310421820"/>
      <w:bookmarkStart w:id="191" w:name="_Toc323560755"/>
      <w:r>
        <w:t>Attrition in the Real World</w:t>
      </w:r>
      <w:bookmarkEnd w:id="190"/>
      <w:bookmarkEnd w:id="191"/>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192" w:name="__RefHeading__28413023"/>
      <w:bookmarkStart w:id="193" w:name="_Toc310421821"/>
      <w:bookmarkStart w:id="194" w:name="_Toc323560756"/>
      <w:r>
        <w:lastRenderedPageBreak/>
        <w:t xml:space="preserve">Requirements for This </w:t>
      </w:r>
      <w:bookmarkEnd w:id="192"/>
      <w:r>
        <w:t>Version</w:t>
      </w:r>
      <w:bookmarkEnd w:id="193"/>
      <w:bookmarkEnd w:id="194"/>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5"/>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6"/>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195" w:name="_Toc310421822"/>
      <w:bookmarkStart w:id="196" w:name="_Toc323560757"/>
      <w:r>
        <w:t>Requirements for Later Versions</w:t>
      </w:r>
      <w:bookmarkEnd w:id="195"/>
      <w:bookmarkEnd w:id="196"/>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Individual units might be designated as Uniformed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197" w:name="_Toc310421823"/>
      <w:bookmarkStart w:id="198" w:name="_Toc323560758"/>
      <w:r>
        <w:t>Simplifying Assumptions</w:t>
      </w:r>
      <w:bookmarkEnd w:id="197"/>
      <w:bookmarkEnd w:id="198"/>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199" w:name="__RefHeading__28403723"/>
      <w:bookmarkStart w:id="200" w:name="_Toc310421824"/>
      <w:bookmarkStart w:id="201" w:name="_Toc323560759"/>
      <w:r>
        <w:t>Uniformed vs. Non-Uniformed Forces</w:t>
      </w:r>
      <w:bookmarkEnd w:id="199"/>
      <w:bookmarkEnd w:id="200"/>
      <w:bookmarkEnd w:id="201"/>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02" w:name="_Toc310421825"/>
      <w:bookmarkStart w:id="203" w:name="_Toc323560760"/>
      <w:r>
        <w:lastRenderedPageBreak/>
        <w:t>Units and Unit Activities</w:t>
      </w:r>
      <w:bookmarkEnd w:id="202"/>
      <w:bookmarkEnd w:id="203"/>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04" w:name="_Toc310421826"/>
      <w:bookmarkStart w:id="205" w:name="_Toc323560761"/>
      <w:r>
        <w:t>Unit Number and Unit Size</w:t>
      </w:r>
      <w:bookmarkEnd w:id="204"/>
      <w:bookmarkEnd w:id="205"/>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06" w:name="_Toc310421827"/>
      <w:bookmarkStart w:id="207" w:name="_Toc323560762"/>
      <w:r>
        <w:lastRenderedPageBreak/>
        <w:t>Attrition and Mobilized Troops</w:t>
      </w:r>
      <w:bookmarkEnd w:id="206"/>
      <w:bookmarkEnd w:id="207"/>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08" w:name="_Toc310421828"/>
      <w:bookmarkStart w:id="209" w:name="_Toc323560763"/>
      <w:r>
        <w:t>Magic Attrition</w:t>
      </w:r>
      <w:bookmarkEnd w:id="208"/>
      <w:bookmarkEnd w:id="209"/>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10" w:name="_Toc310421829"/>
      <w:bookmarkStart w:id="211" w:name="_Toc323560764"/>
      <w:r>
        <w:t>Magic Attrition to Units</w:t>
      </w:r>
      <w:bookmarkEnd w:id="210"/>
      <w:bookmarkEnd w:id="211"/>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12" w:name="_Toc310421830"/>
      <w:bookmarkStart w:id="213" w:name="_Toc323560765"/>
      <w:r>
        <w:t>Magic Attrition to Groups</w:t>
      </w:r>
      <w:bookmarkEnd w:id="212"/>
      <w:bookmarkEnd w:id="213"/>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14" w:name="_Toc310421831"/>
      <w:bookmarkStart w:id="215" w:name="_Toc323560766"/>
      <w:r>
        <w:t>Magic Attrition to Neighborhoods</w:t>
      </w:r>
      <w:bookmarkEnd w:id="214"/>
      <w:bookmarkEnd w:id="215"/>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16" w:name="_Toc310421832"/>
      <w:bookmarkStart w:id="217" w:name="_Toc323560767"/>
      <w:r>
        <w:t>Antagonists and ROEs</w:t>
      </w:r>
      <w:bookmarkEnd w:id="216"/>
      <w:bookmarkEnd w:id="217"/>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C433B0">
        <w:t>9.2</w:t>
      </w:r>
      <w:r>
        <w:fldChar w:fldCharType="end"/>
      </w:r>
      <w:r>
        <w:t>: NF and UF.</w:t>
      </w:r>
      <w:r>
        <w:rPr>
          <w:rStyle w:val="FootnoteReference"/>
          <w:rFonts w:eastAsia="Wingdings"/>
        </w:rPr>
        <w:footnoteReference w:id="37"/>
      </w:r>
      <w:r>
        <w:t xml:space="preserve">  Attrition occurs when two forces </w:t>
      </w:r>
      <w:r>
        <w:rPr>
          <w:i/>
          <w:iCs/>
        </w:rPr>
        <w:t>a</w:t>
      </w:r>
      <w:r>
        <w:t xml:space="preserve"> and </w:t>
      </w:r>
      <w:r>
        <w:rPr>
          <w:i/>
          <w:iCs/>
        </w:rPr>
        <w:t>b</w:t>
      </w:r>
      <w:r>
        <w:t xml:space="preserve"> are antagonists as defined in this section.</w:t>
      </w:r>
    </w:p>
    <w:p w14:paraId="1530A9FC" w14:textId="77777777" w:rsidR="002520B8" w:rsidRDefault="002520B8" w:rsidP="002520B8">
      <w:pPr>
        <w:pStyle w:val="Heading4"/>
      </w:pPr>
      <w:bookmarkStart w:id="218" w:name="_Toc310421833"/>
      <w:bookmarkStart w:id="219" w:name="_Toc323560768"/>
      <w:r>
        <w:t>Attacking ROEs: Maximum Number of Attacks</w:t>
      </w:r>
      <w:bookmarkEnd w:id="218"/>
      <w:bookmarkEnd w:id="219"/>
    </w:p>
    <w:p w14:paraId="06F5E88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20" w:name="_Toc310421834"/>
      <w:bookmarkStart w:id="221" w:name="_Toc323560769"/>
      <w:r>
        <w:t>Attacking ROEs: UF</w:t>
      </w:r>
      <w:bookmarkEnd w:id="220"/>
      <w:bookmarkEnd w:id="221"/>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22" w:name="_Toc310421835"/>
      <w:bookmarkStart w:id="223" w:name="_Toc323560770"/>
      <w:r>
        <w:t>Attacking ROEs: NF</w:t>
      </w:r>
      <w:bookmarkEnd w:id="222"/>
      <w:bookmarkEnd w:id="223"/>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24" w:name="_Toc310421836"/>
      <w:bookmarkStart w:id="225" w:name="_Toc323560771"/>
      <w:r>
        <w:t>Defending ROEs</w:t>
      </w:r>
      <w:bookmarkEnd w:id="224"/>
      <w:bookmarkEnd w:id="225"/>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26" w:name="_Toc310421837"/>
      <w:bookmarkStart w:id="227" w:name="_Toc323560772"/>
      <w:r>
        <w:t>The Attrition Cycle</w:t>
      </w:r>
      <w:bookmarkEnd w:id="226"/>
      <w:bookmarkEnd w:id="227"/>
    </w:p>
    <w:p w14:paraId="5335EA9D" w14:textId="748DAC7A"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51E8B482" w14:textId="77777777" w:rsidR="00193714" w:rsidRDefault="00193714" w:rsidP="00193714"/>
    <w:p w14:paraId="56765D41" w14:textId="7E34236D" w:rsidR="002520B8" w:rsidRDefault="008E7DA8" w:rsidP="00193714">
      <w:r>
        <w:t>Each week</w:t>
      </w:r>
      <w:r w:rsidR="002520B8">
        <w:t>, the following algorithm will compute the attrition:</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0B00AAC5" w14:textId="77777777" w:rsidR="002520B8" w:rsidRPr="00230676" w:rsidRDefault="002520B8" w:rsidP="002520B8">
      <w:pPr>
        <w:pStyle w:val="Pseudocode"/>
        <w:ind w:left="720"/>
      </w:pPr>
      <w:r>
        <w:lastRenderedPageBreak/>
        <w:t xml:space="preserve">For each pair </w:t>
      </w:r>
      <w:r>
        <w:rPr>
          <w:i/>
          <w:iCs/>
        </w:rPr>
        <w:t>a,b</w:t>
      </w:r>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28" w:name="_Toc310421838"/>
      <w:bookmarkStart w:id="229" w:name="_Toc323560773"/>
      <w:r>
        <w:t>Computing Attrition</w:t>
      </w:r>
      <w:bookmarkEnd w:id="228"/>
      <w:bookmarkEnd w:id="229"/>
    </w:p>
    <w:p w14:paraId="3056B491" w14:textId="77777777" w:rsidR="002520B8" w:rsidRDefault="002520B8" w:rsidP="002520B8">
      <w:pPr>
        <w:pStyle w:val="Heading4"/>
      </w:pPr>
      <w:bookmarkStart w:id="230" w:name="_Toc310421839"/>
      <w:bookmarkStart w:id="231" w:name="_Toc323560774"/>
      <w:r>
        <w:t>Uniformed vs. Non-uniformed</w:t>
      </w:r>
      <w:bookmarkEnd w:id="230"/>
      <w:bookmarkEnd w:id="231"/>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8"/>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Increased cooperation of the civilians with the UF, because the UF will get more intel.</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7C6D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7C6D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7C6DC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7C6DC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7C6DC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9"/>
      </w:r>
    </w:p>
    <w:p w14:paraId="42589F6C" w14:textId="77777777" w:rsidR="002520B8" w:rsidRDefault="007C6DC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40"/>
      </w:r>
    </w:p>
    <w:p w14:paraId="5CE8CF12" w14:textId="77777777" w:rsidR="002520B8" w:rsidRDefault="007C6DC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1"/>
      </w:r>
      <w:r w:rsidR="002520B8">
        <w:tab/>
      </w:r>
    </w:p>
    <w:p w14:paraId="6A5CC166" w14:textId="77777777" w:rsidR="002520B8" w:rsidRDefault="007C6DC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2"/>
      </w:r>
    </w:p>
    <w:p w14:paraId="03745A6C"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43"/>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7C6DC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7C6DC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44"/>
      </w:r>
    </w:p>
    <w:p w14:paraId="5C708B07" w14:textId="77777777" w:rsidR="002520B8" w:rsidRDefault="007C6DC9"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7C6DC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7C6DC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5"/>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6"/>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32" w:name="_Toc310421840"/>
      <w:bookmarkStart w:id="233" w:name="_Toc323560775"/>
      <w:r>
        <w:t>Non-uniformed vs. Uniformed</w:t>
      </w:r>
      <w:bookmarkEnd w:id="232"/>
      <w:bookmarkEnd w:id="233"/>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7"/>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r>
        <w:t>where</w:t>
      </w:r>
    </w:p>
    <w:p w14:paraId="63225FBC" w14:textId="77777777" w:rsidR="008955F4" w:rsidRDefault="008955F4" w:rsidP="008955F4"/>
    <w:p w14:paraId="56B12311"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48"/>
      </w:r>
    </w:p>
    <w:p w14:paraId="649B1585" w14:textId="77777777" w:rsidR="002520B8" w:rsidRDefault="007C6DC9"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7C6D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7C6DC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9"/>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7C6DC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50"/>
      </w:r>
    </w:p>
    <w:p w14:paraId="174F7A11" w14:textId="0AC00D4F" w:rsidR="002520B8" w:rsidRDefault="007C6DC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1"/>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34" w:name="_Toc310421841"/>
      <w:bookmarkStart w:id="235" w:name="_Toc323560776"/>
      <w:r>
        <w:t>Loss Exchange Ratio</w:t>
      </w:r>
      <w:bookmarkEnd w:id="234"/>
      <w:bookmarkEnd w:id="235"/>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7C6DC9"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2"/>
      </w:r>
    </w:p>
    <w:p w14:paraId="2549C96F" w14:textId="77777777" w:rsidR="002520B8" w:rsidRDefault="007C6D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7C6D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7C6DC9"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3"/>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lastRenderedPageBreak/>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36" w:name="_Toc310421842"/>
      <w:bookmarkStart w:id="237" w:name="_Toc323560777"/>
      <w:r>
        <w:t>NF and UF Casualties</w:t>
      </w:r>
      <w:bookmarkEnd w:id="236"/>
      <w:bookmarkEnd w:id="237"/>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4"/>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5"/>
      </w:r>
      <w:r>
        <w:t xml:space="preserve">  Given the LER, they can then kill</w:t>
      </w:r>
    </w:p>
    <w:p w14:paraId="0E2B5904" w14:textId="77777777" w:rsidR="008955F4" w:rsidRDefault="008955F4" w:rsidP="008955F4">
      <w:pPr>
        <w:rPr>
          <w:b/>
          <w:bCs/>
        </w:rPr>
      </w:pPr>
    </w:p>
    <w:p w14:paraId="0B975914"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7C6DC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38" w:name="_Toc310421843"/>
      <w:bookmarkStart w:id="239" w:name="_Toc323560778"/>
      <w:r>
        <w:t>Civilian Collateral Damage</w:t>
      </w:r>
      <w:bookmarkEnd w:id="238"/>
      <w:bookmarkEnd w:id="239"/>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7C6DC9"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r>
        <w:t>where</w:t>
      </w:r>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56"/>
      </w:r>
    </w:p>
    <w:p w14:paraId="405A8F8B" w14:textId="77777777" w:rsidR="002520B8" w:rsidRDefault="002520B8" w:rsidP="002520B8">
      <w:pPr>
        <w:pStyle w:val="Heading3"/>
      </w:pPr>
      <w:bookmarkStart w:id="240" w:name="__RefHeading__31420625"/>
      <w:bookmarkStart w:id="241" w:name="_Toc310421844"/>
      <w:bookmarkStart w:id="242" w:name="_Toc323560779"/>
      <w:r>
        <w:t>Applying Attrition</w:t>
      </w:r>
      <w:bookmarkEnd w:id="240"/>
      <w:bookmarkEnd w:id="241"/>
      <w:bookmarkEnd w:id="242"/>
    </w:p>
    <w:p w14:paraId="6D419232" w14:textId="77777777"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r w:rsidRPr="008955F4">
        <w:rPr>
          <w:i/>
        </w:rPr>
        <w:t>casualties</w:t>
      </w:r>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7C6DC9"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43" w:name="_Toc310421845"/>
      <w:bookmarkStart w:id="244" w:name="_Toc323560780"/>
      <w:r>
        <w:t>Assessing the Attitude Implications</w:t>
      </w:r>
      <w:bookmarkEnd w:id="243"/>
      <w:bookmarkEnd w:id="244"/>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45" w:name="_Toc310421846"/>
      <w:bookmarkStart w:id="246" w:name="_Toc323560781"/>
      <w:r>
        <w:t>Contrasted with JNEM</w:t>
      </w:r>
      <w:bookmarkEnd w:id="245"/>
      <w:bookmarkEnd w:id="246"/>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47" w:name="_Toc310421847"/>
      <w:bookmarkStart w:id="248" w:name="_Toc323560782"/>
      <w:r>
        <w:t>Satisfaction Effects of Attrition</w:t>
      </w:r>
      <w:bookmarkEnd w:id="247"/>
      <w:bookmarkEnd w:id="248"/>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r w:rsidRPr="00991F49">
        <w:t>The attrited civilian group</w:t>
      </w:r>
      <w:r>
        <w:t>.</w:t>
      </w:r>
    </w:p>
    <w:p w14:paraId="7412D884"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7"/>
      </w:r>
    </w:p>
    <w:p w14:paraId="05C7291D" w14:textId="77777777" w:rsidR="002520B8" w:rsidRDefault="002520B8" w:rsidP="002520B8">
      <w:pPr>
        <w:pStyle w:val="Definitions"/>
      </w:pPr>
      <w:r w:rsidRPr="008955F4">
        <w:rPr>
          <w:i/>
        </w:rPr>
        <w:t>M</w:t>
      </w:r>
      <w:r>
        <w:tab/>
        <w:t>=</w:t>
      </w:r>
      <w:r>
        <w:tab/>
      </w:r>
      <w:r w:rsidRPr="00991F49">
        <w:t>The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49" w:name="_Toc310421848"/>
      <w:bookmarkStart w:id="250" w:name="_Toc323560783"/>
      <w:r>
        <w:t>Cooperation Effects of Attrition</w:t>
      </w:r>
      <w:bookmarkEnd w:id="249"/>
      <w:bookmarkEnd w:id="250"/>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lastRenderedPageBreak/>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7C6DC9"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8"/>
      </w:r>
    </w:p>
    <w:p w14:paraId="4709137A" w14:textId="77777777" w:rsidR="002520B8" w:rsidRDefault="002520B8" w:rsidP="002520B8">
      <w:pPr>
        <w:pStyle w:val="Definitions"/>
      </w:pPr>
      <w:r w:rsidRPr="008955F4">
        <w:rPr>
          <w:i/>
        </w:rPr>
        <w:t>M</w:t>
      </w:r>
      <w:r>
        <w:tab/>
        <w:t>=</w:t>
      </w:r>
      <w:r>
        <w:tab/>
      </w:r>
      <w:r w:rsidRPr="008A74E3">
        <w:t>The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51" w:name="__RefHeading__11631_1190374725"/>
      <w:bookmarkStart w:id="252" w:name="_Toc310421849"/>
      <w:bookmarkStart w:id="253" w:name="_Toc323560784"/>
      <w:r>
        <w:lastRenderedPageBreak/>
        <w:t>Demographics</w:t>
      </w:r>
      <w:bookmarkEnd w:id="251"/>
      <w:bookmarkEnd w:id="252"/>
      <w:bookmarkEnd w:id="253"/>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9"/>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54" w:name="_Toc310421850"/>
      <w:bookmarkStart w:id="255" w:name="_Toc323560785"/>
      <w:r w:rsidRPr="00753E07">
        <w:t>Requirements</w:t>
      </w:r>
      <w:r>
        <w:t xml:space="preserve"> for This Version</w:t>
      </w:r>
      <w:bookmarkEnd w:id="254"/>
      <w:bookmarkEnd w:id="255"/>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60"/>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56" w:name="_Toc310421851"/>
      <w:bookmarkStart w:id="257" w:name="_Toc323560786"/>
      <w:r>
        <w:t>Simplifying Assumptions</w:t>
      </w:r>
      <w:bookmarkEnd w:id="256"/>
      <w:bookmarkEnd w:id="257"/>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1"/>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58" w:name="_Toc310421852"/>
      <w:bookmarkStart w:id="259" w:name="_Toc323560787"/>
      <w:r>
        <w:t>Population and Units</w:t>
      </w:r>
      <w:bookmarkEnd w:id="258"/>
      <w:bookmarkEnd w:id="259"/>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60" w:name="_Toc310421853"/>
      <w:bookmarkStart w:id="261" w:name="_Toc323560788"/>
      <w:r>
        <w:t>Civilian Group Population</w:t>
      </w:r>
      <w:bookmarkEnd w:id="260"/>
      <w:bookmarkEnd w:id="261"/>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r>
        <w:t>where</w:t>
      </w:r>
    </w:p>
    <w:p w14:paraId="5BCF82F0" w14:textId="77777777" w:rsidR="00131AC4" w:rsidRDefault="00131AC4" w:rsidP="00131AC4"/>
    <w:p w14:paraId="223A2F33" w14:textId="77777777" w:rsidR="00753E07" w:rsidRDefault="007C6DC9"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7C6DC9"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7C6DC9"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62" w:name="_Toc310421854"/>
      <w:bookmarkStart w:id="263" w:name="_Toc323560789"/>
      <w:r>
        <w:t>Civilian Attrition</w:t>
      </w:r>
      <w:bookmarkEnd w:id="262"/>
      <w:bookmarkEnd w:id="263"/>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7C6DC9"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64" w:name="_Toc310421855"/>
      <w:bookmarkStart w:id="265" w:name="_Toc323560790"/>
      <w:r>
        <w:lastRenderedPageBreak/>
        <w:t>Subsistence Population</w:t>
      </w:r>
      <w:bookmarkEnd w:id="264"/>
      <w:bookmarkEnd w:id="265"/>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r>
        <w:t>where</w:t>
      </w:r>
    </w:p>
    <w:p w14:paraId="019D3A64" w14:textId="77777777" w:rsidR="00131AC4" w:rsidRDefault="00131AC4" w:rsidP="00131AC4"/>
    <w:p w14:paraId="42278B23" w14:textId="77777777" w:rsidR="00753E07" w:rsidRDefault="007C6DC9"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66" w:name="_Toc310421856"/>
      <w:bookmarkStart w:id="267" w:name="_Toc323560791"/>
      <w:r>
        <w:t>Consumer Population</w:t>
      </w:r>
      <w:bookmarkEnd w:id="266"/>
      <w:bookmarkEnd w:id="267"/>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68" w:name="_Toc310421857"/>
      <w:bookmarkStart w:id="269" w:name="_Toc323560792"/>
      <w:r>
        <w:t>Labor Force</w:t>
      </w:r>
      <w:bookmarkEnd w:id="268"/>
      <w:bookmarkEnd w:id="269"/>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2"/>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7C6DC9"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r>
        <w:lastRenderedPageBreak/>
        <w:t>where</w:t>
      </w:r>
    </w:p>
    <w:p w14:paraId="37A3A411" w14:textId="77777777" w:rsidR="00131AC4" w:rsidRDefault="00131AC4" w:rsidP="00131AC4"/>
    <w:p w14:paraId="060F8FE1" w14:textId="77777777" w:rsidR="00753E07" w:rsidRPr="00FF15B4" w:rsidRDefault="007C6DC9"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7C6DC9"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7C6DC9"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3"/>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70" w:name="_Toc310421858"/>
      <w:bookmarkStart w:id="271" w:name="_Toc323560793"/>
      <w:r>
        <w:t>Neighborhood Population</w:t>
      </w:r>
      <w:bookmarkEnd w:id="270"/>
      <w:bookmarkEnd w:id="271"/>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72" w:name="_Toc310421859"/>
      <w:bookmarkStart w:id="273" w:name="_Toc323560794"/>
      <w:r>
        <w:t>Displaced Personnel</w:t>
      </w:r>
      <w:bookmarkEnd w:id="272"/>
      <w:bookmarkEnd w:id="273"/>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r>
        <w:t>where</w:t>
      </w:r>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7C6DC9"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74" w:name="_Toc310421860"/>
      <w:bookmarkStart w:id="275" w:name="_Toc323560795"/>
      <w:r>
        <w:t>Displaced Consumers</w:t>
      </w:r>
      <w:bookmarkEnd w:id="274"/>
      <w:bookmarkEnd w:id="275"/>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76" w:name="_Toc310421861"/>
      <w:bookmarkStart w:id="277" w:name="_Toc323560796"/>
      <w:r>
        <w:t>Displaced Labor Force</w:t>
      </w:r>
      <w:bookmarkEnd w:id="276"/>
      <w:bookmarkEnd w:id="277"/>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7C6DC9"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78" w:name="_Toc310421862"/>
      <w:bookmarkStart w:id="279" w:name="_Toc323560797"/>
      <w:r>
        <w:t>Neighborhood Totals</w:t>
      </w:r>
      <w:bookmarkEnd w:id="278"/>
      <w:bookmarkEnd w:id="279"/>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7C6DC9"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80" w:name="_Toc310421863"/>
      <w:bookmarkStart w:id="281" w:name="_Toc323560798"/>
      <w:r>
        <w:t>Regional Population</w:t>
      </w:r>
      <w:bookmarkEnd w:id="280"/>
      <w:bookmarkEnd w:id="281"/>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82" w:name="_Toc310421864"/>
      <w:bookmarkStart w:id="283" w:name="_Toc323560799"/>
      <w:r>
        <w:lastRenderedPageBreak/>
        <w:t>Unemployment</w:t>
      </w:r>
      <w:bookmarkEnd w:id="282"/>
      <w:bookmarkEnd w:id="283"/>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284" w:name="_Toc310421865"/>
      <w:bookmarkStart w:id="285" w:name="_Toc323560800"/>
      <w:r>
        <w:t>Disaggregation to Neighborhoods</w:t>
      </w:r>
      <w:bookmarkEnd w:id="284"/>
      <w:bookmarkEnd w:id="285"/>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r>
        <w:t>where</w:t>
      </w:r>
    </w:p>
    <w:p w14:paraId="56F05370" w14:textId="77777777" w:rsidR="00131AC4" w:rsidRDefault="00131AC4" w:rsidP="00131AC4"/>
    <w:p w14:paraId="3ADD3918" w14:textId="77777777" w:rsidR="00753E07" w:rsidRDefault="007C6DC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7C6DC9"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286" w:name="_Toc310421866"/>
      <w:bookmarkStart w:id="287" w:name="_Toc323560801"/>
      <w:r>
        <w:t>Disaggregation to Civilian Groups</w:t>
      </w:r>
      <w:bookmarkEnd w:id="286"/>
      <w:bookmarkEnd w:id="287"/>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r>
        <w:t>where</w:t>
      </w:r>
    </w:p>
    <w:p w14:paraId="7515CB58" w14:textId="77777777" w:rsidR="00131AC4" w:rsidRDefault="00131AC4" w:rsidP="00131AC4"/>
    <w:p w14:paraId="2D2DC456" w14:textId="77777777" w:rsidR="00753E07" w:rsidRDefault="007C6DC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7C6DC9"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288" w:name="_Toc310421867"/>
      <w:bookmarkStart w:id="289" w:name="_Toc323560802"/>
      <w:r>
        <w:lastRenderedPageBreak/>
        <w:t>Unemployment Situations</w:t>
      </w:r>
      <w:bookmarkEnd w:id="288"/>
      <w:bookmarkEnd w:id="289"/>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7C6DC9"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290" w:name="_Toc310421868"/>
      <w:bookmarkStart w:id="291" w:name="_Toc323560803"/>
      <w:r>
        <w:lastRenderedPageBreak/>
        <w:t>Economics</w:t>
      </w:r>
      <w:bookmarkEnd w:id="290"/>
      <w:bookmarkEnd w:id="291"/>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C433B0">
        <w:t>12</w:t>
      </w:r>
      <w:r w:rsidR="00D90060">
        <w:fldChar w:fldCharType="end"/>
      </w:r>
      <w:r>
        <w:t>.</w:t>
      </w:r>
    </w:p>
    <w:p w14:paraId="15CA3BFC" w14:textId="77777777" w:rsidR="004F6A40" w:rsidRDefault="004F6A40" w:rsidP="004F6A40">
      <w:pPr>
        <w:pStyle w:val="Heading3"/>
      </w:pPr>
      <w:bookmarkStart w:id="292" w:name="__RefHeading__1441_2040446466"/>
      <w:bookmarkStart w:id="293" w:name="_Toc310421869"/>
      <w:bookmarkStart w:id="294" w:name="_Toc323560804"/>
      <w:r>
        <w:t>Sectors</w:t>
      </w:r>
      <w:bookmarkEnd w:id="292"/>
      <w:bookmarkEnd w:id="293"/>
      <w:bookmarkEnd w:id="294"/>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295" w:name="_Toc310421870"/>
      <w:bookmarkStart w:id="296" w:name="_Toc323560805"/>
      <w:r>
        <w:t>The Economic Tableau</w:t>
      </w:r>
      <w:bookmarkEnd w:id="295"/>
      <w:bookmarkEnd w:id="296"/>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r>
        <w:t>where</w:t>
      </w:r>
    </w:p>
    <w:p w14:paraId="1B79B8BE" w14:textId="77777777" w:rsidR="001342B4" w:rsidRDefault="001342B4" w:rsidP="001342B4"/>
    <w:p w14:paraId="37F27840" w14:textId="77777777" w:rsidR="004F6A40" w:rsidRDefault="007C6DC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7C6DC9"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7C6DC9"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7C6DC9"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7C6DC9"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7C6DC9"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7C6DC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7C6DC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7C6DC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297" w:name="_Toc310421871"/>
      <w:bookmarkStart w:id="298" w:name="_Toc323560806"/>
      <w:r>
        <w:t>Text Notation</w:t>
      </w:r>
      <w:bookmarkEnd w:id="297"/>
      <w:bookmarkEnd w:id="298"/>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7C6DC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7C6DC9"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7C6DC9"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7C6DC9"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7C6DC9"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7C6DC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299" w:name="_Toc310421872"/>
      <w:bookmarkStart w:id="300" w:name="_Toc323560807"/>
      <w:r>
        <w:t>Shape vs. Size</w:t>
      </w:r>
      <w:bookmarkEnd w:id="299"/>
      <w:bookmarkEnd w:id="300"/>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w:t>
      </w:r>
      <w:r>
        <w:lastRenderedPageBreak/>
        <w:t>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C433B0">
        <w:t>11.6</w:t>
      </w:r>
      <w:r>
        <w:fldChar w:fldCharType="end"/>
      </w:r>
      <w:r>
        <w:t>.</w:t>
      </w:r>
    </w:p>
    <w:p w14:paraId="63C007BC" w14:textId="77777777" w:rsidR="004F6A40" w:rsidRDefault="004F6A40" w:rsidP="004F6A40">
      <w:pPr>
        <w:pStyle w:val="Heading3"/>
      </w:pPr>
      <w:bookmarkStart w:id="301" w:name="_Toc310421873"/>
      <w:bookmarkStart w:id="302" w:name="_Toc323560808"/>
      <w:r>
        <w:t>Production Functions</w:t>
      </w:r>
      <w:bookmarkEnd w:id="301"/>
      <w:bookmarkEnd w:id="302"/>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4"/>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03" w:name="__RefHeading__1421_2040446466"/>
      <w:bookmarkStart w:id="304" w:name="_Toc310421874"/>
      <w:bookmarkStart w:id="305" w:name="_Toc323560809"/>
      <w:r>
        <w:t>Calibrating the CGE</w:t>
      </w:r>
      <w:bookmarkEnd w:id="303"/>
      <w:bookmarkEnd w:id="304"/>
      <w:bookmarkEnd w:id="305"/>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r w:rsidRPr="001342B4">
        <w:rPr>
          <w:rFonts w:ascii="Courier New" w:hAnsi="Courier New" w:cs="Courier New"/>
        </w:rPr>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06" w:name="_Toc310421875"/>
      <w:bookmarkStart w:id="307" w:name="_Toc323560810"/>
      <w:r>
        <w:t>Fill in the Social Accounting Matrix</w:t>
      </w:r>
      <w:bookmarkEnd w:id="306"/>
      <w:bookmarkEnd w:id="307"/>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7C6D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5"/>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08" w:name="_Toc310421876"/>
      <w:bookmarkStart w:id="309" w:name="_Toc323560811"/>
      <w:r>
        <w:t>Compute the Cobb-Douglas Parameters</w:t>
      </w:r>
      <w:bookmarkEnd w:id="308"/>
      <w:bookmarkEnd w:id="309"/>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7C6DC9"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10" w:name="_Toc310421877"/>
      <w:bookmarkStart w:id="311" w:name="_Toc323560812"/>
      <w:r>
        <w:lastRenderedPageBreak/>
        <w:t>Set the Base Wage and Consumption</w:t>
      </w:r>
      <w:bookmarkEnd w:id="310"/>
      <w:bookmarkEnd w:id="311"/>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C433B0">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12" w:name="_Toc310421878"/>
      <w:bookmarkStart w:id="313" w:name="_Toc323560813"/>
      <w:r>
        <w:t>Scenario Inputs</w:t>
      </w:r>
      <w:bookmarkEnd w:id="312"/>
      <w:bookmarkEnd w:id="313"/>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14" w:name="__RefHeading__1469_2040446466"/>
      <w:bookmarkStart w:id="315" w:name="_Toc310421879"/>
      <w:bookmarkStart w:id="316" w:name="_Toc323560814"/>
      <w:r>
        <w:t>Run-time Inputs</w:t>
      </w:r>
      <w:bookmarkEnd w:id="314"/>
      <w:bookmarkEnd w:id="315"/>
      <w:bookmarkEnd w:id="316"/>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17" w:name="_Toc310421880"/>
      <w:bookmarkStart w:id="318" w:name="_Toc323560815"/>
      <w:r>
        <w:t>Outputs</w:t>
      </w:r>
      <w:bookmarkEnd w:id="317"/>
      <w:bookmarkEnd w:id="318"/>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19" w:name="_Toc310421881"/>
      <w:bookmarkStart w:id="320" w:name="_Toc323560816"/>
      <w:r>
        <w:t>Ways to Affect the Economy</w:t>
      </w:r>
      <w:bookmarkEnd w:id="319"/>
      <w:bookmarkEnd w:id="320"/>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C433B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21" w:name="_Toc310421882"/>
      <w:bookmarkStart w:id="322" w:name="_Toc323560817"/>
      <w:r>
        <w:t>Ways the Economy Affects Athena</w:t>
      </w:r>
      <w:bookmarkEnd w:id="321"/>
      <w:bookmarkEnd w:id="322"/>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C433B0">
        <w:t>10</w:t>
      </w:r>
      <w:r>
        <w:fldChar w:fldCharType="end"/>
      </w:r>
      <w:r>
        <w:t>.</w:t>
      </w:r>
    </w:p>
    <w:p w14:paraId="6E77ED16" w14:textId="77777777" w:rsidR="004F6A40" w:rsidRDefault="004F6A40" w:rsidP="004F6A40">
      <w:pPr>
        <w:pStyle w:val="Heading3"/>
      </w:pPr>
      <w:bookmarkStart w:id="323" w:name="_Toc310421883"/>
      <w:bookmarkStart w:id="324" w:name="_Toc323560818"/>
      <w:r>
        <w:lastRenderedPageBreak/>
        <w:t>CGE Architecture</w:t>
      </w:r>
      <w:bookmarkEnd w:id="323"/>
      <w:bookmarkEnd w:id="324"/>
    </w:p>
    <w:p w14:paraId="09CF5E01" w14:textId="5D303BAA" w:rsidR="004F6A40" w:rsidRDefault="004F6A40" w:rsidP="001F5946">
      <w:r>
        <w:t xml:space="preserve">The CGE equations are implemented as a </w:t>
      </w:r>
      <w:r>
        <w:rPr>
          <w:i/>
          <w:iCs/>
        </w:rPr>
        <w:t>cell model</w:t>
      </w:r>
      <w:r>
        <w:rPr>
          <w:rStyle w:val="FootnoteReference"/>
        </w:rPr>
        <w:footnoteReference w:id="66"/>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C433B0">
        <w:t>12</w:t>
      </w:r>
      <w:r w:rsidR="00D90060">
        <w:fldChar w:fldCharType="end"/>
      </w:r>
      <w:r w:rsidR="00D90060">
        <w:t>.</w:t>
      </w:r>
      <w:r>
        <w:t xml:space="preserve">  A cell model is like a non-GUI spreadsheet model, in which each </w:t>
      </w:r>
      <w:r w:rsidR="001A1D41">
        <w:t>each</w:t>
      </w:r>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r w:rsidRPr="001F5946">
        <w:rPr>
          <w:b/>
          <w:bCs/>
        </w:rPr>
        <w:t>In</w:t>
      </w:r>
      <w:r>
        <w:t>'s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C433B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25" w:name="_Toc323560819"/>
      <w:r>
        <w:lastRenderedPageBreak/>
        <w:t>Appendices</w:t>
      </w:r>
      <w:bookmarkEnd w:id="325"/>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26" w:name="_Ref316890958"/>
      <w:bookmarkStart w:id="327" w:name="_Ref316890997"/>
      <w:bookmarkStart w:id="328" w:name="_Ref316891018"/>
      <w:bookmarkStart w:id="329" w:name="_Toc323560820"/>
      <w:r>
        <w:lastRenderedPageBreak/>
        <w:t>The Economics Cell Model</w:t>
      </w:r>
      <w:bookmarkEnd w:id="326"/>
      <w:bookmarkEnd w:id="327"/>
      <w:bookmarkEnd w:id="328"/>
      <w:bookmarkEnd w:id="329"/>
    </w:p>
    <w:p w14:paraId="06CE49D6" w14:textId="1A53A30E" w:rsidR="001F5946" w:rsidRDefault="001F5946" w:rsidP="001F5946">
      <w:r>
        <w:t>This section defines the Economics Model’s Computable General Equilibrium (CGE) model in cellmodel(5) format.  The cellmodel(5)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constants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I.e.,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advances,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data, and non-iterative calibration.</w:t>
      </w:r>
    </w:p>
    <w:p w14:paraId="48261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    Iterative calibration based on data from the null page.</w:t>
      </w:r>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which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The Athena application is aware only of the "null", In,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C::QS.goods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support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both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ediff()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stand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Renamed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the correct names BaseConsumers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In::Consumers.  Added computation of GDP.</w:t>
      </w:r>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markets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that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Changed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f.goods.pop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clearance.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Constraining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U::P.goods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percentage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computation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Out::BQS.goods = Cal::QS.goods, to support the</w:t>
      </w:r>
    </w:p>
    <w:p w14:paraId="039F3C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CAP.goods calibration.</w:t>
      </w:r>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endogenous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workforce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demographics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opportunities.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constraints.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capacity,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just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distinction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In::CAP.goods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infinite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dynamic inputs (e.g., BasePopulation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     {goods pop else}</w:t>
      </w:r>
    </w:p>
    <w:p w14:paraId="21330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ing   {pop else}</w:t>
      </w:r>
    </w:p>
    <w:p w14:paraId="3D21E4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j     {goods pop else}</w:t>
      </w:r>
    </w:p>
    <w:p w14:paraId="585A74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no SAM, we need to input BaseConsumers, A.goods.pop,</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f.goods.goods = 0.2</w:t>
      </w:r>
    </w:p>
    <w:p w14:paraId="6BC001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f.pop.goods   = 0.4</w:t>
      </w:r>
    </w:p>
    <w:p w14:paraId="401984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f.goods.pop   = 0.75</w:t>
      </w:r>
    </w:p>
    <w:p w14:paraId="62DE7D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f.pop.pop     = 0.1</w:t>
      </w:r>
    </w:p>
    <w:p w14:paraId="0C86BA5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f.goods.else  = 0.3</w:t>
      </w:r>
    </w:p>
    <w:p w14:paraId="55BA87A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f.pop.else    = 0.05</w:t>
      </w:r>
    </w:p>
    <w:p w14:paraId="6FF2ED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coefficients.</w:t>
      </w:r>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BP.goods = 1       ;# $/goodsBKT</w:t>
      </w:r>
    </w:p>
    <w:p w14:paraId="646A43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BP.pop   = 400     ;# $/work-year</w:t>
      </w:r>
    </w:p>
    <w:p w14:paraId="5BB776B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income,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    ;#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2.28e7    ;#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production function coefficients.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formulas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start of the simulation.</w:t>
      </w:r>
    </w:p>
    <w:p w14:paraId="57388C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preparation,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REV.i {i} {[P.$i]*[QS.$i]}</w:t>
      </w:r>
    </w:p>
    <w:p w14:paraId="57E051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REV.goods = [REV.i goods]                      -value 2.92125e8</w:t>
      </w:r>
    </w:p>
    <w:p w14:paraId="6D0DBE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REV.pop   = [REV.i pop]                        -value 1.52e8</w:t>
      </w:r>
    </w:p>
    <w:p w14:paraId="5B6795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REV.else  = [REV.i else]                       -value 3.99e8</w:t>
      </w:r>
    </w:p>
    <w:p w14:paraId="6E4FEF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X.goods.goods  = {&lt;:X.i.j goods goods:&gt;}  -value 5.8425e7</w:t>
      </w:r>
    </w:p>
    <w:p w14:paraId="13C793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X.pop.goods    = {&lt;:X.i.j pop goods:&gt;}    -value 1.1685e8</w:t>
      </w:r>
    </w:p>
    <w:p w14:paraId="6A6F1D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X.else.goods   = {&lt;:X.i.j else goods:&gt;}   -value 1.1685e8</w:t>
      </w:r>
    </w:p>
    <w:p w14:paraId="43D448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X.goods.pop    = {&lt;:X.i.j goods pop:&gt;}    -value 1.14e8</w:t>
      </w:r>
    </w:p>
    <w:p w14:paraId="41F5F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X.pop.pop      = {&lt;:X.i.j pop pop:&gt;}      -value 1.52e7</w:t>
      </w:r>
    </w:p>
    <w:p w14:paraId="14F5F5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X.else.pop     = {&lt;:X.i.j else pop:&gt;}     -value 2.28e7</w:t>
      </w:r>
    </w:p>
    <w:p w14:paraId="3AC9E0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X.goods.else   = {&lt;:X.i.j goods else:&gt;}   -value 1.197e8</w:t>
      </w:r>
    </w:p>
    <w:p w14:paraId="6DBD70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X.pop.else     = {&lt;:X.i.j pop else:&gt;}     -value 1.995e7</w:t>
      </w:r>
    </w:p>
    <w:p w14:paraId="178E80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QD.goods.goods = {&lt;:QD.i.j goods goods:&gt;} -value 5.8425e7</w:t>
      </w:r>
    </w:p>
    <w:p w14:paraId="03D9A30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QD.pop.goods   = {&lt;:QD.i.j pop goods:&gt;}   -value 292125</w:t>
      </w:r>
    </w:p>
    <w:p w14:paraId="4F5098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QD.else.goods  = {&lt;:QD.i.j else goods:&gt;}  -value 1.1685e8</w:t>
      </w:r>
    </w:p>
    <w:p w14:paraId="61EE3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QD.pop.pop     = {&lt;:QD.i.j pop pop:&gt;}     -value 38000</w:t>
      </w:r>
    </w:p>
    <w:p w14:paraId="0AA155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QD.else.pop    = {&lt;:QD.i.j else pop:&gt;}    -value 2.28e7</w:t>
      </w:r>
    </w:p>
    <w:p w14:paraId="6A5A2B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QD.goods.else  = {&lt;:QD.i.j goods else:&gt;}  -value 1.197e8</w:t>
      </w:r>
    </w:p>
    <w:p w14:paraId="20326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QD.pop.else    = {&lt;:QD.i.j pop else:&gt;}    -value 49875</w:t>
      </w:r>
    </w:p>
    <w:p w14:paraId="49D3BF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case)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is the demand for the product of sector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 SUM.j(QD.i.j)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 = {&lt;:QD.i goods:&gt;} -value 2.92125e8</w:t>
      </w:r>
    </w:p>
    <w:p w14:paraId="59E96F1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   = {&lt;:QD.i pop:&gt;}   -value 380000</w:t>
      </w:r>
    </w:p>
    <w:p w14:paraId="6B5712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supply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{[QD.goods]}     -value 2.92125e8</w:t>
      </w:r>
    </w:p>
    <w:p w14:paraId="7C0369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{[QD.pop]}       -value 380000</w:t>
      </w:r>
    </w:p>
    <w:p w14:paraId="29E8B3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into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ingredients,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drop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[P.j pop]   -value 400.0</w:t>
      </w:r>
    </w:p>
    <w:p w14:paraId="5A34B6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useless,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where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Solving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       = {&lt;:sum i {[BP.$i] * [BQD.$i.pop]}:&gt;}      -value 1.52e8</w:t>
      </w:r>
    </w:p>
    <w:p w14:paraId="32D25BC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     = {&lt;:sum ing {[P.$ing] * [BQD.$ing.pop]}:&gt;} -value 3.8e7</w:t>
      </w:r>
    </w:p>
    <w:p w14:paraId="4B1691B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divisor,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deltaQD.i.pop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max(1.0,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deltaQD.goods.pop = {&lt;:deltaQD.i.pop goods:&gt;}</w:t>
      </w:r>
    </w:p>
    <w:p w14:paraId="4878F1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deltaQD.pop.pop   = {&lt;:deltaQD.i.pop pop:&gt;}</w:t>
      </w:r>
    </w:p>
    <w:p w14:paraId="62C9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deltaQ.goods = {&lt;:deltaQ.i goods:&gt;}</w:t>
      </w:r>
    </w:p>
    <w:p w14:paraId="5D39C4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deltaQ.pop   = {&lt;:deltaQ.i pop:&gt;}</w:t>
      </w:r>
    </w:p>
    <w:p w14:paraId="0C3AE8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deltaREV.goods = {&lt;:deltaREV.i goods:&gt;}</w:t>
      </w:r>
    </w:p>
    <w:p w14:paraId="3ABFC6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deltaREV.pop   = {&lt;:deltaREV.i pop:&gt;}</w:t>
      </w:r>
    </w:p>
    <w:p w14:paraId="6A31969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appear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neighborhood group security.</w:t>
      </w:r>
    </w:p>
    <w:p w14:paraId="64783C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security.</w:t>
      </w:r>
    </w:p>
    <w:p w14:paraId="35E5C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Number of consumers currently in the population.</w:t>
      </w:r>
    </w:p>
    <w:p w14:paraId="3A209C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values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are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 to work.</w:t>
      </w:r>
    </w:p>
    <w:p w14:paraId="7E0707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equations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base population.</w:t>
      </w:r>
    </w:p>
    <w:p w14:paraId="15E5F2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let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than the Base CPI.</w:t>
      </w:r>
    </w:p>
    <w:p w14:paraId="3D9CE0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w:t>
      </w:r>
    </w:p>
    <w:p w14:paraId="2631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U</w:t>
      </w:r>
    </w:p>
    <w:p w14:paraId="65D1DC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initfrom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U page.</w:t>
      </w:r>
    </w:p>
    <w:p w14:paraId="73B408C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anything, but it makes the assumption explicit.</w:t>
      </w:r>
    </w:p>
    <w:p w14:paraId="27A9DEE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numeraire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foreach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foreach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shortages and overages: goodsBKT/year</w:t>
      </w:r>
    </w:p>
    <w:p w14:paraId="6CE521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LATENTDEMAND.goods = {max(0.0, ediff([U::QD.goods],   [C::QS.goods]))}</w:t>
      </w:r>
    </w:p>
    <w:p w14:paraId="2D3FC6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pop shortages and overages: work-years/year</w:t>
      </w:r>
    </w:p>
    <w:p w14:paraId="3957D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LATENTDEMAND.pop   = {max(0.0, ediff([U::QD.pop],   [C::QS.pop]))}</w:t>
      </w:r>
    </w:p>
    <w:p w14:paraId="79C26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RealUnemployment = {max(0.0, ediff([In::CAP.pop],[C::QS.pop]))}  ;# People</w:t>
      </w:r>
    </w:p>
    <w:p w14:paraId="298F95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Turbulence       = {[TurFrac]*[In::WF]}                          ;# People</w:t>
      </w:r>
    </w:p>
    <w:p w14:paraId="047649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RealUR = {100.0 * [RealUnemployment]/[In::WF]} ;# Percentage</w:t>
      </w:r>
    </w:p>
    <w:p w14:paraId="3C4804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30" w:name="_Toc310421885"/>
      <w:bookmarkStart w:id="331" w:name="_Toc323560821"/>
      <w:r>
        <w:lastRenderedPageBreak/>
        <w:t>Acronyms</w:t>
      </w:r>
      <w:bookmarkEnd w:id="330"/>
      <w:bookmarkEnd w:id="331"/>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E6217" w14:textId="77777777" w:rsidR="004C0A55" w:rsidRDefault="004C0A55">
      <w:r>
        <w:separator/>
      </w:r>
    </w:p>
    <w:p w14:paraId="4135E465" w14:textId="77777777" w:rsidR="004C0A55" w:rsidRDefault="004C0A55"/>
    <w:p w14:paraId="4B87E0F0" w14:textId="77777777" w:rsidR="004C0A55" w:rsidRDefault="004C0A55" w:rsidP="00D7666B"/>
  </w:endnote>
  <w:endnote w:type="continuationSeparator" w:id="0">
    <w:p w14:paraId="7C2045B5" w14:textId="77777777" w:rsidR="004C0A55" w:rsidRDefault="004C0A55">
      <w:r>
        <w:continuationSeparator/>
      </w:r>
    </w:p>
    <w:p w14:paraId="7D1F2AA9" w14:textId="77777777" w:rsidR="004C0A55" w:rsidRDefault="004C0A55"/>
    <w:p w14:paraId="2FB4839E" w14:textId="77777777" w:rsidR="004C0A55" w:rsidRDefault="004C0A55"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7C6DC9" w:rsidRDefault="007C6DC9"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C433B0">
      <w:rPr>
        <w:rStyle w:val="PageNumber"/>
        <w:noProof/>
      </w:rPr>
      <w:t>51</w:t>
    </w:r>
    <w:r>
      <w:rPr>
        <w:rStyle w:val="PageNumber"/>
      </w:rPr>
      <w:fldChar w:fldCharType="end"/>
    </w:r>
  </w:p>
  <w:p w14:paraId="2AA40724" w14:textId="77777777" w:rsidR="007C6DC9" w:rsidRDefault="007C6DC9"/>
  <w:p w14:paraId="543EF6AC" w14:textId="77777777" w:rsidR="007C6DC9" w:rsidRDefault="007C6DC9"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BC643" w14:textId="77777777" w:rsidR="004C0A55" w:rsidRDefault="004C0A55">
      <w:r>
        <w:separator/>
      </w:r>
    </w:p>
    <w:p w14:paraId="06E1AE38" w14:textId="77777777" w:rsidR="004C0A55" w:rsidRDefault="004C0A55"/>
    <w:p w14:paraId="1AE53E76" w14:textId="77777777" w:rsidR="004C0A55" w:rsidRDefault="004C0A55" w:rsidP="00D7666B"/>
  </w:footnote>
  <w:footnote w:type="continuationSeparator" w:id="0">
    <w:p w14:paraId="199DE52C" w14:textId="77777777" w:rsidR="004C0A55" w:rsidRDefault="004C0A55">
      <w:r>
        <w:continuationSeparator/>
      </w:r>
    </w:p>
    <w:p w14:paraId="596D9722" w14:textId="77777777" w:rsidR="004C0A55" w:rsidRDefault="004C0A55"/>
    <w:p w14:paraId="5C4BDE7F" w14:textId="77777777" w:rsidR="004C0A55" w:rsidRDefault="004C0A55" w:rsidP="00D7666B"/>
  </w:footnote>
  <w:footnote w:id="1">
    <w:p w14:paraId="06385EED" w14:textId="39D14B26" w:rsidR="007C6DC9" w:rsidRDefault="007C6DC9">
      <w:pPr>
        <w:pStyle w:val="FootnoteText"/>
      </w:pPr>
      <w:r>
        <w:rPr>
          <w:rStyle w:val="FootnoteReference"/>
        </w:rPr>
        <w:footnoteRef/>
      </w:r>
      <w:r>
        <w:t xml:space="preserve"> i.e., knowledgeable about both the problem domain and Athena’s models.</w:t>
      </w:r>
    </w:p>
  </w:footnote>
  <w:footnote w:id="2">
    <w:p w14:paraId="209C73A0" w14:textId="77777777" w:rsidR="007C6DC9" w:rsidRDefault="007C6DC9"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054A527" w14:textId="7F782152" w:rsidR="007C6DC9" w:rsidRDefault="007C6DC9">
      <w:pPr>
        <w:pStyle w:val="FootnoteText"/>
      </w:pPr>
      <w:r>
        <w:rPr>
          <w:rStyle w:val="FootnoteReference"/>
        </w:rPr>
        <w:footnoteRef/>
      </w:r>
      <w:r>
        <w:t xml:space="preserve"> At this point the economics tock is exactly one tick, but this may change. In previous versions the economics tock was one week, this has not changed just the default tick size has.</w:t>
      </w:r>
    </w:p>
  </w:footnote>
  <w:footnote w:id="4">
    <w:p w14:paraId="0F0051EE" w14:textId="77777777" w:rsidR="007C6DC9" w:rsidRDefault="007C6DC9"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5">
    <w:p w14:paraId="1A53C46C" w14:textId="77777777" w:rsidR="007C6DC9" w:rsidRDefault="007C6DC9"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6">
    <w:p w14:paraId="1AA3161D" w14:textId="77777777" w:rsidR="007C6DC9" w:rsidRPr="009D5360" w:rsidRDefault="007C6DC9"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7">
    <w:p w14:paraId="7D9416D2" w14:textId="77777777" w:rsidR="007C6DC9" w:rsidRDefault="007C6DC9"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63D96D7C" w14:textId="77777777" w:rsidR="007C6DC9" w:rsidRPr="005D6ECD" w:rsidRDefault="007C6D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274A2376" w14:textId="77777777" w:rsidR="007C6DC9" w:rsidRDefault="007C6D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623F318B" w14:textId="77777777" w:rsidR="007C6DC9" w:rsidRPr="00D2373B" w:rsidRDefault="007C6DC9"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7C6DC9" w:rsidRDefault="007C6D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14:paraId="529505A7" w14:textId="77777777" w:rsidR="007C6DC9" w:rsidRDefault="007C6DC9"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7C6DC9" w:rsidRPr="008E5602" w:rsidRDefault="007C6DC9"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4E372B8A" w14:textId="77777777" w:rsidR="007C6DC9" w:rsidRDefault="007C6DC9" w:rsidP="001D79EC">
      <w:pPr>
        <w:pStyle w:val="Footnote"/>
      </w:pPr>
      <w:r>
        <w:rPr>
          <w:rStyle w:val="FootnoteReference"/>
        </w:rPr>
        <w:footnoteRef/>
      </w:r>
      <w:r>
        <w:t xml:space="preserve">Model parameter: </w:t>
      </w:r>
      <w:r w:rsidRPr="00190916">
        <w:rPr>
          <w:rFonts w:ascii="Courier New" w:hAnsi="Courier New" w:cs="Courier New"/>
        </w:rPr>
        <w:t>force.population</w:t>
      </w:r>
    </w:p>
  </w:footnote>
  <w:footnote w:id="15">
    <w:p w14:paraId="358E203B" w14:textId="77777777" w:rsidR="007C6DC9" w:rsidRDefault="007C6DC9"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6">
    <w:p w14:paraId="28773BC5" w14:textId="77777777" w:rsidR="007C6DC9" w:rsidRDefault="007C6DC9" w:rsidP="001D79EC">
      <w:pPr>
        <w:pStyle w:val="Footnote"/>
      </w:pPr>
      <w:r>
        <w:rPr>
          <w:rStyle w:val="FootnoteReference"/>
        </w:rPr>
        <w:footnoteRef/>
      </w:r>
      <w:r>
        <w:t xml:space="preserve">Model parameter: </w:t>
      </w:r>
      <w:r w:rsidRPr="00190916">
        <w:rPr>
          <w:rFonts w:ascii="Courier New" w:hAnsi="Courier New" w:cs="Courier New"/>
        </w:rPr>
        <w:t>force.mood</w:t>
      </w:r>
    </w:p>
  </w:footnote>
  <w:footnote w:id="17">
    <w:p w14:paraId="013CC139" w14:textId="0630FE43" w:rsidR="007C6DC9" w:rsidRDefault="007C6DC9" w:rsidP="001D79EC">
      <w:pPr>
        <w:pStyle w:val="Footnote"/>
      </w:pPr>
      <w:r>
        <w:rPr>
          <w:rStyle w:val="FootnoteReference"/>
        </w:rPr>
        <w:footnoteRef/>
      </w:r>
      <w:r>
        <w:t xml:space="preserve">  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8">
    <w:p w14:paraId="12CD5438" w14:textId="209715E0" w:rsidR="007C6DC9" w:rsidRDefault="007C6DC9"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7C6DC9" w:rsidRDefault="007C6DC9"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20">
    <w:p w14:paraId="18DF6B73" w14:textId="287088A0" w:rsidR="007C6DC9" w:rsidRDefault="007C6DC9"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21">
    <w:p w14:paraId="52F56B73" w14:textId="68D82983" w:rsidR="007C6DC9" w:rsidRDefault="007C6DC9"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7C6DC9" w:rsidRDefault="007C6DC9"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23">
    <w:p w14:paraId="12A3F14D" w14:textId="77777777" w:rsidR="007C6DC9" w:rsidRDefault="007C6DC9"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4">
    <w:p w14:paraId="7D094A92" w14:textId="40F9E4CE" w:rsidR="007C6DC9" w:rsidRDefault="007C6DC9">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7C6DC9" w:rsidRDefault="007C6DC9"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7C6DC9" w:rsidRPr="008D4F12" w:rsidRDefault="007C6DC9"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7">
    <w:p w14:paraId="34BF16EF" w14:textId="77777777" w:rsidR="007C6DC9" w:rsidRDefault="007C6DC9"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8">
    <w:p w14:paraId="21DF9961" w14:textId="77777777" w:rsidR="007C6DC9" w:rsidRDefault="007C6DC9"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29">
    <w:p w14:paraId="1A0BEDD1" w14:textId="77777777" w:rsidR="007C6DC9" w:rsidRDefault="007C6DC9"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30">
    <w:p w14:paraId="67156C36" w14:textId="77777777" w:rsidR="007C6DC9" w:rsidRDefault="007C6DC9"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31">
    <w:p w14:paraId="56AF1AA7" w14:textId="77777777" w:rsidR="007C6DC9" w:rsidRDefault="007C6DC9"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32">
    <w:p w14:paraId="169E6D8F" w14:textId="77777777" w:rsidR="007C6DC9" w:rsidRDefault="007C6D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33">
    <w:p w14:paraId="56DDC836" w14:textId="77777777" w:rsidR="007C6DC9" w:rsidRDefault="007C6D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4">
    <w:p w14:paraId="6E1EAED2" w14:textId="63D80409" w:rsidR="007C6DC9" w:rsidRDefault="007C6DC9">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35">
    <w:p w14:paraId="07BD966E" w14:textId="77777777" w:rsidR="007C6DC9" w:rsidRDefault="007C6DC9" w:rsidP="002520B8">
      <w:pPr>
        <w:pStyle w:val="Footnote"/>
      </w:pPr>
      <w:r>
        <w:rPr>
          <w:rStyle w:val="FootnoteReference"/>
        </w:rPr>
        <w:footnoteRef/>
      </w:r>
      <w:r>
        <w:t>At Athena's timescale, most crowd-related phenomena are events rather than situations.</w:t>
      </w:r>
    </w:p>
  </w:footnote>
  <w:footnote w:id="36">
    <w:p w14:paraId="0F40AF3D" w14:textId="77777777" w:rsidR="007C6DC9" w:rsidRDefault="007C6DC9" w:rsidP="002520B8">
      <w:pPr>
        <w:pStyle w:val="Footnote"/>
      </w:pPr>
      <w:r>
        <w:rPr>
          <w:rStyle w:val="FootnoteReference"/>
        </w:rPr>
        <w:footnoteRef/>
      </w:r>
      <w:r>
        <w:t>This is not quite right; but the current model for displaced civilians is a stopgap until GRAM can support it properly.</w:t>
      </w:r>
    </w:p>
  </w:footnote>
  <w:footnote w:id="37">
    <w:p w14:paraId="3F8F7042" w14:textId="77777777" w:rsidR="007C6DC9" w:rsidRDefault="007C6DC9" w:rsidP="002520B8">
      <w:pPr>
        <w:pStyle w:val="Footnote"/>
      </w:pPr>
      <w:r>
        <w:rPr>
          <w:rStyle w:val="FootnoteReference"/>
        </w:rPr>
        <w:footnoteRef/>
      </w:r>
      <w:r>
        <w:t>We are ignoring civilian and organization group "forces" for the time being.</w:t>
      </w:r>
    </w:p>
  </w:footnote>
  <w:footnote w:id="38">
    <w:p w14:paraId="2C67A3A8" w14:textId="77777777" w:rsidR="007C6DC9" w:rsidRDefault="007C6DC9"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9">
    <w:p w14:paraId="1EFE27FE" w14:textId="77777777" w:rsidR="007C6DC9" w:rsidRDefault="007C6D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40">
    <w:p w14:paraId="17510B73" w14:textId="77777777" w:rsidR="007C6DC9" w:rsidRDefault="007C6DC9"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41">
    <w:p w14:paraId="1B30FBE5" w14:textId="77777777" w:rsidR="007C6DC9" w:rsidRDefault="007C6D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42">
    <w:p w14:paraId="413C2DC0" w14:textId="77777777" w:rsidR="007C6DC9" w:rsidRDefault="007C6DC9"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3">
    <w:p w14:paraId="3CB3E303" w14:textId="77777777" w:rsidR="007C6DC9" w:rsidRDefault="007C6DC9"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4">
    <w:p w14:paraId="5C18AFC6" w14:textId="77777777" w:rsidR="007C6DC9" w:rsidRDefault="007C6DC9"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5">
    <w:p w14:paraId="3A1C15EC" w14:textId="77777777" w:rsidR="007C6DC9" w:rsidRDefault="007C6DC9"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6">
    <w:p w14:paraId="6281D427" w14:textId="77777777" w:rsidR="007C6DC9" w:rsidRDefault="007C6DC9"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7">
    <w:p w14:paraId="29B4B8B5" w14:textId="77777777" w:rsidR="007C6DC9" w:rsidRDefault="007C6DC9"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8">
    <w:p w14:paraId="151EB7BF" w14:textId="0D04CF1B" w:rsidR="007C6DC9" w:rsidRDefault="007C6DC9"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9">
    <w:p w14:paraId="567BD282" w14:textId="0C89F9C8" w:rsidR="007C6DC9" w:rsidRDefault="007C6DC9"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50">
    <w:p w14:paraId="6747A0F0" w14:textId="24401F43" w:rsidR="007C6DC9" w:rsidRDefault="007C6DC9"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51">
    <w:p w14:paraId="41F5FD9D" w14:textId="4AFC0A42" w:rsidR="007C6DC9" w:rsidRDefault="007C6DC9"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52">
    <w:p w14:paraId="150F557E" w14:textId="77777777" w:rsidR="007C6DC9" w:rsidRDefault="007C6D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53">
    <w:p w14:paraId="084F7401" w14:textId="77777777" w:rsidR="007C6DC9" w:rsidRDefault="007C6D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54">
    <w:p w14:paraId="6B220ACD" w14:textId="77777777" w:rsidR="007C6DC9" w:rsidRDefault="007C6DC9"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55">
    <w:p w14:paraId="14053C68" w14:textId="77777777" w:rsidR="007C6DC9" w:rsidRDefault="007C6DC9"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6">
    <w:p w14:paraId="27EB24D8" w14:textId="77777777" w:rsidR="007C6DC9" w:rsidRDefault="007C6DC9"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7">
    <w:p w14:paraId="02F13BC1" w14:textId="77777777" w:rsidR="007C6DC9" w:rsidRDefault="007C6DC9"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8">
    <w:p w14:paraId="7B8E00F3" w14:textId="77777777" w:rsidR="007C6DC9" w:rsidRDefault="007C6DC9"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9">
    <w:p w14:paraId="4458F06F" w14:textId="77777777" w:rsidR="007C6DC9" w:rsidRDefault="007C6DC9"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60">
    <w:p w14:paraId="230C995C" w14:textId="34D5C22F" w:rsidR="007C6DC9" w:rsidRDefault="007C6DC9"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1">
    <w:p w14:paraId="35641964" w14:textId="36CB6D98" w:rsidR="007C6DC9" w:rsidRDefault="007C6DC9"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2">
    <w:p w14:paraId="5C2EE94B" w14:textId="77777777" w:rsidR="007C6DC9" w:rsidRDefault="007C6DC9" w:rsidP="00753E07">
      <w:pPr>
        <w:pStyle w:val="Footnote"/>
      </w:pPr>
      <w:r>
        <w:rPr>
          <w:rStyle w:val="FootnoteReference"/>
        </w:rPr>
        <w:footnoteRef/>
      </w:r>
      <w:r>
        <w:t>By "labor force" we mean that portion of the population that seeks to be employed, whether they are in fact employed or not.</w:t>
      </w:r>
    </w:p>
  </w:footnote>
  <w:footnote w:id="63">
    <w:p w14:paraId="0EB8C588" w14:textId="77777777" w:rsidR="007C6DC9" w:rsidRPr="00FF15B4" w:rsidRDefault="007C6DC9"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4">
    <w:p w14:paraId="1A895B3E" w14:textId="4A890E05" w:rsidR="007C6DC9" w:rsidRDefault="007C6DC9"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provides a better model of production requirements for some sectors in real economies, and it is likely that we will use it in the future.</w:t>
      </w:r>
    </w:p>
  </w:footnote>
  <w:footnote w:id="65">
    <w:p w14:paraId="227E12F5" w14:textId="2EEC7309" w:rsidR="007C6DC9" w:rsidRDefault="007C6DC9"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6">
    <w:p w14:paraId="59AA1064" w14:textId="77777777" w:rsidR="007C6DC9" w:rsidRDefault="007C6DC9" w:rsidP="004F6A40">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6AE6AA3B" w:rsidR="007C6DC9" w:rsidRPr="004D07B9" w:rsidRDefault="007C6DC9">
    <w:pPr>
      <w:pStyle w:val="Header"/>
      <w:rPr>
        <w:rFonts w:ascii="Arial" w:hAnsi="Arial" w:cs="Arial"/>
      </w:rPr>
    </w:pPr>
    <w:r w:rsidRPr="004D07B9">
      <w:rPr>
        <w:rFonts w:ascii="Arial" w:hAnsi="Arial" w:cs="Arial"/>
      </w:rPr>
      <w:t xml:space="preserve">Athena </w:t>
    </w:r>
    <w:r>
      <w:rPr>
        <w:rFonts w:ascii="Arial" w:hAnsi="Arial" w:cs="Arial"/>
      </w:rPr>
      <w:t>Analyst’s</w:t>
    </w:r>
    <w:r w:rsidRPr="004D07B9">
      <w:rPr>
        <w:rFonts w:ascii="Arial" w:hAnsi="Arial" w:cs="Arial"/>
      </w:rPr>
      <w:t xml:space="preserve"> Guide, V3</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March</w:t>
    </w:r>
    <w:r w:rsidRPr="004D07B9">
      <w:rPr>
        <w:rFonts w:ascii="Arial" w:hAnsi="Arial" w:cs="Arial"/>
      </w:rPr>
      <w:t>, 201</w:t>
    </w:r>
    <w:r>
      <w:rPr>
        <w:rFonts w:ascii="Arial" w:hAnsi="Arial" w:cs="Arial"/>
      </w:rPr>
      <w:t>2</w:t>
    </w:r>
  </w:p>
  <w:p w14:paraId="7F59FE28" w14:textId="77777777" w:rsidR="007C6DC9" w:rsidRDefault="007C6DC9"/>
  <w:p w14:paraId="2A8EE832" w14:textId="77777777" w:rsidR="007C6DC9" w:rsidRDefault="007C6DC9"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D26"/>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0A55"/>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4FEE"/>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C6DC9"/>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E7DA8"/>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3B0"/>
    <w:rsid w:val="00C43429"/>
    <w:rsid w:val="00C50011"/>
    <w:rsid w:val="00C6526E"/>
    <w:rsid w:val="00C670F7"/>
    <w:rsid w:val="00C8130A"/>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45187"/>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5B"/>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6658176"/>
        <c:axId val="116659712"/>
      </c:lineChart>
      <c:catAx>
        <c:axId val="116658176"/>
        <c:scaling>
          <c:orientation val="minMax"/>
        </c:scaling>
        <c:delete val="0"/>
        <c:axPos val="b"/>
        <c:numFmt formatCode="General" sourceLinked="1"/>
        <c:majorTickMark val="out"/>
        <c:minorTickMark val="none"/>
        <c:tickLblPos val="nextTo"/>
        <c:crossAx val="116659712"/>
        <c:crosses val="autoZero"/>
        <c:auto val="1"/>
        <c:lblAlgn val="ctr"/>
        <c:lblOffset val="100"/>
        <c:noMultiLvlLbl val="0"/>
      </c:catAx>
      <c:valAx>
        <c:axId val="116659712"/>
        <c:scaling>
          <c:orientation val="minMax"/>
        </c:scaling>
        <c:delete val="0"/>
        <c:axPos val="l"/>
        <c:majorGridlines/>
        <c:numFmt formatCode="General" sourceLinked="1"/>
        <c:majorTickMark val="out"/>
        <c:minorTickMark val="none"/>
        <c:tickLblPos val="nextTo"/>
        <c:crossAx val="1166581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9324D-0BB3-4D98-924D-78342A0D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4892</TotalTime>
  <Pages>105</Pages>
  <Words>27106</Words>
  <Characters>154509</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181253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123</cp:revision>
  <cp:lastPrinted>2012-01-20T17:10:00Z</cp:lastPrinted>
  <dcterms:created xsi:type="dcterms:W3CDTF">2012-02-10T18:28:00Z</dcterms:created>
  <dcterms:modified xsi:type="dcterms:W3CDTF">2012-04-30T21:49:00Z</dcterms:modified>
</cp:coreProperties>
</file>