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7D1700">
        <w:t>5</w:t>
      </w:r>
    </w:p>
    <w:p w:rsidR="004D07B9" w:rsidRDefault="00712F3E" w:rsidP="004D07B9">
      <w:pPr>
        <w:pStyle w:val="Subtitle"/>
        <w:rPr>
          <w:i w:val="0"/>
          <w:iCs w:val="0"/>
        </w:rPr>
      </w:pPr>
      <w:r>
        <w:rPr>
          <w:i w:val="0"/>
          <w:iCs w:val="0"/>
        </w:rPr>
        <w:t>August</w:t>
      </w:r>
      <w:r w:rsidR="00490243">
        <w:rPr>
          <w:i w:val="0"/>
          <w:iCs w:val="0"/>
        </w:rPr>
        <w:t>, 201</w:t>
      </w:r>
      <w:r w:rsidR="009731AD">
        <w:rPr>
          <w:i w:val="0"/>
          <w:iCs w:val="0"/>
        </w:rPr>
        <w:t>3</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William H. Duquette</w:t>
      </w:r>
    </w:p>
    <w:p w:rsidR="00B844AD" w:rsidRDefault="00B844AD" w:rsidP="004D07B9">
      <w:pPr>
        <w:jc w:val="center"/>
      </w:pPr>
      <w:r>
        <w:t>Robert G. Chamberlain</w:t>
      </w:r>
    </w:p>
    <w:p w:rsidR="00CC578D" w:rsidRDefault="00CC578D" w:rsidP="004D07B9">
      <w:pPr>
        <w:jc w:val="center"/>
      </w:pPr>
      <w:r>
        <w:t>David R. Hanks</w:t>
      </w:r>
    </w:p>
    <w:p w:rsidR="002A6838" w:rsidRDefault="002A6838" w:rsidP="004D07B9">
      <w:pPr>
        <w:jc w:val="center"/>
      </w:pP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r w:rsidRPr="007F1C14">
        <w:rPr>
          <w:i/>
          <w:sz w:val="20"/>
          <w:szCs w:val="20"/>
        </w:rPr>
        <w:t>Copyright 2008-201</w:t>
      </w:r>
      <w:r w:rsidR="007A7EB7">
        <w:rPr>
          <w:i/>
          <w:sz w:val="20"/>
          <w:szCs w:val="20"/>
        </w:rPr>
        <w:t>3</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BD4BB5" w:rsidRDefault="009F5549">
      <w:pPr>
        <w:pStyle w:val="TOC1"/>
        <w:tabs>
          <w:tab w:val="right" w:leader="dot" w:pos="9710"/>
        </w:tabs>
        <w:rPr>
          <w:rFonts w:eastAsiaTheme="minorEastAsia" w:cstheme="minorBidi"/>
          <w:b w:val="0"/>
          <w:caps w:val="0"/>
          <w:noProof/>
          <w:sz w:val="22"/>
          <w:szCs w:val="22"/>
        </w:rPr>
      </w:pPr>
      <w:r w:rsidRPr="009F5549">
        <w:rPr>
          <w:bCs/>
          <w:noProof/>
        </w:rPr>
        <w:fldChar w:fldCharType="begin"/>
      </w:r>
      <w:r w:rsidR="004D07B9">
        <w:instrText xml:space="preserve"> TOC \o "1-9" \l 1-9 </w:instrText>
      </w:r>
      <w:r w:rsidRPr="009F5549">
        <w:rPr>
          <w:bCs/>
          <w:noProof/>
        </w:rPr>
        <w:fldChar w:fldCharType="separate"/>
      </w:r>
      <w:r w:rsidR="00BD4BB5">
        <w:rPr>
          <w:noProof/>
        </w:rPr>
        <w:t>Models</w:t>
      </w:r>
      <w:r w:rsidR="00BD4BB5">
        <w:rPr>
          <w:noProof/>
        </w:rPr>
        <w:tab/>
      </w:r>
      <w:r w:rsidR="00BD4BB5">
        <w:rPr>
          <w:noProof/>
        </w:rPr>
        <w:fldChar w:fldCharType="begin"/>
      </w:r>
      <w:r w:rsidR="00BD4BB5">
        <w:rPr>
          <w:noProof/>
        </w:rPr>
        <w:instrText xml:space="preserve"> PAGEREF _Toc364076399 \h </w:instrText>
      </w:r>
      <w:r w:rsidR="00BD4BB5">
        <w:rPr>
          <w:noProof/>
        </w:rPr>
      </w:r>
      <w:r w:rsidR="00BD4BB5">
        <w:rPr>
          <w:noProof/>
        </w:rPr>
        <w:fldChar w:fldCharType="separate"/>
      </w:r>
      <w:r w:rsidR="00BD4BB5">
        <w:rPr>
          <w:noProof/>
        </w:rPr>
        <w:t>6</w:t>
      </w:r>
      <w:r w:rsidR="00BD4BB5">
        <w:rPr>
          <w:noProof/>
        </w:rPr>
        <w:fldChar w:fldCharType="end"/>
      </w:r>
    </w:p>
    <w:p w:rsidR="00BD4BB5" w:rsidRDefault="00BD4BB5">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_Toc364076400 \h </w:instrText>
      </w:r>
      <w:r>
        <w:fldChar w:fldCharType="separate"/>
      </w:r>
      <w:r>
        <w:t>7</w:t>
      </w:r>
      <w:r>
        <w:fldChar w:fldCharType="end"/>
      </w:r>
    </w:p>
    <w:p w:rsidR="00BD4BB5" w:rsidRDefault="00BD4BB5">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_Toc364076401 \h </w:instrText>
      </w:r>
      <w:r>
        <w:fldChar w:fldCharType="separate"/>
      </w:r>
      <w:r>
        <w:t>7</w:t>
      </w:r>
      <w:r>
        <w:fldChar w:fldCharType="end"/>
      </w:r>
    </w:p>
    <w:p w:rsidR="00BD4BB5" w:rsidRDefault="00BD4BB5">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_Toc364076402 \h </w:instrText>
      </w:r>
      <w:r>
        <w:fldChar w:fldCharType="separate"/>
      </w:r>
      <w:r>
        <w:t>7</w:t>
      </w:r>
      <w:r>
        <w:fldChar w:fldCharType="end"/>
      </w:r>
    </w:p>
    <w:p w:rsidR="00BD4BB5" w:rsidRDefault="00BD4BB5">
      <w:pPr>
        <w:pStyle w:val="TOC3"/>
        <w:rPr>
          <w:rFonts w:eastAsiaTheme="minorEastAsia" w:cstheme="minorBidi"/>
          <w:sz w:val="22"/>
          <w:szCs w:val="22"/>
        </w:rPr>
      </w:pPr>
      <w:r>
        <w:t>1.3</w:t>
      </w:r>
      <w:r>
        <w:rPr>
          <w:rFonts w:eastAsiaTheme="minorEastAsia" w:cstheme="minorBidi"/>
          <w:sz w:val="22"/>
          <w:szCs w:val="22"/>
        </w:rPr>
        <w:tab/>
      </w:r>
      <w:r>
        <w:t>Changes for Athena 5</w:t>
      </w:r>
      <w:r>
        <w:tab/>
      </w:r>
      <w:r>
        <w:fldChar w:fldCharType="begin"/>
      </w:r>
      <w:r>
        <w:instrText xml:space="preserve"> PAGEREF _Toc364076403 \h </w:instrText>
      </w:r>
      <w:r>
        <w:fldChar w:fldCharType="separate"/>
      </w:r>
      <w:r>
        <w:t>8</w:t>
      </w:r>
      <w:r>
        <w:fldChar w:fldCharType="end"/>
      </w:r>
    </w:p>
    <w:p w:rsidR="00BD4BB5" w:rsidRDefault="00BD4BB5">
      <w:pPr>
        <w:pStyle w:val="TOC3"/>
        <w:rPr>
          <w:rFonts w:eastAsiaTheme="minorEastAsia" w:cstheme="minorBidi"/>
          <w:sz w:val="22"/>
          <w:szCs w:val="22"/>
        </w:rPr>
      </w:pPr>
      <w:r>
        <w:t>1.4</w:t>
      </w:r>
      <w:r>
        <w:rPr>
          <w:rFonts w:eastAsiaTheme="minorEastAsia" w:cstheme="minorBidi"/>
          <w:sz w:val="22"/>
          <w:szCs w:val="22"/>
        </w:rPr>
        <w:tab/>
      </w:r>
      <w:r>
        <w:t>Changes for Athena 4</w:t>
      </w:r>
      <w:r>
        <w:tab/>
      </w:r>
      <w:r>
        <w:fldChar w:fldCharType="begin"/>
      </w:r>
      <w:r>
        <w:instrText xml:space="preserve"> PAGEREF _Toc364076404 \h </w:instrText>
      </w:r>
      <w:r>
        <w:fldChar w:fldCharType="separate"/>
      </w:r>
      <w:r>
        <w:t>9</w:t>
      </w:r>
      <w:r>
        <w:fldChar w:fldCharType="end"/>
      </w:r>
    </w:p>
    <w:p w:rsidR="00BD4BB5" w:rsidRDefault="00BD4BB5">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_Toc364076405 \h </w:instrText>
      </w:r>
      <w:r>
        <w:fldChar w:fldCharType="separate"/>
      </w:r>
      <w:r>
        <w:t>11</w:t>
      </w:r>
      <w:r>
        <w:fldChar w:fldCharType="end"/>
      </w:r>
    </w:p>
    <w:p w:rsidR="00BD4BB5" w:rsidRDefault="00BD4BB5">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_Toc364076406 \h </w:instrText>
      </w:r>
      <w:r>
        <w:fldChar w:fldCharType="separate"/>
      </w:r>
      <w:r>
        <w:t>11</w:t>
      </w:r>
      <w:r>
        <w:fldChar w:fldCharType="end"/>
      </w:r>
    </w:p>
    <w:p w:rsidR="00BD4BB5" w:rsidRDefault="00BD4BB5">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_Toc364076407 \h </w:instrText>
      </w:r>
      <w:r>
        <w:fldChar w:fldCharType="separate"/>
      </w:r>
      <w:r>
        <w:t>11</w:t>
      </w:r>
      <w:r>
        <w:fldChar w:fldCharType="end"/>
      </w:r>
    </w:p>
    <w:p w:rsidR="00BD4BB5" w:rsidRDefault="00BD4BB5">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_Toc364076408 \h </w:instrText>
      </w:r>
      <w:r>
        <w:fldChar w:fldCharType="separate"/>
      </w:r>
      <w:r>
        <w:t>11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_Toc364076409 \h </w:instrText>
      </w:r>
      <w:r>
        <w:rPr>
          <w:noProof/>
        </w:rPr>
      </w:r>
      <w:r>
        <w:rPr>
          <w:noProof/>
        </w:rPr>
        <w:fldChar w:fldCharType="separate"/>
      </w:r>
      <w:r>
        <w:rPr>
          <w:noProof/>
        </w:rPr>
        <w:t>12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_Toc364076410 \h </w:instrText>
      </w:r>
      <w:r>
        <w:rPr>
          <w:noProof/>
        </w:rPr>
      </w:r>
      <w:r>
        <w:rPr>
          <w:noProof/>
        </w:rPr>
        <w:fldChar w:fldCharType="separate"/>
      </w:r>
      <w:r>
        <w:rPr>
          <w:noProof/>
        </w:rPr>
        <w:t>13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_Toc364076411 \h </w:instrText>
      </w:r>
      <w:r>
        <w:rPr>
          <w:noProof/>
        </w:rPr>
      </w:r>
      <w:r>
        <w:rPr>
          <w:noProof/>
        </w:rPr>
        <w:fldChar w:fldCharType="separate"/>
      </w:r>
      <w:r>
        <w:rPr>
          <w:noProof/>
        </w:rPr>
        <w:t>13</w:t>
      </w:r>
      <w:r>
        <w:rPr>
          <w:noProof/>
        </w:rPr>
        <w:fldChar w:fldCharType="end"/>
      </w:r>
    </w:p>
    <w:p w:rsidR="00BD4BB5" w:rsidRDefault="00BD4BB5">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_Toc364076412 \h </w:instrText>
      </w:r>
      <w:r>
        <w:fldChar w:fldCharType="separate"/>
      </w:r>
      <w:r>
        <w:t>14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_Toc364076413 \h </w:instrText>
      </w:r>
      <w:r>
        <w:rPr>
          <w:noProof/>
        </w:rPr>
      </w:r>
      <w:r>
        <w:rPr>
          <w:noProof/>
        </w:rPr>
        <w:fldChar w:fldCharType="separate"/>
      </w:r>
      <w:r>
        <w:rPr>
          <w:noProof/>
        </w:rPr>
        <w:t>14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_Toc364076414 \h </w:instrText>
      </w:r>
      <w:r>
        <w:rPr>
          <w:noProof/>
        </w:rPr>
      </w:r>
      <w:r>
        <w:rPr>
          <w:noProof/>
        </w:rPr>
        <w:fldChar w:fldCharType="separate"/>
      </w:r>
      <w:r>
        <w:rPr>
          <w:noProof/>
        </w:rPr>
        <w:t>14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_Toc364076415 \h </w:instrText>
      </w:r>
      <w:r>
        <w:rPr>
          <w:noProof/>
        </w:rPr>
      </w:r>
      <w:r>
        <w:rPr>
          <w:noProof/>
        </w:rPr>
        <w:fldChar w:fldCharType="separate"/>
      </w:r>
      <w:r>
        <w:rPr>
          <w:noProof/>
        </w:rPr>
        <w:t>15</w:t>
      </w:r>
      <w:r>
        <w:rPr>
          <w:noProof/>
        </w:rPr>
        <w:fldChar w:fldCharType="end"/>
      </w:r>
    </w:p>
    <w:p w:rsidR="00BD4BB5" w:rsidRDefault="00BD4BB5">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_Toc364076416 \h </w:instrText>
      </w:r>
      <w:r>
        <w:fldChar w:fldCharType="separate"/>
      </w:r>
      <w:r>
        <w:t>15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_Toc364076417 \h </w:instrText>
      </w:r>
      <w:r>
        <w:rPr>
          <w:noProof/>
        </w:rPr>
      </w:r>
      <w:r>
        <w:rPr>
          <w:noProof/>
        </w:rPr>
        <w:fldChar w:fldCharType="separate"/>
      </w:r>
      <w:r>
        <w:rPr>
          <w:noProof/>
        </w:rPr>
        <w:t>15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_Toc364076418 \h </w:instrText>
      </w:r>
      <w:r>
        <w:rPr>
          <w:noProof/>
        </w:rPr>
      </w:r>
      <w:r>
        <w:rPr>
          <w:noProof/>
        </w:rPr>
        <w:fldChar w:fldCharType="separate"/>
      </w:r>
      <w:r>
        <w:rPr>
          <w:noProof/>
        </w:rPr>
        <w:t>16</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_Toc364076419 \h </w:instrText>
      </w:r>
      <w:r>
        <w:rPr>
          <w:noProof/>
        </w:rPr>
      </w:r>
      <w:r>
        <w:rPr>
          <w:noProof/>
        </w:rPr>
        <w:fldChar w:fldCharType="separate"/>
      </w:r>
      <w:r>
        <w:rPr>
          <w:noProof/>
        </w:rPr>
        <w:t>16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_Toc364076420 \h </w:instrText>
      </w:r>
      <w:r>
        <w:rPr>
          <w:noProof/>
        </w:rPr>
      </w:r>
      <w:r>
        <w:rPr>
          <w:noProof/>
        </w:rPr>
        <w:fldChar w:fldCharType="separate"/>
      </w:r>
      <w:r>
        <w:rPr>
          <w:noProof/>
        </w:rPr>
        <w:t>16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_Toc364076421 \h </w:instrText>
      </w:r>
      <w:r>
        <w:rPr>
          <w:noProof/>
        </w:rPr>
      </w:r>
      <w:r>
        <w:rPr>
          <w:noProof/>
        </w:rPr>
        <w:fldChar w:fldCharType="separate"/>
      </w:r>
      <w:r>
        <w:rPr>
          <w:noProof/>
        </w:rPr>
        <w:t>17</w:t>
      </w:r>
      <w:r>
        <w:rPr>
          <w:noProof/>
        </w:rPr>
        <w:fldChar w:fldCharType="end"/>
      </w:r>
    </w:p>
    <w:p w:rsidR="00BD4BB5" w:rsidRDefault="00BD4BB5">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_Toc364076422 \h </w:instrText>
      </w:r>
      <w:r>
        <w:fldChar w:fldCharType="separate"/>
      </w:r>
      <w:r>
        <w:t>17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_Toc364076423 \h </w:instrText>
      </w:r>
      <w:r>
        <w:rPr>
          <w:noProof/>
        </w:rPr>
      </w:r>
      <w:r>
        <w:rPr>
          <w:noProof/>
        </w:rPr>
        <w:fldChar w:fldCharType="separate"/>
      </w:r>
      <w:r>
        <w:rPr>
          <w:noProof/>
        </w:rPr>
        <w:t>17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_Toc364076424 \h </w:instrText>
      </w:r>
      <w:r>
        <w:rPr>
          <w:noProof/>
        </w:rPr>
      </w:r>
      <w:r>
        <w:rPr>
          <w:noProof/>
        </w:rPr>
        <w:fldChar w:fldCharType="separate"/>
      </w:r>
      <w:r>
        <w:rPr>
          <w:noProof/>
        </w:rPr>
        <w:t>17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_Toc364076425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_Toc364076426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_Toc364076427 \h </w:instrText>
      </w:r>
      <w:r>
        <w:rPr>
          <w:noProof/>
        </w:rPr>
      </w:r>
      <w:r>
        <w:rPr>
          <w:noProof/>
        </w:rPr>
        <w:fldChar w:fldCharType="separate"/>
      </w:r>
      <w:r>
        <w:rPr>
          <w:noProof/>
        </w:rPr>
        <w:t>18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_Toc364076428 \h </w:instrText>
      </w:r>
      <w:r>
        <w:rPr>
          <w:noProof/>
        </w:rPr>
      </w:r>
      <w:r>
        <w:rPr>
          <w:noProof/>
        </w:rPr>
        <w:fldChar w:fldCharType="separate"/>
      </w:r>
      <w:r>
        <w:rPr>
          <w:noProof/>
        </w:rPr>
        <w:t>19</w:t>
      </w:r>
      <w:r>
        <w:rPr>
          <w:noProof/>
        </w:rPr>
        <w:fldChar w:fldCharType="end"/>
      </w:r>
    </w:p>
    <w:p w:rsidR="00BD4BB5" w:rsidRDefault="00BD4BB5">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_Toc364076429 \h </w:instrText>
      </w:r>
      <w:r>
        <w:fldChar w:fldCharType="separate"/>
      </w:r>
      <w:r>
        <w:t>19</w:t>
      </w:r>
      <w:r>
        <w:fldChar w:fldCharType="end"/>
      </w:r>
    </w:p>
    <w:p w:rsidR="00BD4BB5" w:rsidRDefault="00BD4BB5">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_Toc364076430 \h </w:instrText>
      </w:r>
      <w:r>
        <w:fldChar w:fldCharType="separate"/>
      </w:r>
      <w:r>
        <w:t>21</w:t>
      </w:r>
      <w:r>
        <w:fldChar w:fldCharType="end"/>
      </w:r>
    </w:p>
    <w:p w:rsidR="00BD4BB5" w:rsidRDefault="00BD4BB5">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_Toc364076431 \h </w:instrText>
      </w:r>
      <w:r>
        <w:fldChar w:fldCharType="separate"/>
      </w:r>
      <w:r>
        <w:t>21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_Toc364076432 \h </w:instrText>
      </w:r>
      <w:r>
        <w:rPr>
          <w:noProof/>
        </w:rPr>
      </w:r>
      <w:r>
        <w:rPr>
          <w:noProof/>
        </w:rPr>
        <w:fldChar w:fldCharType="separate"/>
      </w:r>
      <w:r>
        <w:rPr>
          <w:noProof/>
        </w:rPr>
        <w:t>21</w:t>
      </w:r>
      <w:r>
        <w:rPr>
          <w:noProof/>
        </w:rPr>
        <w:fldChar w:fldCharType="end"/>
      </w:r>
    </w:p>
    <w:p w:rsidR="00BD4BB5" w:rsidRDefault="00BD4BB5">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_Toc364076433 \h </w:instrText>
      </w:r>
      <w:r>
        <w:fldChar w:fldCharType="separate"/>
      </w:r>
      <w:r>
        <w:t>21</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_Toc364076434 \h </w:instrText>
      </w:r>
      <w:r>
        <w:rPr>
          <w:noProof/>
        </w:rPr>
      </w:r>
      <w:r>
        <w:rPr>
          <w:noProof/>
        </w:rPr>
        <w:fldChar w:fldCharType="separate"/>
      </w:r>
      <w:r>
        <w:rPr>
          <w:noProof/>
        </w:rPr>
        <w:t>21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_Toc364076435 \h </w:instrText>
      </w:r>
      <w:r>
        <w:rPr>
          <w:noProof/>
        </w:rPr>
      </w:r>
      <w:r>
        <w:rPr>
          <w:noProof/>
        </w:rPr>
        <w:fldChar w:fldCharType="separate"/>
      </w:r>
      <w:r>
        <w:rPr>
          <w:noProof/>
        </w:rPr>
        <w:t>22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_Toc364076436 \h </w:instrText>
      </w:r>
      <w:r>
        <w:rPr>
          <w:noProof/>
        </w:rPr>
      </w:r>
      <w:r>
        <w:rPr>
          <w:noProof/>
        </w:rPr>
        <w:fldChar w:fldCharType="separate"/>
      </w:r>
      <w:r>
        <w:rPr>
          <w:noProof/>
        </w:rPr>
        <w:t>22</w:t>
      </w:r>
      <w:r>
        <w:rPr>
          <w:noProof/>
        </w:rPr>
        <w:fldChar w:fldCharType="end"/>
      </w:r>
    </w:p>
    <w:p w:rsidR="00BD4BB5" w:rsidRDefault="00BD4BB5">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_Toc364076437 \h </w:instrText>
      </w:r>
      <w:r>
        <w:fldChar w:fldCharType="separate"/>
      </w:r>
      <w:r>
        <w:t>22</w:t>
      </w:r>
      <w:r>
        <w:fldChar w:fldCharType="end"/>
      </w:r>
    </w:p>
    <w:p w:rsidR="00BD4BB5" w:rsidRDefault="00BD4BB5">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_Toc364076438 \h </w:instrText>
      </w:r>
      <w:r>
        <w:fldChar w:fldCharType="separate"/>
      </w:r>
      <w:r>
        <w:t>23</w:t>
      </w:r>
      <w:r>
        <w:fldChar w:fldCharType="end"/>
      </w:r>
    </w:p>
    <w:p w:rsidR="00BD4BB5" w:rsidRDefault="00BD4BB5">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_Toc364076439 \h </w:instrText>
      </w:r>
      <w:r>
        <w:fldChar w:fldCharType="separate"/>
      </w:r>
      <w:r>
        <w:t>23</w:t>
      </w:r>
      <w:r>
        <w:fldChar w:fldCharType="end"/>
      </w:r>
    </w:p>
    <w:p w:rsidR="00BD4BB5" w:rsidRDefault="00BD4BB5">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_Toc364076440 \h </w:instrText>
      </w:r>
      <w:r>
        <w:fldChar w:fldCharType="separate"/>
      </w:r>
      <w:r>
        <w:t>24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_Toc364076441 \h </w:instrText>
      </w:r>
      <w:r>
        <w:rPr>
          <w:noProof/>
        </w:rPr>
      </w:r>
      <w:r>
        <w:rPr>
          <w:noProof/>
        </w:rPr>
        <w:fldChar w:fldCharType="separate"/>
      </w:r>
      <w:r>
        <w:rPr>
          <w:noProof/>
        </w:rPr>
        <w:t>24</w:t>
      </w:r>
      <w:r>
        <w:rPr>
          <w:noProof/>
        </w:rPr>
        <w:fldChar w:fldCharType="end"/>
      </w:r>
    </w:p>
    <w:p w:rsidR="00BD4BB5" w:rsidRDefault="00BD4BB5">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_Toc364076442 \h </w:instrText>
      </w:r>
      <w:r>
        <w:fldChar w:fldCharType="separate"/>
      </w:r>
      <w:r>
        <w:t>25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_Toc364076443 \h </w:instrText>
      </w:r>
      <w:r>
        <w:rPr>
          <w:noProof/>
        </w:rPr>
      </w:r>
      <w:r>
        <w:rPr>
          <w:noProof/>
        </w:rPr>
        <w:fldChar w:fldCharType="separate"/>
      </w:r>
      <w:r>
        <w:rPr>
          <w:noProof/>
        </w:rPr>
        <w:t>25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_Toc364076444 \h </w:instrText>
      </w:r>
      <w:r>
        <w:rPr>
          <w:noProof/>
        </w:rPr>
      </w:r>
      <w:r>
        <w:rPr>
          <w:noProof/>
        </w:rPr>
        <w:fldChar w:fldCharType="separate"/>
      </w:r>
      <w:r>
        <w:rPr>
          <w:noProof/>
        </w:rPr>
        <w:t>26</w:t>
      </w:r>
      <w:r>
        <w:rPr>
          <w:noProof/>
        </w:rPr>
        <w:fldChar w:fldCharType="end"/>
      </w:r>
    </w:p>
    <w:p w:rsidR="00BD4BB5" w:rsidRDefault="00BD4BB5">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_Toc364076445 \h </w:instrText>
      </w:r>
      <w:r>
        <w:fldChar w:fldCharType="separate"/>
      </w:r>
      <w:r>
        <w:t>27</w:t>
      </w:r>
      <w:r>
        <w:fldChar w:fldCharType="end"/>
      </w:r>
    </w:p>
    <w:p w:rsidR="00BD4BB5" w:rsidRDefault="00BD4BB5">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_Toc364076446 \h </w:instrText>
      </w:r>
      <w:r>
        <w:fldChar w:fldCharType="separate"/>
      </w:r>
      <w:r>
        <w:t>27</w:t>
      </w:r>
      <w:r>
        <w:fldChar w:fldCharType="end"/>
      </w:r>
    </w:p>
    <w:p w:rsidR="00BD4BB5" w:rsidRDefault="00BD4BB5">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_Toc364076447 \h </w:instrText>
      </w:r>
      <w:r>
        <w:fldChar w:fldCharType="separate"/>
      </w:r>
      <w:r>
        <w:t>28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_Toc364076448 \h </w:instrText>
      </w:r>
      <w:r>
        <w:rPr>
          <w:noProof/>
        </w:rPr>
      </w:r>
      <w:r>
        <w:rPr>
          <w:noProof/>
        </w:rPr>
        <w:fldChar w:fldCharType="separate"/>
      </w:r>
      <w:r>
        <w:rPr>
          <w:noProof/>
        </w:rPr>
        <w:t>28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_Toc364076449 \h </w:instrText>
      </w:r>
      <w:r>
        <w:rPr>
          <w:noProof/>
        </w:rPr>
      </w:r>
      <w:r>
        <w:rPr>
          <w:noProof/>
        </w:rPr>
        <w:fldChar w:fldCharType="separate"/>
      </w:r>
      <w:r>
        <w:rPr>
          <w:noProof/>
        </w:rPr>
        <w:t>28</w:t>
      </w:r>
      <w:r>
        <w:rPr>
          <w:noProof/>
        </w:rPr>
        <w:fldChar w:fldCharType="end"/>
      </w:r>
    </w:p>
    <w:p w:rsidR="00BD4BB5" w:rsidRDefault="00BD4BB5">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_Toc364076450 \h </w:instrText>
      </w:r>
      <w:r>
        <w:fldChar w:fldCharType="separate"/>
      </w:r>
      <w:r>
        <w:t>28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_Toc364076451 \h </w:instrText>
      </w:r>
      <w:r>
        <w:rPr>
          <w:noProof/>
        </w:rPr>
      </w:r>
      <w:r>
        <w:rPr>
          <w:noProof/>
        </w:rPr>
        <w:fldChar w:fldCharType="separate"/>
      </w:r>
      <w:r>
        <w:rPr>
          <w:noProof/>
        </w:rPr>
        <w:t>29</w:t>
      </w:r>
      <w:r>
        <w:rPr>
          <w:noProof/>
        </w:rPr>
        <w:fldChar w:fldCharType="end"/>
      </w:r>
    </w:p>
    <w:p w:rsidR="00BD4BB5" w:rsidRDefault="00BD4BB5">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_Toc364076452 \h </w:instrText>
      </w:r>
      <w:r>
        <w:fldChar w:fldCharType="separate"/>
      </w:r>
      <w:r>
        <w:t>29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_Toc364076453 \h </w:instrText>
      </w:r>
      <w:r>
        <w:rPr>
          <w:noProof/>
        </w:rPr>
      </w:r>
      <w:r>
        <w:rPr>
          <w:noProof/>
        </w:rPr>
        <w:fldChar w:fldCharType="separate"/>
      </w:r>
      <w:r>
        <w:rPr>
          <w:noProof/>
        </w:rPr>
        <w:t>30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_Toc364076454 \h </w:instrText>
      </w:r>
      <w:r>
        <w:rPr>
          <w:noProof/>
        </w:rPr>
      </w:r>
      <w:r>
        <w:rPr>
          <w:noProof/>
        </w:rPr>
        <w:fldChar w:fldCharType="separate"/>
      </w:r>
      <w:r>
        <w:rPr>
          <w:noProof/>
        </w:rPr>
        <w:t>30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_Toc364076455 \h </w:instrText>
      </w:r>
      <w:r>
        <w:rPr>
          <w:noProof/>
        </w:rPr>
      </w:r>
      <w:r>
        <w:rPr>
          <w:noProof/>
        </w:rPr>
        <w:fldChar w:fldCharType="separate"/>
      </w:r>
      <w:r>
        <w:rPr>
          <w:noProof/>
        </w:rPr>
        <w:t>31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_Toc364076456 \h </w:instrText>
      </w:r>
      <w:r>
        <w:rPr>
          <w:noProof/>
        </w:rPr>
      </w:r>
      <w:r>
        <w:rPr>
          <w:noProof/>
        </w:rPr>
        <w:fldChar w:fldCharType="separate"/>
      </w:r>
      <w:r>
        <w:rPr>
          <w:noProof/>
        </w:rPr>
        <w:t>32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_Toc364076457 \h </w:instrText>
      </w:r>
      <w:r>
        <w:rPr>
          <w:noProof/>
        </w:rPr>
      </w:r>
      <w:r>
        <w:rPr>
          <w:noProof/>
        </w:rPr>
        <w:fldChar w:fldCharType="separate"/>
      </w:r>
      <w:r>
        <w:rPr>
          <w:noProof/>
        </w:rPr>
        <w:t>33</w:t>
      </w:r>
      <w:r>
        <w:rPr>
          <w:noProof/>
        </w:rPr>
        <w:fldChar w:fldCharType="end"/>
      </w:r>
    </w:p>
    <w:p w:rsidR="00BD4BB5" w:rsidRDefault="00BD4BB5">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_Toc364076458 \h </w:instrText>
      </w:r>
      <w:r>
        <w:fldChar w:fldCharType="separate"/>
      </w:r>
      <w:r>
        <w:t>33</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_Toc364076459 \h </w:instrText>
      </w:r>
      <w:r>
        <w:rPr>
          <w:noProof/>
        </w:rPr>
      </w:r>
      <w:r>
        <w:rPr>
          <w:noProof/>
        </w:rPr>
        <w:fldChar w:fldCharType="separate"/>
      </w:r>
      <w:r>
        <w:rPr>
          <w:noProof/>
        </w:rPr>
        <w:t>34</w:t>
      </w:r>
      <w:r>
        <w:rPr>
          <w:noProof/>
        </w:rPr>
        <w:fldChar w:fldCharType="end"/>
      </w:r>
    </w:p>
    <w:p w:rsidR="00BD4BB5" w:rsidRDefault="00BD4BB5">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_Toc364076460 \h </w:instrText>
      </w:r>
      <w:r>
        <w:fldChar w:fldCharType="separate"/>
      </w:r>
      <w:r>
        <w:t>36</w:t>
      </w:r>
      <w:r>
        <w:fldChar w:fldCharType="end"/>
      </w:r>
    </w:p>
    <w:p w:rsidR="00BD4BB5" w:rsidRDefault="00BD4BB5">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_Toc364076461 \h </w:instrText>
      </w:r>
      <w:r>
        <w:fldChar w:fldCharType="separate"/>
      </w:r>
      <w:r>
        <w:t>36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_Toc364076462 \h </w:instrText>
      </w:r>
      <w:r>
        <w:rPr>
          <w:noProof/>
        </w:rPr>
      </w:r>
      <w:r>
        <w:rPr>
          <w:noProof/>
        </w:rPr>
        <w:fldChar w:fldCharType="separate"/>
      </w:r>
      <w:r>
        <w:rPr>
          <w:noProof/>
        </w:rPr>
        <w:t>37</w:t>
      </w:r>
      <w:r>
        <w:rPr>
          <w:noProof/>
        </w:rPr>
        <w:fldChar w:fldCharType="end"/>
      </w:r>
    </w:p>
    <w:p w:rsidR="00BD4BB5" w:rsidRDefault="00BD4BB5">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_Toc364076463 \h </w:instrText>
      </w:r>
      <w:r>
        <w:fldChar w:fldCharType="separate"/>
      </w:r>
      <w:r>
        <w:t>37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_Toc364076464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_Toc364076465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_Toc364076466 \h </w:instrText>
      </w:r>
      <w:r>
        <w:rPr>
          <w:noProof/>
        </w:rPr>
      </w:r>
      <w:r>
        <w:rPr>
          <w:noProof/>
        </w:rPr>
        <w:fldChar w:fldCharType="separate"/>
      </w:r>
      <w:r>
        <w:rPr>
          <w:noProof/>
        </w:rPr>
        <w:t>38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_Toc364076467 \h </w:instrText>
      </w:r>
      <w:r>
        <w:rPr>
          <w:noProof/>
        </w:rPr>
      </w:r>
      <w:r>
        <w:rPr>
          <w:noProof/>
        </w:rPr>
        <w:fldChar w:fldCharType="separate"/>
      </w:r>
      <w:r>
        <w:rPr>
          <w:noProof/>
        </w:rPr>
        <w:t>39</w:t>
      </w:r>
      <w:r>
        <w:rPr>
          <w:noProof/>
        </w:rPr>
        <w:fldChar w:fldCharType="end"/>
      </w:r>
    </w:p>
    <w:p w:rsidR="00BD4BB5" w:rsidRDefault="00BD4BB5">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_Toc364076468 \h </w:instrText>
      </w:r>
      <w:r>
        <w:fldChar w:fldCharType="separate"/>
      </w:r>
      <w:r>
        <w:t>40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_Toc364076469 \h </w:instrText>
      </w:r>
      <w:r>
        <w:rPr>
          <w:noProof/>
        </w:rPr>
      </w:r>
      <w:r>
        <w:rPr>
          <w:noProof/>
        </w:rPr>
        <w:fldChar w:fldCharType="separate"/>
      </w:r>
      <w:r>
        <w:rPr>
          <w:noProof/>
        </w:rPr>
        <w:t>40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_Toc364076470 \h </w:instrText>
      </w:r>
      <w:r>
        <w:rPr>
          <w:noProof/>
        </w:rPr>
      </w:r>
      <w:r>
        <w:rPr>
          <w:noProof/>
        </w:rPr>
        <w:fldChar w:fldCharType="separate"/>
      </w:r>
      <w:r>
        <w:rPr>
          <w:noProof/>
        </w:rPr>
        <w:t>41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_Toc364076471 \h </w:instrText>
      </w:r>
      <w:r>
        <w:rPr>
          <w:noProof/>
        </w:rPr>
      </w:r>
      <w:r>
        <w:rPr>
          <w:noProof/>
        </w:rPr>
        <w:fldChar w:fldCharType="separate"/>
      </w:r>
      <w:r>
        <w:rPr>
          <w:noProof/>
        </w:rPr>
        <w:t>42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_Toc364076472 \h </w:instrText>
      </w:r>
      <w:r>
        <w:rPr>
          <w:noProof/>
        </w:rPr>
      </w:r>
      <w:r>
        <w:rPr>
          <w:noProof/>
        </w:rPr>
        <w:fldChar w:fldCharType="separate"/>
      </w:r>
      <w:r>
        <w:rPr>
          <w:noProof/>
        </w:rPr>
        <w:t>43</w:t>
      </w:r>
      <w:r>
        <w:rPr>
          <w:noProof/>
        </w:rPr>
        <w:fldChar w:fldCharType="end"/>
      </w:r>
    </w:p>
    <w:p w:rsidR="00BD4BB5" w:rsidRDefault="00BD4BB5">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_Toc364076473 \h </w:instrText>
      </w:r>
      <w:r>
        <w:fldChar w:fldCharType="separate"/>
      </w:r>
      <w:r>
        <w:t>44</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_Toc364076474 \h </w:instrText>
      </w:r>
      <w:r>
        <w:rPr>
          <w:noProof/>
        </w:rPr>
      </w:r>
      <w:r>
        <w:rPr>
          <w:noProof/>
        </w:rPr>
        <w:fldChar w:fldCharType="separate"/>
      </w:r>
      <w:r>
        <w:rPr>
          <w:noProof/>
        </w:rPr>
        <w:t>44</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_Toc364076475 \h </w:instrText>
      </w:r>
      <w:r>
        <w:rPr>
          <w:noProof/>
        </w:rPr>
      </w:r>
      <w:r>
        <w:rPr>
          <w:noProof/>
        </w:rPr>
        <w:fldChar w:fldCharType="separate"/>
      </w:r>
      <w:r>
        <w:rPr>
          <w:noProof/>
        </w:rPr>
        <w:t>44</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_Toc364076476 \h </w:instrText>
      </w:r>
      <w:r>
        <w:rPr>
          <w:noProof/>
        </w:rPr>
      </w:r>
      <w:r>
        <w:rPr>
          <w:noProof/>
        </w:rPr>
        <w:fldChar w:fldCharType="separate"/>
      </w:r>
      <w:r>
        <w:rPr>
          <w:noProof/>
        </w:rPr>
        <w:t>45</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_Toc364076477 \h </w:instrText>
      </w:r>
      <w:r>
        <w:rPr>
          <w:noProof/>
        </w:rPr>
      </w:r>
      <w:r>
        <w:rPr>
          <w:noProof/>
        </w:rPr>
        <w:fldChar w:fldCharType="separate"/>
      </w:r>
      <w:r>
        <w:rPr>
          <w:noProof/>
        </w:rPr>
        <w:t>46</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_Toc364076478 \h </w:instrText>
      </w:r>
      <w:r>
        <w:rPr>
          <w:noProof/>
        </w:rPr>
      </w:r>
      <w:r>
        <w:rPr>
          <w:noProof/>
        </w:rPr>
        <w:fldChar w:fldCharType="separate"/>
      </w:r>
      <w:r>
        <w:rPr>
          <w:noProof/>
        </w:rPr>
        <w:t>47</w:t>
      </w:r>
      <w:r>
        <w:rPr>
          <w:noProof/>
        </w:rPr>
        <w:fldChar w:fldCharType="end"/>
      </w:r>
    </w:p>
    <w:p w:rsidR="00BD4BB5" w:rsidRDefault="00BD4BB5">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_Toc364076479 \h </w:instrText>
      </w:r>
      <w:r>
        <w:fldChar w:fldCharType="separate"/>
      </w:r>
      <w:r>
        <w:t>47</w:t>
      </w:r>
      <w:r>
        <w:fldChar w:fldCharType="end"/>
      </w:r>
    </w:p>
    <w:p w:rsidR="00BD4BB5" w:rsidRDefault="00BD4BB5">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_Toc364076480 \h </w:instrText>
      </w:r>
      <w:r>
        <w:fldChar w:fldCharType="separate"/>
      </w:r>
      <w:r>
        <w:t>49</w:t>
      </w:r>
      <w:r>
        <w:fldChar w:fldCharType="end"/>
      </w:r>
    </w:p>
    <w:p w:rsidR="00BD4BB5" w:rsidRDefault="00BD4BB5">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_Toc364076481 \h </w:instrText>
      </w:r>
      <w:r>
        <w:fldChar w:fldCharType="separate"/>
      </w:r>
      <w:r>
        <w:t>49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_Toc364076482 \h </w:instrText>
      </w:r>
      <w:r>
        <w:rPr>
          <w:noProof/>
        </w:rPr>
      </w:r>
      <w:r>
        <w:rPr>
          <w:noProof/>
        </w:rPr>
        <w:fldChar w:fldCharType="separate"/>
      </w:r>
      <w:r>
        <w:rPr>
          <w:noProof/>
        </w:rPr>
        <w:t>50</w:t>
      </w:r>
      <w:r>
        <w:rPr>
          <w:noProof/>
        </w:rPr>
        <w:fldChar w:fldCharType="end"/>
      </w:r>
    </w:p>
    <w:p w:rsidR="00BD4BB5" w:rsidRDefault="00BD4BB5">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_Toc364076483 \h </w:instrText>
      </w:r>
      <w:r>
        <w:fldChar w:fldCharType="separate"/>
      </w:r>
      <w:r>
        <w:t>51</w:t>
      </w:r>
      <w:r>
        <w:fldChar w:fldCharType="end"/>
      </w:r>
    </w:p>
    <w:p w:rsidR="00BD4BB5" w:rsidRDefault="00BD4BB5">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_Toc364076484 \h </w:instrText>
      </w:r>
      <w:r>
        <w:fldChar w:fldCharType="separate"/>
      </w:r>
      <w:r>
        <w:t>51</w:t>
      </w:r>
      <w:r>
        <w:fldChar w:fldCharType="end"/>
      </w:r>
    </w:p>
    <w:p w:rsidR="00BD4BB5" w:rsidRDefault="00BD4BB5">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_Toc364076485 \h </w:instrText>
      </w:r>
      <w:r>
        <w:fldChar w:fldCharType="separate"/>
      </w:r>
      <w:r>
        <w:t>54</w:t>
      </w:r>
      <w:r>
        <w:fldChar w:fldCharType="end"/>
      </w:r>
    </w:p>
    <w:p w:rsidR="00BD4BB5" w:rsidRDefault="00BD4BB5">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_Toc364076486 \h </w:instrText>
      </w:r>
      <w:r>
        <w:fldChar w:fldCharType="separate"/>
      </w:r>
      <w:r>
        <w:t>54</w:t>
      </w:r>
      <w:r>
        <w:fldChar w:fldCharType="end"/>
      </w:r>
    </w:p>
    <w:p w:rsidR="00BD4BB5" w:rsidRDefault="00BD4BB5">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_Toc364076487 \h </w:instrText>
      </w:r>
      <w:r>
        <w:fldChar w:fldCharType="separate"/>
      </w:r>
      <w:r>
        <w:t>55</w:t>
      </w:r>
      <w:r>
        <w:fldChar w:fldCharType="end"/>
      </w:r>
    </w:p>
    <w:p w:rsidR="00BD4BB5" w:rsidRDefault="00BD4BB5">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_Toc364076488 \h </w:instrText>
      </w:r>
      <w:r>
        <w:fldChar w:fldCharType="separate"/>
      </w:r>
      <w:r>
        <w:t>56</w:t>
      </w:r>
      <w:r>
        <w:fldChar w:fldCharType="end"/>
      </w:r>
    </w:p>
    <w:p w:rsidR="00BD4BB5" w:rsidRDefault="00BD4BB5">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_Toc364076489 \h </w:instrText>
      </w:r>
      <w:r>
        <w:fldChar w:fldCharType="separate"/>
      </w:r>
      <w:r>
        <w:t>56</w:t>
      </w:r>
      <w:r>
        <w:fldChar w:fldCharType="end"/>
      </w:r>
    </w:p>
    <w:p w:rsidR="00BD4BB5" w:rsidRDefault="00BD4BB5">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_Toc364076490 \h </w:instrText>
      </w:r>
      <w:r>
        <w:fldChar w:fldCharType="separate"/>
      </w:r>
      <w:r>
        <w:t>57</w:t>
      </w:r>
      <w:r>
        <w:fldChar w:fldCharType="end"/>
      </w:r>
    </w:p>
    <w:p w:rsidR="00BD4BB5" w:rsidRDefault="00BD4BB5">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_Toc364076491 \h </w:instrText>
      </w:r>
      <w:r>
        <w:fldChar w:fldCharType="separate"/>
      </w:r>
      <w:r>
        <w:t>57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_Toc364076492 \h </w:instrText>
      </w:r>
      <w:r>
        <w:rPr>
          <w:noProof/>
        </w:rPr>
      </w:r>
      <w:r>
        <w:rPr>
          <w:noProof/>
        </w:rPr>
        <w:fldChar w:fldCharType="separate"/>
      </w:r>
      <w:r>
        <w:rPr>
          <w:noProof/>
        </w:rPr>
        <w:t>57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_Toc364076493 \h </w:instrText>
      </w:r>
      <w:r>
        <w:rPr>
          <w:noProof/>
        </w:rPr>
      </w:r>
      <w:r>
        <w:rPr>
          <w:noProof/>
        </w:rPr>
        <w:fldChar w:fldCharType="separate"/>
      </w:r>
      <w:r>
        <w:rPr>
          <w:noProof/>
        </w:rPr>
        <w:t>57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_Toc364076494 \h </w:instrText>
      </w:r>
      <w:r>
        <w:rPr>
          <w:noProof/>
        </w:rPr>
      </w:r>
      <w:r>
        <w:rPr>
          <w:noProof/>
        </w:rPr>
        <w:fldChar w:fldCharType="separate"/>
      </w:r>
      <w:r>
        <w:rPr>
          <w:noProof/>
        </w:rPr>
        <w:t>58</w:t>
      </w:r>
      <w:r>
        <w:rPr>
          <w:noProof/>
        </w:rPr>
        <w:fldChar w:fldCharType="end"/>
      </w:r>
    </w:p>
    <w:p w:rsidR="00BD4BB5" w:rsidRDefault="00BD4BB5">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_Toc364076495 \h </w:instrText>
      </w:r>
      <w:r>
        <w:fldChar w:fldCharType="separate"/>
      </w:r>
      <w:r>
        <w:t>58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_Toc364076496 \h </w:instrText>
      </w:r>
      <w:r>
        <w:rPr>
          <w:noProof/>
        </w:rPr>
      </w:r>
      <w:r>
        <w:rPr>
          <w:noProof/>
        </w:rPr>
        <w:fldChar w:fldCharType="separate"/>
      </w:r>
      <w:r>
        <w:rPr>
          <w:noProof/>
        </w:rPr>
        <w:t>59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_Toc364076497 \h </w:instrText>
      </w:r>
      <w:r>
        <w:rPr>
          <w:noProof/>
        </w:rPr>
      </w:r>
      <w:r>
        <w:rPr>
          <w:noProof/>
        </w:rPr>
        <w:fldChar w:fldCharType="separate"/>
      </w:r>
      <w:r>
        <w:rPr>
          <w:noProof/>
        </w:rPr>
        <w:t>61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_Toc364076498 \h </w:instrText>
      </w:r>
      <w:r>
        <w:rPr>
          <w:noProof/>
        </w:rPr>
      </w:r>
      <w:r>
        <w:rPr>
          <w:noProof/>
        </w:rPr>
        <w:fldChar w:fldCharType="separate"/>
      </w:r>
      <w:r>
        <w:rPr>
          <w:noProof/>
        </w:rPr>
        <w:t>61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_Toc364076499 \h </w:instrText>
      </w:r>
      <w:r>
        <w:rPr>
          <w:noProof/>
        </w:rPr>
      </w:r>
      <w:r>
        <w:rPr>
          <w:noProof/>
        </w:rPr>
        <w:fldChar w:fldCharType="separate"/>
      </w:r>
      <w:r>
        <w:rPr>
          <w:noProof/>
        </w:rPr>
        <w:t>62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_Toc364076500 \h </w:instrText>
      </w:r>
      <w:r>
        <w:rPr>
          <w:noProof/>
        </w:rPr>
      </w:r>
      <w:r>
        <w:rPr>
          <w:noProof/>
        </w:rPr>
        <w:fldChar w:fldCharType="separate"/>
      </w:r>
      <w:r>
        <w:rPr>
          <w:noProof/>
        </w:rPr>
        <w:t>63</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_Toc364076501 \h </w:instrText>
      </w:r>
      <w:r>
        <w:rPr>
          <w:noProof/>
        </w:rPr>
      </w:r>
      <w:r>
        <w:rPr>
          <w:noProof/>
        </w:rPr>
        <w:fldChar w:fldCharType="separate"/>
      </w:r>
      <w:r>
        <w:rPr>
          <w:noProof/>
        </w:rPr>
        <w:t>63</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_Toc364076502 \h </w:instrText>
      </w:r>
      <w:r>
        <w:rPr>
          <w:noProof/>
        </w:rPr>
      </w:r>
      <w:r>
        <w:rPr>
          <w:noProof/>
        </w:rPr>
        <w:fldChar w:fldCharType="separate"/>
      </w:r>
      <w:r>
        <w:rPr>
          <w:noProof/>
        </w:rPr>
        <w:t>65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_Toc364076503 \h </w:instrText>
      </w:r>
      <w:r>
        <w:rPr>
          <w:noProof/>
        </w:rPr>
      </w:r>
      <w:r>
        <w:rPr>
          <w:noProof/>
        </w:rPr>
        <w:fldChar w:fldCharType="separate"/>
      </w:r>
      <w:r>
        <w:rPr>
          <w:noProof/>
        </w:rPr>
        <w:t>66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8.2.7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_Toc364076504 \h </w:instrText>
      </w:r>
      <w:r>
        <w:rPr>
          <w:noProof/>
        </w:rPr>
      </w:r>
      <w:r>
        <w:rPr>
          <w:noProof/>
        </w:rPr>
        <w:fldChar w:fldCharType="separate"/>
      </w:r>
      <w:r>
        <w:rPr>
          <w:noProof/>
        </w:rPr>
        <w:t>67</w:t>
      </w:r>
      <w:r>
        <w:rPr>
          <w:noProof/>
        </w:rPr>
        <w:fldChar w:fldCharType="end"/>
      </w:r>
    </w:p>
    <w:p w:rsidR="00BD4BB5" w:rsidRDefault="00BD4BB5">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_Toc364076505 \h </w:instrText>
      </w:r>
      <w:r>
        <w:fldChar w:fldCharType="separate"/>
      </w:r>
      <w:r>
        <w:t>68</w:t>
      </w:r>
      <w:r>
        <w:fldChar w:fldCharType="end"/>
      </w:r>
    </w:p>
    <w:p w:rsidR="00BD4BB5" w:rsidRDefault="00BD4BB5">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_Toc364076506 \h </w:instrText>
      </w:r>
      <w:r>
        <w:fldChar w:fldCharType="separate"/>
      </w:r>
      <w:r>
        <w:t>68</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_Toc364076507 \h </w:instrText>
      </w:r>
      <w:r>
        <w:rPr>
          <w:noProof/>
        </w:rPr>
      </w:r>
      <w:r>
        <w:rPr>
          <w:noProof/>
        </w:rPr>
        <w:fldChar w:fldCharType="separate"/>
      </w:r>
      <w:r>
        <w:rPr>
          <w:noProof/>
        </w:rPr>
        <w:t>68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lastRenderedPageBreak/>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_Toc364076508 \h </w:instrText>
      </w:r>
      <w:r>
        <w:rPr>
          <w:noProof/>
        </w:rPr>
      </w:r>
      <w:r>
        <w:rPr>
          <w:noProof/>
        </w:rPr>
        <w:fldChar w:fldCharType="separate"/>
      </w:r>
      <w:r>
        <w:rPr>
          <w:noProof/>
        </w:rPr>
        <w:t>69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_Toc364076509 \h </w:instrText>
      </w:r>
      <w:r>
        <w:rPr>
          <w:noProof/>
        </w:rPr>
      </w:r>
      <w:r>
        <w:rPr>
          <w:noProof/>
        </w:rPr>
        <w:fldChar w:fldCharType="separate"/>
      </w:r>
      <w:r>
        <w:rPr>
          <w:noProof/>
        </w:rPr>
        <w:t>70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_Toc364076510 \h </w:instrText>
      </w:r>
      <w:r>
        <w:rPr>
          <w:noProof/>
        </w:rPr>
      </w:r>
      <w:r>
        <w:rPr>
          <w:noProof/>
        </w:rPr>
        <w:fldChar w:fldCharType="separate"/>
      </w:r>
      <w:r>
        <w:rPr>
          <w:noProof/>
        </w:rPr>
        <w:t>70</w:t>
      </w:r>
      <w:r>
        <w:rPr>
          <w:noProof/>
        </w:rPr>
        <w:fldChar w:fldCharType="end"/>
      </w:r>
    </w:p>
    <w:p w:rsidR="00BD4BB5" w:rsidRDefault="00BD4BB5">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_Toc364076511 \h </w:instrText>
      </w:r>
      <w:r>
        <w:fldChar w:fldCharType="separate"/>
      </w:r>
      <w:r>
        <w:t>70</w:t>
      </w:r>
      <w:r>
        <w:fldChar w:fldCharType="end"/>
      </w:r>
    </w:p>
    <w:p w:rsidR="00BD4BB5" w:rsidRDefault="00BD4BB5">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_Toc364076512 \h </w:instrText>
      </w:r>
      <w:r>
        <w:fldChar w:fldCharType="separate"/>
      </w:r>
      <w:r>
        <w:t>70</w:t>
      </w:r>
      <w:r>
        <w:fldChar w:fldCharType="end"/>
      </w:r>
    </w:p>
    <w:p w:rsidR="00BD4BB5" w:rsidRDefault="00BD4BB5">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_Toc364076513 \h </w:instrText>
      </w:r>
      <w:r>
        <w:fldChar w:fldCharType="separate"/>
      </w:r>
      <w:r>
        <w:t>71</w:t>
      </w:r>
      <w:r>
        <w:fldChar w:fldCharType="end"/>
      </w:r>
    </w:p>
    <w:p w:rsidR="00BD4BB5" w:rsidRDefault="00BD4BB5">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_Toc364076514 \h </w:instrText>
      </w:r>
      <w:r>
        <w:fldChar w:fldCharType="separate"/>
      </w:r>
      <w:r>
        <w:t>71</w:t>
      </w:r>
      <w:r>
        <w:fldChar w:fldCharType="end"/>
      </w:r>
    </w:p>
    <w:p w:rsidR="00BD4BB5" w:rsidRDefault="00BD4BB5">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_Toc364076515 \h </w:instrText>
      </w:r>
      <w:r>
        <w:fldChar w:fldCharType="separate"/>
      </w:r>
      <w:r>
        <w:t>72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_Toc364076516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_Toc364076517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_Toc364076518 \h </w:instrText>
      </w:r>
      <w:r>
        <w:rPr>
          <w:noProof/>
        </w:rPr>
      </w:r>
      <w:r>
        <w:rPr>
          <w:noProof/>
        </w:rPr>
        <w:fldChar w:fldCharType="separate"/>
      </w:r>
      <w:r>
        <w:rPr>
          <w:noProof/>
        </w:rPr>
        <w:t>72</w:t>
      </w:r>
      <w:r>
        <w:rPr>
          <w:noProof/>
        </w:rPr>
        <w:fldChar w:fldCharType="end"/>
      </w:r>
    </w:p>
    <w:p w:rsidR="00BD4BB5" w:rsidRDefault="00BD4BB5">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_Toc364076519 \h </w:instrText>
      </w:r>
      <w:r>
        <w:fldChar w:fldCharType="separate"/>
      </w:r>
      <w:r>
        <w:t>72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_Toc364076520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_Toc364076521 \h </w:instrText>
      </w:r>
      <w:r>
        <w:rPr>
          <w:noProof/>
        </w:rPr>
      </w:r>
      <w:r>
        <w:rPr>
          <w:noProof/>
        </w:rPr>
        <w:fldChar w:fldCharType="separate"/>
      </w:r>
      <w:r>
        <w:rPr>
          <w:noProof/>
        </w:rPr>
        <w:t>72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_Toc364076522 \h </w:instrText>
      </w:r>
      <w:r>
        <w:rPr>
          <w:noProof/>
        </w:rPr>
      </w:r>
      <w:r>
        <w:rPr>
          <w:noProof/>
        </w:rPr>
        <w:fldChar w:fldCharType="separate"/>
      </w:r>
      <w:r>
        <w:rPr>
          <w:noProof/>
        </w:rPr>
        <w:t>73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_Toc364076523 \h </w:instrText>
      </w:r>
      <w:r>
        <w:rPr>
          <w:noProof/>
        </w:rPr>
      </w:r>
      <w:r>
        <w:rPr>
          <w:noProof/>
        </w:rPr>
        <w:fldChar w:fldCharType="separate"/>
      </w:r>
      <w:r>
        <w:rPr>
          <w:noProof/>
        </w:rPr>
        <w:t>74</w:t>
      </w:r>
      <w:r>
        <w:rPr>
          <w:noProof/>
        </w:rPr>
        <w:fldChar w:fldCharType="end"/>
      </w:r>
    </w:p>
    <w:p w:rsidR="00BD4BB5" w:rsidRDefault="00BD4BB5">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_Toc364076524 \h </w:instrText>
      </w:r>
      <w:r>
        <w:fldChar w:fldCharType="separate"/>
      </w:r>
      <w:r>
        <w:t>74</w:t>
      </w:r>
      <w:r>
        <w:fldChar w:fldCharType="end"/>
      </w:r>
    </w:p>
    <w:p w:rsidR="00BD4BB5" w:rsidRDefault="00BD4BB5">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_Toc364076525 \h </w:instrText>
      </w:r>
      <w:r>
        <w:fldChar w:fldCharType="separate"/>
      </w:r>
      <w:r>
        <w:t>75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_Toc364076526 \h </w:instrText>
      </w:r>
      <w:r>
        <w:rPr>
          <w:noProof/>
        </w:rPr>
      </w:r>
      <w:r>
        <w:rPr>
          <w:noProof/>
        </w:rPr>
        <w:fldChar w:fldCharType="separate"/>
      </w:r>
      <w:r>
        <w:rPr>
          <w:noProof/>
        </w:rPr>
        <w:t>75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_Toc364076527 \h </w:instrText>
      </w:r>
      <w:r>
        <w:rPr>
          <w:noProof/>
        </w:rPr>
      </w:r>
      <w:r>
        <w:rPr>
          <w:noProof/>
        </w:rPr>
        <w:fldChar w:fldCharType="separate"/>
      </w:r>
      <w:r>
        <w:rPr>
          <w:noProof/>
        </w:rPr>
        <w:t>77</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_Toc364076528 \h </w:instrText>
      </w:r>
      <w:r>
        <w:rPr>
          <w:noProof/>
        </w:rPr>
      </w:r>
      <w:r>
        <w:rPr>
          <w:noProof/>
        </w:rPr>
        <w:fldChar w:fldCharType="separate"/>
      </w:r>
      <w:r>
        <w:rPr>
          <w:noProof/>
        </w:rPr>
        <w:t>79</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_Toc364076529 \h </w:instrText>
      </w:r>
      <w:r>
        <w:rPr>
          <w:noProof/>
        </w:rPr>
      </w:r>
      <w:r>
        <w:rPr>
          <w:noProof/>
        </w:rPr>
        <w:fldChar w:fldCharType="separate"/>
      </w:r>
      <w:r>
        <w:rPr>
          <w:noProof/>
        </w:rPr>
        <w:t>79</w:t>
      </w:r>
      <w:r>
        <w:rPr>
          <w:noProof/>
        </w:rPr>
        <w:fldChar w:fldCharType="end"/>
      </w:r>
    </w:p>
    <w:p w:rsidR="00BD4BB5" w:rsidRDefault="00BD4BB5">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_Toc364076530 \h </w:instrText>
      </w:r>
      <w:r>
        <w:rPr>
          <w:noProof/>
        </w:rPr>
      </w:r>
      <w:r>
        <w:rPr>
          <w:noProof/>
        </w:rPr>
        <w:fldChar w:fldCharType="separate"/>
      </w:r>
      <w:r>
        <w:rPr>
          <w:noProof/>
        </w:rPr>
        <w:t>81</w:t>
      </w:r>
      <w:r>
        <w:rPr>
          <w:noProof/>
        </w:rPr>
        <w:fldChar w:fldCharType="end"/>
      </w:r>
    </w:p>
    <w:p w:rsidR="00BD4BB5" w:rsidRDefault="00BD4BB5">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_Toc364076531 \h </w:instrText>
      </w:r>
      <w:r>
        <w:fldChar w:fldCharType="separate"/>
      </w:r>
      <w:r>
        <w:t>81</w:t>
      </w:r>
      <w:r>
        <w:fldChar w:fldCharType="end"/>
      </w:r>
    </w:p>
    <w:p w:rsidR="00BD4BB5" w:rsidRDefault="00BD4BB5">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_Toc364076532 \h </w:instrText>
      </w:r>
      <w:r>
        <w:fldChar w:fldCharType="separate"/>
      </w:r>
      <w:r>
        <w:t>82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_Toc364076533 \h </w:instrText>
      </w:r>
      <w:r>
        <w:rPr>
          <w:noProof/>
        </w:rPr>
      </w:r>
      <w:r>
        <w:rPr>
          <w:noProof/>
        </w:rPr>
        <w:fldChar w:fldCharType="separate"/>
      </w:r>
      <w:r>
        <w:rPr>
          <w:noProof/>
        </w:rPr>
        <w:t>82</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_Toc364076534 \h </w:instrText>
      </w:r>
      <w:r>
        <w:rPr>
          <w:noProof/>
        </w:rPr>
      </w:r>
      <w:r>
        <w:rPr>
          <w:noProof/>
        </w:rPr>
        <w:fldChar w:fldCharType="separate"/>
      </w:r>
      <w:r>
        <w:rPr>
          <w:noProof/>
        </w:rPr>
        <w:t>83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_Toc364076535 \h </w:instrText>
      </w:r>
      <w:r>
        <w:rPr>
          <w:noProof/>
        </w:rPr>
      </w:r>
      <w:r>
        <w:rPr>
          <w:noProof/>
        </w:rPr>
        <w:fldChar w:fldCharType="separate"/>
      </w:r>
      <w:r>
        <w:rPr>
          <w:noProof/>
        </w:rPr>
        <w:t>83</w:t>
      </w:r>
      <w:r>
        <w:rPr>
          <w:noProof/>
        </w:rPr>
        <w:fldChar w:fldCharType="end"/>
      </w:r>
    </w:p>
    <w:p w:rsidR="00BD4BB5" w:rsidRDefault="00BD4BB5">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_Toc364076536 \h </w:instrText>
      </w:r>
      <w:r>
        <w:fldChar w:fldCharType="separate"/>
      </w:r>
      <w:r>
        <w:t>85</w:t>
      </w:r>
      <w:r>
        <w:fldChar w:fldCharType="end"/>
      </w:r>
    </w:p>
    <w:p w:rsidR="00BD4BB5" w:rsidRDefault="00BD4BB5">
      <w:pPr>
        <w:pStyle w:val="TOC3"/>
        <w:rPr>
          <w:rFonts w:eastAsiaTheme="minorEastAsia" w:cstheme="minorBidi"/>
          <w:sz w:val="22"/>
          <w:szCs w:val="22"/>
        </w:rPr>
      </w:pPr>
      <w:r>
        <w:t>10.1</w:t>
      </w:r>
      <w:r>
        <w:rPr>
          <w:rFonts w:eastAsiaTheme="minorEastAsia" w:cstheme="minorBidi"/>
          <w:sz w:val="22"/>
          <w:szCs w:val="22"/>
        </w:rPr>
        <w:tab/>
      </w:r>
      <w:r>
        <w:t>Connections with Other Models</w:t>
      </w:r>
      <w:r>
        <w:tab/>
      </w:r>
      <w:r>
        <w:fldChar w:fldCharType="begin"/>
      </w:r>
      <w:r>
        <w:instrText xml:space="preserve"> PAGEREF _Toc364076537 \h </w:instrText>
      </w:r>
      <w:r>
        <w:fldChar w:fldCharType="separate"/>
      </w:r>
      <w:r>
        <w:t>85</w:t>
      </w:r>
      <w:r>
        <w:fldChar w:fldCharType="end"/>
      </w:r>
    </w:p>
    <w:p w:rsidR="00BD4BB5" w:rsidRDefault="00BD4BB5">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_Toc364076538 \h </w:instrText>
      </w:r>
      <w:r>
        <w:fldChar w:fldCharType="separate"/>
      </w:r>
      <w:r>
        <w:t>85</w:t>
      </w:r>
      <w:r>
        <w:fldChar w:fldCharType="end"/>
      </w:r>
    </w:p>
    <w:p w:rsidR="00BD4BB5" w:rsidRDefault="00BD4BB5">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_Toc364076539 \h </w:instrText>
      </w:r>
      <w:r>
        <w:fldChar w:fldCharType="separate"/>
      </w:r>
      <w:r>
        <w:t>86</w:t>
      </w:r>
      <w:r>
        <w:fldChar w:fldCharType="end"/>
      </w:r>
    </w:p>
    <w:p w:rsidR="00BD4BB5" w:rsidRDefault="00BD4BB5">
      <w:pPr>
        <w:pStyle w:val="TOC3"/>
        <w:rPr>
          <w:rFonts w:eastAsiaTheme="minorEastAsia" w:cstheme="minorBidi"/>
          <w:sz w:val="22"/>
          <w:szCs w:val="22"/>
        </w:rPr>
      </w:pPr>
      <w:r>
        <w:t>10.4</w:t>
      </w:r>
      <w:r>
        <w:rPr>
          <w:rFonts w:eastAsiaTheme="minorEastAsia" w:cstheme="minorBidi"/>
          <w:sz w:val="22"/>
          <w:szCs w:val="22"/>
        </w:rPr>
        <w:tab/>
      </w:r>
      <w:r>
        <w:t>Civilian Group Population over Time</w:t>
      </w:r>
      <w:r>
        <w:tab/>
      </w:r>
      <w:r>
        <w:fldChar w:fldCharType="begin"/>
      </w:r>
      <w:r>
        <w:instrText xml:space="preserve"> PAGEREF _Toc364076540 \h </w:instrText>
      </w:r>
      <w:r>
        <w:fldChar w:fldCharType="separate"/>
      </w:r>
      <w:r>
        <w:t>86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_Toc364076541 \h </w:instrText>
      </w:r>
      <w:r>
        <w:rPr>
          <w:noProof/>
        </w:rPr>
      </w:r>
      <w:r>
        <w:rPr>
          <w:noProof/>
        </w:rPr>
        <w:fldChar w:fldCharType="separate"/>
      </w:r>
      <w:r>
        <w:rPr>
          <w:noProof/>
        </w:rPr>
        <w:t>86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_Toc364076542 \h </w:instrText>
      </w:r>
      <w:r>
        <w:rPr>
          <w:noProof/>
        </w:rPr>
      </w:r>
      <w:r>
        <w:rPr>
          <w:noProof/>
        </w:rPr>
        <w:fldChar w:fldCharType="separate"/>
      </w:r>
      <w:r>
        <w:rPr>
          <w:noProof/>
        </w:rPr>
        <w:t>87</w:t>
      </w:r>
      <w:r>
        <w:rPr>
          <w:noProof/>
        </w:rPr>
        <w:fldChar w:fldCharType="end"/>
      </w:r>
    </w:p>
    <w:p w:rsidR="00BD4BB5" w:rsidRDefault="00BD4BB5">
      <w:pPr>
        <w:pStyle w:val="TOC3"/>
        <w:rPr>
          <w:rFonts w:eastAsiaTheme="minorEastAsia" w:cstheme="minorBidi"/>
          <w:sz w:val="22"/>
          <w:szCs w:val="22"/>
        </w:rPr>
      </w:pPr>
      <w:r>
        <w:t>10.5</w:t>
      </w:r>
      <w:r>
        <w:rPr>
          <w:rFonts w:eastAsiaTheme="minorEastAsia" w:cstheme="minorBidi"/>
          <w:sz w:val="22"/>
          <w:szCs w:val="22"/>
        </w:rPr>
        <w:tab/>
      </w:r>
      <w:r>
        <w:t>Population Breakdowns</w:t>
      </w:r>
      <w:r>
        <w:tab/>
      </w:r>
      <w:r>
        <w:fldChar w:fldCharType="begin"/>
      </w:r>
      <w:r>
        <w:instrText xml:space="preserve"> PAGEREF _Toc364076543 \h </w:instrText>
      </w:r>
      <w:r>
        <w:fldChar w:fldCharType="separate"/>
      </w:r>
      <w:r>
        <w:t>87</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_Toc364076544 \h </w:instrText>
      </w:r>
      <w:r>
        <w:rPr>
          <w:noProof/>
        </w:rPr>
      </w:r>
      <w:r>
        <w:rPr>
          <w:noProof/>
        </w:rPr>
        <w:fldChar w:fldCharType="separate"/>
      </w:r>
      <w:r>
        <w:rPr>
          <w:noProof/>
        </w:rPr>
        <w:t>88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_Toc364076545 \h </w:instrText>
      </w:r>
      <w:r>
        <w:rPr>
          <w:noProof/>
        </w:rPr>
      </w:r>
      <w:r>
        <w:rPr>
          <w:noProof/>
        </w:rPr>
        <w:fldChar w:fldCharType="separate"/>
      </w:r>
      <w:r>
        <w:rPr>
          <w:noProof/>
        </w:rPr>
        <w:t>88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_Toc364076546 \h </w:instrText>
      </w:r>
      <w:r>
        <w:rPr>
          <w:noProof/>
        </w:rPr>
      </w:r>
      <w:r>
        <w:rPr>
          <w:noProof/>
        </w:rPr>
        <w:fldChar w:fldCharType="separate"/>
      </w:r>
      <w:r>
        <w:rPr>
          <w:noProof/>
        </w:rPr>
        <w:t>88</w:t>
      </w:r>
      <w:r>
        <w:rPr>
          <w:noProof/>
        </w:rPr>
        <w:fldChar w:fldCharType="end"/>
      </w:r>
    </w:p>
    <w:p w:rsidR="00BD4BB5" w:rsidRDefault="00BD4BB5">
      <w:pPr>
        <w:pStyle w:val="TOC3"/>
        <w:rPr>
          <w:rFonts w:eastAsiaTheme="minorEastAsia" w:cstheme="minorBidi"/>
          <w:sz w:val="22"/>
          <w:szCs w:val="22"/>
        </w:rPr>
      </w:pPr>
      <w:r>
        <w:t>10.6</w:t>
      </w:r>
      <w:r>
        <w:rPr>
          <w:rFonts w:eastAsiaTheme="minorEastAsia" w:cstheme="minorBidi"/>
          <w:sz w:val="22"/>
          <w:szCs w:val="22"/>
        </w:rPr>
        <w:tab/>
      </w:r>
      <w:r>
        <w:t>Aggregate Statistics</w:t>
      </w:r>
      <w:r>
        <w:tab/>
      </w:r>
      <w:r>
        <w:fldChar w:fldCharType="begin"/>
      </w:r>
      <w:r>
        <w:instrText xml:space="preserve"> PAGEREF _Toc364076547 \h </w:instrText>
      </w:r>
      <w:r>
        <w:fldChar w:fldCharType="separate"/>
      </w:r>
      <w:r>
        <w:t>89</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_Toc364076548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_Toc364076549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_Toc364076550 \h </w:instrText>
      </w:r>
      <w:r>
        <w:rPr>
          <w:noProof/>
        </w:rPr>
      </w:r>
      <w:r>
        <w:rPr>
          <w:noProof/>
        </w:rPr>
        <w:fldChar w:fldCharType="separate"/>
      </w:r>
      <w:r>
        <w:rPr>
          <w:noProof/>
        </w:rPr>
        <w:t>89</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_Toc364076551 \h </w:instrText>
      </w:r>
      <w:r>
        <w:rPr>
          <w:noProof/>
        </w:rPr>
      </w:r>
      <w:r>
        <w:rPr>
          <w:noProof/>
        </w:rPr>
        <w:fldChar w:fldCharType="separate"/>
      </w:r>
      <w:r>
        <w:rPr>
          <w:noProof/>
        </w:rPr>
        <w:t>90</w:t>
      </w:r>
      <w:r>
        <w:rPr>
          <w:noProof/>
        </w:rPr>
        <w:fldChar w:fldCharType="end"/>
      </w:r>
    </w:p>
    <w:p w:rsidR="00BD4BB5" w:rsidRDefault="00BD4BB5">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_Toc364076552 \h </w:instrText>
      </w:r>
      <w:r>
        <w:fldChar w:fldCharType="separate"/>
      </w:r>
      <w:r>
        <w:t>90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_Toc364076553 \h </w:instrText>
      </w:r>
      <w:r>
        <w:rPr>
          <w:noProof/>
        </w:rPr>
      </w:r>
      <w:r>
        <w:rPr>
          <w:noProof/>
        </w:rPr>
        <w:fldChar w:fldCharType="separate"/>
      </w:r>
      <w:r>
        <w:rPr>
          <w:noProof/>
        </w:rPr>
        <w:t>91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_Toc364076554 \h </w:instrText>
      </w:r>
      <w:r>
        <w:rPr>
          <w:noProof/>
        </w:rPr>
      </w:r>
      <w:r>
        <w:rPr>
          <w:noProof/>
        </w:rPr>
        <w:fldChar w:fldCharType="separate"/>
      </w:r>
      <w:r>
        <w:rPr>
          <w:noProof/>
        </w:rPr>
        <w:t>91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_Toc364076555 \h </w:instrText>
      </w:r>
      <w:r>
        <w:rPr>
          <w:noProof/>
        </w:rPr>
      </w:r>
      <w:r>
        <w:rPr>
          <w:noProof/>
        </w:rPr>
        <w:fldChar w:fldCharType="separate"/>
      </w:r>
      <w:r>
        <w:rPr>
          <w:noProof/>
        </w:rPr>
        <w:t>91</w:t>
      </w:r>
      <w:r>
        <w:rPr>
          <w:noProof/>
        </w:rPr>
        <w:fldChar w:fldCharType="end"/>
      </w:r>
    </w:p>
    <w:p w:rsidR="00BD4BB5" w:rsidRDefault="00BD4BB5">
      <w:pPr>
        <w:pStyle w:val="TOC3"/>
        <w:rPr>
          <w:rFonts w:eastAsiaTheme="minorEastAsia" w:cstheme="minorBidi"/>
          <w:sz w:val="22"/>
          <w:szCs w:val="22"/>
        </w:rPr>
      </w:pPr>
      <w:r>
        <w:t>10.8</w:t>
      </w:r>
      <w:r>
        <w:rPr>
          <w:rFonts w:eastAsiaTheme="minorEastAsia" w:cstheme="minorBidi"/>
          <w:sz w:val="22"/>
          <w:szCs w:val="22"/>
        </w:rPr>
        <w:tab/>
      </w:r>
      <w:r>
        <w:t>Consumption of Goods</w:t>
      </w:r>
      <w:r>
        <w:tab/>
      </w:r>
      <w:r>
        <w:fldChar w:fldCharType="begin"/>
      </w:r>
      <w:r>
        <w:instrText xml:space="preserve"> PAGEREF _Toc364076556 \h </w:instrText>
      </w:r>
      <w:r>
        <w:fldChar w:fldCharType="separate"/>
      </w:r>
      <w:r>
        <w:t>93</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_Toc364076557 \h </w:instrText>
      </w:r>
      <w:r>
        <w:rPr>
          <w:noProof/>
        </w:rPr>
      </w:r>
      <w:r>
        <w:rPr>
          <w:noProof/>
        </w:rPr>
        <w:fldChar w:fldCharType="separate"/>
      </w:r>
      <w:r>
        <w:rPr>
          <w:noProof/>
        </w:rPr>
        <w:t>93</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_Toc364076558 \h </w:instrText>
      </w:r>
      <w:r>
        <w:rPr>
          <w:noProof/>
        </w:rPr>
      </w:r>
      <w:r>
        <w:rPr>
          <w:noProof/>
        </w:rPr>
        <w:fldChar w:fldCharType="separate"/>
      </w:r>
      <w:r>
        <w:rPr>
          <w:noProof/>
        </w:rPr>
        <w:t>94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_Toc364076559 \h </w:instrText>
      </w:r>
      <w:r>
        <w:rPr>
          <w:noProof/>
        </w:rPr>
      </w:r>
      <w:r>
        <w:rPr>
          <w:noProof/>
        </w:rPr>
        <w:fldChar w:fldCharType="separate"/>
      </w:r>
      <w:r>
        <w:rPr>
          <w:noProof/>
        </w:rPr>
        <w:t>95</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_Toc364076560 \h </w:instrText>
      </w:r>
      <w:r>
        <w:rPr>
          <w:noProof/>
        </w:rPr>
      </w:r>
      <w:r>
        <w:rPr>
          <w:noProof/>
        </w:rPr>
        <w:fldChar w:fldCharType="separate"/>
      </w:r>
      <w:r>
        <w:rPr>
          <w:noProof/>
        </w:rPr>
        <w:t>96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_Toc364076561 \h </w:instrText>
      </w:r>
      <w:r>
        <w:rPr>
          <w:noProof/>
        </w:rPr>
      </w:r>
      <w:r>
        <w:rPr>
          <w:noProof/>
        </w:rPr>
        <w:fldChar w:fldCharType="separate"/>
      </w:r>
      <w:r>
        <w:rPr>
          <w:noProof/>
        </w:rPr>
        <w:t>96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_Toc364076562 \h </w:instrText>
      </w:r>
      <w:r>
        <w:rPr>
          <w:noProof/>
        </w:rPr>
      </w:r>
      <w:r>
        <w:rPr>
          <w:noProof/>
        </w:rPr>
        <w:fldChar w:fldCharType="separate"/>
      </w:r>
      <w:r>
        <w:rPr>
          <w:noProof/>
        </w:rPr>
        <w:t>98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_Toc364076563 \h </w:instrText>
      </w:r>
      <w:r>
        <w:rPr>
          <w:noProof/>
        </w:rPr>
      </w:r>
      <w:r>
        <w:rPr>
          <w:noProof/>
        </w:rPr>
        <w:fldChar w:fldCharType="separate"/>
      </w:r>
      <w:r>
        <w:rPr>
          <w:noProof/>
        </w:rPr>
        <w:t>98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_Toc364076564 \h </w:instrText>
      </w:r>
      <w:r>
        <w:rPr>
          <w:noProof/>
        </w:rPr>
      </w:r>
      <w:r>
        <w:rPr>
          <w:noProof/>
        </w:rPr>
        <w:fldChar w:fldCharType="separate"/>
      </w:r>
      <w:r>
        <w:rPr>
          <w:noProof/>
        </w:rPr>
        <w:t>100</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10.8.9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_Toc364076565 \h </w:instrText>
      </w:r>
      <w:r>
        <w:rPr>
          <w:noProof/>
        </w:rPr>
      </w:r>
      <w:r>
        <w:rPr>
          <w:noProof/>
        </w:rPr>
        <w:fldChar w:fldCharType="separate"/>
      </w:r>
      <w:r>
        <w:rPr>
          <w:noProof/>
        </w:rPr>
        <w:t>100</w:t>
      </w:r>
      <w:r>
        <w:rPr>
          <w:noProof/>
        </w:rPr>
        <w:fldChar w:fldCharType="end"/>
      </w:r>
    </w:p>
    <w:p w:rsidR="00BD4BB5" w:rsidRDefault="00BD4BB5">
      <w:pPr>
        <w:pStyle w:val="TOC2"/>
        <w:rPr>
          <w:rFonts w:eastAsiaTheme="minorEastAsia" w:cstheme="minorBidi"/>
          <w:sz w:val="22"/>
          <w:szCs w:val="22"/>
        </w:rPr>
      </w:pPr>
      <w:r>
        <w:lastRenderedPageBreak/>
        <w:t>11.</w:t>
      </w:r>
      <w:r>
        <w:rPr>
          <w:rFonts w:eastAsiaTheme="minorEastAsia" w:cstheme="minorBidi"/>
          <w:sz w:val="22"/>
          <w:szCs w:val="22"/>
        </w:rPr>
        <w:tab/>
      </w:r>
      <w:r>
        <w:t>Economics</w:t>
      </w:r>
      <w:r>
        <w:tab/>
      </w:r>
      <w:r>
        <w:fldChar w:fldCharType="begin"/>
      </w:r>
      <w:r>
        <w:instrText xml:space="preserve"> PAGEREF _Toc364076566 \h </w:instrText>
      </w:r>
      <w:r>
        <w:fldChar w:fldCharType="separate"/>
      </w:r>
      <w:r>
        <w:t>101</w:t>
      </w:r>
      <w:r>
        <w:fldChar w:fldCharType="end"/>
      </w:r>
    </w:p>
    <w:p w:rsidR="00BD4BB5" w:rsidRDefault="00BD4BB5">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_Toc364076567 \h </w:instrText>
      </w:r>
      <w:r>
        <w:fldChar w:fldCharType="separate"/>
      </w:r>
      <w:r>
        <w:t>101</w:t>
      </w:r>
      <w:r>
        <w:fldChar w:fldCharType="end"/>
      </w:r>
    </w:p>
    <w:p w:rsidR="00BD4BB5" w:rsidRDefault="00BD4BB5">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_Toc364076568 \h </w:instrText>
      </w:r>
      <w:r>
        <w:fldChar w:fldCharType="separate"/>
      </w:r>
      <w:r>
        <w:t>102</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_Toc364076569 \h </w:instrText>
      </w:r>
      <w:r>
        <w:rPr>
          <w:noProof/>
        </w:rPr>
      </w:r>
      <w:r>
        <w:rPr>
          <w:noProof/>
        </w:rPr>
        <w:fldChar w:fldCharType="separate"/>
      </w:r>
      <w:r>
        <w:rPr>
          <w:noProof/>
        </w:rPr>
        <w:t>104</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_Toc364076570 \h </w:instrText>
      </w:r>
      <w:r>
        <w:rPr>
          <w:noProof/>
        </w:rPr>
      </w:r>
      <w:r>
        <w:rPr>
          <w:noProof/>
        </w:rPr>
        <w:fldChar w:fldCharType="separate"/>
      </w:r>
      <w:r>
        <w:rPr>
          <w:noProof/>
        </w:rPr>
        <w:t>106</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_Toc364076571 \h </w:instrText>
      </w:r>
      <w:r>
        <w:rPr>
          <w:noProof/>
        </w:rPr>
      </w:r>
      <w:r>
        <w:rPr>
          <w:noProof/>
        </w:rPr>
        <w:fldChar w:fldCharType="separate"/>
      </w:r>
      <w:r>
        <w:rPr>
          <w:noProof/>
        </w:rPr>
        <w:t>107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_Toc364076572 \h </w:instrText>
      </w:r>
      <w:r>
        <w:rPr>
          <w:noProof/>
        </w:rPr>
      </w:r>
      <w:r>
        <w:rPr>
          <w:noProof/>
        </w:rPr>
        <w:fldChar w:fldCharType="separate"/>
      </w:r>
      <w:r>
        <w:rPr>
          <w:noProof/>
        </w:rPr>
        <w:t>108</w:t>
      </w:r>
      <w:r>
        <w:rPr>
          <w:noProof/>
        </w:rPr>
        <w:fldChar w:fldCharType="end"/>
      </w:r>
    </w:p>
    <w:p w:rsidR="00BD4BB5" w:rsidRDefault="00BD4BB5">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_Toc364076573 \h </w:instrText>
      </w:r>
      <w:r>
        <w:fldChar w:fldCharType="separate"/>
      </w:r>
      <w:r>
        <w:t>110</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_Toc364076574 \h </w:instrText>
      </w:r>
      <w:r>
        <w:rPr>
          <w:noProof/>
        </w:rPr>
      </w:r>
      <w:r>
        <w:rPr>
          <w:noProof/>
        </w:rPr>
        <w:fldChar w:fldCharType="separate"/>
      </w:r>
      <w:r>
        <w:rPr>
          <w:noProof/>
        </w:rPr>
        <w:t>111</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_Toc364076575 \h </w:instrText>
      </w:r>
      <w:r>
        <w:rPr>
          <w:noProof/>
        </w:rPr>
      </w:r>
      <w:r>
        <w:rPr>
          <w:noProof/>
        </w:rPr>
        <w:fldChar w:fldCharType="separate"/>
      </w:r>
      <w:r>
        <w:rPr>
          <w:noProof/>
        </w:rPr>
        <w:t>112</w:t>
      </w:r>
      <w:r>
        <w:rPr>
          <w:noProof/>
        </w:rPr>
        <w:fldChar w:fldCharType="end"/>
      </w:r>
    </w:p>
    <w:p w:rsidR="00BD4BB5" w:rsidRDefault="00BD4BB5">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_Toc364076576 \h </w:instrText>
      </w:r>
      <w:r>
        <w:fldChar w:fldCharType="separate"/>
      </w:r>
      <w:r>
        <w:t>114</w:t>
      </w:r>
      <w:r>
        <w:fldChar w:fldCharType="end"/>
      </w:r>
    </w:p>
    <w:p w:rsidR="00BD4BB5" w:rsidRDefault="00BD4BB5">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_Toc364076577 \h </w:instrText>
      </w:r>
      <w:r>
        <w:fldChar w:fldCharType="separate"/>
      </w:r>
      <w:r>
        <w:t>114</w:t>
      </w:r>
      <w:r>
        <w:fldChar w:fldCharType="end"/>
      </w:r>
    </w:p>
    <w:p w:rsidR="00BD4BB5" w:rsidRDefault="00BD4BB5">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_Toc364076578 \h </w:instrText>
      </w:r>
      <w:r>
        <w:fldChar w:fldCharType="separate"/>
      </w:r>
      <w:r>
        <w:t>115</w:t>
      </w:r>
      <w:r>
        <w:fldChar w:fldCharType="end"/>
      </w:r>
    </w:p>
    <w:p w:rsidR="00BD4BB5" w:rsidRDefault="00BD4BB5">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_Toc364076579 \h </w:instrText>
      </w:r>
      <w:r>
        <w:fldChar w:fldCharType="separate"/>
      </w:r>
      <w:r>
        <w:t>115</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_Toc364076580 \h </w:instrText>
      </w:r>
      <w:r>
        <w:rPr>
          <w:noProof/>
        </w:rPr>
      </w:r>
      <w:r>
        <w:rPr>
          <w:noProof/>
        </w:rPr>
        <w:fldChar w:fldCharType="separate"/>
      </w:r>
      <w:r>
        <w:rPr>
          <w:noProof/>
        </w:rPr>
        <w:t>116</w:t>
      </w:r>
      <w:r>
        <w:rPr>
          <w:noProof/>
        </w:rPr>
        <w:fldChar w:fldCharType="end"/>
      </w:r>
    </w:p>
    <w:p w:rsidR="00BD4BB5" w:rsidRDefault="00BD4BB5">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_Toc364076581 \h </w:instrText>
      </w:r>
      <w:r>
        <w:fldChar w:fldCharType="separate"/>
      </w:r>
      <w:r>
        <w:t>117</w:t>
      </w:r>
      <w:r>
        <w:fldChar w:fldCharType="end"/>
      </w:r>
    </w:p>
    <w:p w:rsidR="00BD4BB5" w:rsidRDefault="00BD4BB5">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_Toc364076582 \h </w:instrText>
      </w:r>
      <w:r>
        <w:fldChar w:fldCharType="separate"/>
      </w:r>
      <w:r>
        <w:t>118</w:t>
      </w:r>
      <w:r>
        <w:fldChar w:fldCharType="end"/>
      </w:r>
    </w:p>
    <w:p w:rsidR="00BD4BB5" w:rsidRDefault="00BD4BB5">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_Toc364076583 \h </w:instrText>
      </w:r>
      <w:r>
        <w:fldChar w:fldCharType="separate"/>
      </w:r>
      <w:r>
        <w:t>119</w:t>
      </w:r>
      <w:r>
        <w:fldChar w:fldCharType="end"/>
      </w:r>
    </w:p>
    <w:p w:rsidR="00BD4BB5" w:rsidRDefault="00BD4BB5">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_Toc364076584 \h </w:instrText>
      </w:r>
      <w:r>
        <w:fldChar w:fldCharType="separate"/>
      </w:r>
      <w:r>
        <w:t>119</w:t>
      </w:r>
      <w:r>
        <w:fldChar w:fldCharType="end"/>
      </w:r>
    </w:p>
    <w:p w:rsidR="00BD4BB5" w:rsidRDefault="00BD4BB5">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_Toc364076585 \h </w:instrText>
      </w:r>
      <w:r>
        <w:fldChar w:fldCharType="separate"/>
      </w:r>
      <w:r>
        <w:t>120</w:t>
      </w:r>
      <w:r>
        <w:fldChar w:fldCharType="end"/>
      </w:r>
    </w:p>
    <w:p w:rsidR="00BD4BB5" w:rsidRDefault="00BD4BB5">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_Toc364076586 \h </w:instrText>
      </w:r>
      <w:r>
        <w:fldChar w:fldCharType="separate"/>
      </w:r>
      <w:r>
        <w:t>121</w:t>
      </w:r>
      <w:r>
        <w:fldChar w:fldCharType="end"/>
      </w:r>
    </w:p>
    <w:p w:rsidR="00BD4BB5" w:rsidRDefault="00BD4BB5">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_Toc364076587 \h </w:instrText>
      </w:r>
      <w:r>
        <w:fldChar w:fldCharType="separate"/>
      </w:r>
      <w:r>
        <w:t>121</w:t>
      </w:r>
      <w:r>
        <w:fldChar w:fldCharType="end"/>
      </w:r>
    </w:p>
    <w:p w:rsidR="00BD4BB5" w:rsidRDefault="00BD4BB5">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_Toc364076588 \h </w:instrText>
      </w:r>
      <w:r>
        <w:fldChar w:fldCharType="separate"/>
      </w:r>
      <w:r>
        <w:t>121</w:t>
      </w:r>
      <w:r>
        <w:fldChar w:fldCharType="end"/>
      </w:r>
    </w:p>
    <w:p w:rsidR="00BD4BB5" w:rsidRDefault="00BD4BB5">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_Toc364076589 \h </w:instrText>
      </w:r>
      <w:r>
        <w:fldChar w:fldCharType="separate"/>
      </w:r>
      <w:r>
        <w:t>121</w:t>
      </w:r>
      <w:r>
        <w:fldChar w:fldCharType="end"/>
      </w:r>
    </w:p>
    <w:p w:rsidR="00BD4BB5" w:rsidRDefault="00BD4BB5">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_Toc364076590 \h </w:instrText>
      </w:r>
      <w:r>
        <w:fldChar w:fldCharType="separate"/>
      </w:r>
      <w:r>
        <w:t>122</w:t>
      </w:r>
      <w:r>
        <w:fldChar w:fldCharType="end"/>
      </w:r>
    </w:p>
    <w:p w:rsidR="00BD4BB5" w:rsidRDefault="00BD4BB5">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_Toc364076591 \h </w:instrText>
      </w:r>
      <w:r>
        <w:fldChar w:fldCharType="separate"/>
      </w:r>
      <w:r>
        <w:t>122</w:t>
      </w:r>
      <w:r>
        <w:fldChar w:fldCharType="end"/>
      </w:r>
    </w:p>
    <w:p w:rsidR="00BD4BB5" w:rsidRDefault="00BD4BB5">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_Toc364076592 \h </w:instrText>
      </w:r>
      <w:r>
        <w:fldChar w:fldCharType="separate"/>
      </w:r>
      <w:r>
        <w:t>122</w:t>
      </w:r>
      <w:r>
        <w:fldChar w:fldCharType="end"/>
      </w:r>
    </w:p>
    <w:p w:rsidR="00BD4BB5" w:rsidRDefault="00BD4BB5">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_Toc364076593 \h </w:instrText>
      </w:r>
      <w:r>
        <w:fldChar w:fldCharType="separate"/>
      </w:r>
      <w:r>
        <w:t>123</w:t>
      </w:r>
      <w:r>
        <w:fldChar w:fldCharType="end"/>
      </w:r>
    </w:p>
    <w:p w:rsidR="00BD4BB5" w:rsidRDefault="00BD4BB5">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_Toc364076594 \h </w:instrText>
      </w:r>
      <w:r>
        <w:fldChar w:fldCharType="separate"/>
      </w:r>
      <w:r>
        <w:t>124</w:t>
      </w:r>
      <w:r>
        <w:fldChar w:fldCharType="end"/>
      </w:r>
    </w:p>
    <w:p w:rsidR="00BD4BB5" w:rsidRDefault="00BD4BB5">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_Toc364076595 \h </w:instrText>
      </w:r>
      <w:r>
        <w:fldChar w:fldCharType="separate"/>
      </w:r>
      <w:r>
        <w:t>124</w:t>
      </w:r>
      <w:r>
        <w:fldChar w:fldCharType="end"/>
      </w:r>
    </w:p>
    <w:p w:rsidR="00BD4BB5" w:rsidRDefault="00BD4BB5">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_Toc364076596 \h </w:instrText>
      </w:r>
      <w:r>
        <w:fldChar w:fldCharType="separate"/>
      </w:r>
      <w:r>
        <w:t>125</w:t>
      </w:r>
      <w:r>
        <w:fldChar w:fldCharType="end"/>
      </w:r>
    </w:p>
    <w:p w:rsidR="00BD4BB5" w:rsidRDefault="00BD4BB5">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_Toc364076597 \h </w:instrText>
      </w:r>
      <w:r>
        <w:fldChar w:fldCharType="separate"/>
      </w:r>
      <w:r>
        <w:t>126</w:t>
      </w:r>
      <w: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_Toc364076598 \h </w:instrText>
      </w:r>
      <w:r>
        <w:rPr>
          <w:noProof/>
        </w:rPr>
      </w:r>
      <w:r>
        <w:rPr>
          <w:noProof/>
        </w:rPr>
        <w:fldChar w:fldCharType="separate"/>
      </w:r>
      <w:r>
        <w:rPr>
          <w:noProof/>
        </w:rPr>
        <w:t>127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_Toc364076599 \h </w:instrText>
      </w:r>
      <w:r>
        <w:rPr>
          <w:noProof/>
        </w:rPr>
      </w:r>
      <w:r>
        <w:rPr>
          <w:noProof/>
        </w:rPr>
        <w:fldChar w:fldCharType="separate"/>
      </w:r>
      <w:r>
        <w:rPr>
          <w:noProof/>
        </w:rPr>
        <w:t>127</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_Toc364076600 \h </w:instrText>
      </w:r>
      <w:r>
        <w:rPr>
          <w:noProof/>
        </w:rPr>
      </w:r>
      <w:r>
        <w:rPr>
          <w:noProof/>
        </w:rPr>
        <w:fldChar w:fldCharType="separate"/>
      </w:r>
      <w:r>
        <w:rPr>
          <w:noProof/>
        </w:rPr>
        <w:t>128</w:t>
      </w:r>
      <w:r>
        <w:rPr>
          <w:noProof/>
        </w:rPr>
        <w:fldChar w:fldCharType="end"/>
      </w:r>
    </w:p>
    <w:p w:rsidR="00BD4BB5" w:rsidRDefault="00BD4BB5">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_Toc364076601 \h </w:instrText>
      </w:r>
      <w:r>
        <w:rPr>
          <w:noProof/>
        </w:rPr>
      </w:r>
      <w:r>
        <w:rPr>
          <w:noProof/>
        </w:rPr>
        <w:fldChar w:fldCharType="separate"/>
      </w:r>
      <w:r>
        <w:rPr>
          <w:noProof/>
        </w:rPr>
        <w:t>129</w:t>
      </w:r>
      <w:r>
        <w:rPr>
          <w:noProof/>
        </w:rPr>
        <w:fldChar w:fldCharType="end"/>
      </w:r>
    </w:p>
    <w:p w:rsidR="00BD4BB5" w:rsidRDefault="00BD4BB5">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_Toc364076602 \h </w:instrText>
      </w:r>
      <w:r>
        <w:fldChar w:fldCharType="separate"/>
      </w:r>
      <w:r>
        <w:t>129</w:t>
      </w:r>
      <w:r>
        <w:fldChar w:fldCharType="end"/>
      </w:r>
    </w:p>
    <w:p w:rsidR="00BD4BB5" w:rsidRDefault="00BD4BB5">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_Toc364076603 \h </w:instrText>
      </w:r>
      <w:r>
        <w:rPr>
          <w:noProof/>
        </w:rPr>
      </w:r>
      <w:r>
        <w:rPr>
          <w:noProof/>
        </w:rPr>
        <w:fldChar w:fldCharType="separate"/>
      </w:r>
      <w:r>
        <w:rPr>
          <w:noProof/>
        </w:rPr>
        <w:t>132</w:t>
      </w:r>
      <w:r>
        <w:rPr>
          <w:noProof/>
        </w:rPr>
        <w:fldChar w:fldCharType="end"/>
      </w:r>
    </w:p>
    <w:p w:rsidR="00BD4BB5" w:rsidRDefault="00BD4BB5">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_Toc364076604 \h </w:instrText>
      </w:r>
      <w:r>
        <w:fldChar w:fldCharType="separate"/>
      </w:r>
      <w:r>
        <w:t>133</w:t>
      </w:r>
      <w:r>
        <w:fldChar w:fldCharType="end"/>
      </w:r>
    </w:p>
    <w:p w:rsidR="004D07B9" w:rsidRDefault="009F5549" w:rsidP="007F1C14">
      <w:pPr>
        <w:pStyle w:val="TOC3"/>
      </w:pPr>
      <w:r>
        <w:fldChar w:fldCharType="end"/>
      </w:r>
    </w:p>
    <w:p w:rsidR="009875C8" w:rsidRPr="009875C8" w:rsidRDefault="00B844AD" w:rsidP="00C41A13">
      <w:pPr>
        <w:pStyle w:val="Heading1"/>
      </w:pPr>
      <w:bookmarkStart w:id="1" w:name="_Ref339608700"/>
      <w:bookmarkStart w:id="2" w:name="_Toc364076399"/>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64076400"/>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9F5549">
        <w:fldChar w:fldCharType="begin"/>
      </w:r>
      <w:r>
        <w:instrText xml:space="preserve"> REF _Ref309649305 \r \h </w:instrText>
      </w:r>
      <w:r w:rsidR="009F5549">
        <w:fldChar w:fldCharType="separate"/>
      </w:r>
      <w:r w:rsidR="00D217C6">
        <w:t>2</w:t>
      </w:r>
      <w:r w:rsidR="009F5549">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64076401"/>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64076402"/>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Documentation in the "docs" directory include:</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64076403"/>
      <w:r>
        <w:t xml:space="preserve">Changes for Athena </w:t>
      </w:r>
      <w:bookmarkEnd w:id="10"/>
      <w:r w:rsidR="0020734C">
        <w:t>5</w:t>
      </w:r>
      <w:bookmarkEnd w:id="11"/>
    </w:p>
    <w:p w:rsidR="0020734C" w:rsidRDefault="008E0355" w:rsidP="0020734C">
      <w:r>
        <w:t>Athena 5 includes the following model changes:</w:t>
      </w:r>
    </w:p>
    <w:p w:rsidR="008E0355" w:rsidRDefault="008E0355" w:rsidP="0020734C"/>
    <w:p w:rsidR="008E0355" w:rsidRDefault="008E0355" w:rsidP="008E0355">
      <w:pPr>
        <w:pStyle w:val="ListParagraph"/>
        <w:numPr>
          <w:ilvl w:val="0"/>
          <w:numId w:val="68"/>
        </w:numPr>
      </w:pPr>
      <w:r>
        <w:t>Economics Model</w:t>
      </w:r>
    </w:p>
    <w:p w:rsidR="008E0355" w:rsidRDefault="008E0355" w:rsidP="008E0355">
      <w:pPr>
        <w:pStyle w:val="ListParagraph"/>
        <w:numPr>
          <w:ilvl w:val="1"/>
          <w:numId w:val="68"/>
        </w:numPr>
      </w:pPr>
      <w:r>
        <w:t>Instead of the "Long", "Medium", and "Short" views of the economy, we now speak more accurately of the "Unconstrained", "Capacity Constrained", and "Capacity Constrained with Security Factors".</w:t>
      </w:r>
    </w:p>
    <w:p w:rsidR="008E0355" w:rsidRDefault="008E0355" w:rsidP="008E0355">
      <w:pPr>
        <w:pStyle w:val="ListParagraph"/>
        <w:numPr>
          <w:ilvl w:val="1"/>
          <w:numId w:val="68"/>
        </w:numPr>
      </w:pPr>
      <w:r>
        <w:t>We calibrate the CGE's "Capacity Constrained" view to the base SAM data. The data and algorithms used to calibrate the CGE on scenario lock have been greatly improved.  In particular, the CGE's GDP and Unemployment Rate outputs match the base SAM.</w:t>
      </w:r>
    </w:p>
    <w:p w:rsidR="00525AD8" w:rsidRDefault="00525AD8" w:rsidP="008E0355">
      <w:pPr>
        <w:pStyle w:val="ListParagraph"/>
        <w:numPr>
          <w:ilvl w:val="1"/>
          <w:numId w:val="68"/>
        </w:numPr>
      </w:pPr>
      <w:r>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rsidR="00481FE6" w:rsidRDefault="00481FE6" w:rsidP="008E0355">
      <w:pPr>
        <w:pStyle w:val="ListParagraph"/>
        <w:numPr>
          <w:ilvl w:val="1"/>
          <w:numId w:val="68"/>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rsidR="00454C9C" w:rsidRDefault="00454C9C" w:rsidP="00454C9C"/>
    <w:p w:rsidR="00454C9C" w:rsidRDefault="00454C9C" w:rsidP="00454C9C">
      <w:pPr>
        <w:pStyle w:val="ListParagraph"/>
        <w:numPr>
          <w:ilvl w:val="0"/>
          <w:numId w:val="68"/>
        </w:numPr>
      </w:pPr>
      <w:r>
        <w:t>Population</w:t>
      </w:r>
    </w:p>
    <w:p w:rsidR="00454C9C" w:rsidRDefault="00454C9C" w:rsidP="00454C9C">
      <w:pPr>
        <w:pStyle w:val="ListParagraph"/>
        <w:numPr>
          <w:ilvl w:val="1"/>
          <w:numId w:val="68"/>
        </w:numPr>
      </w:pPr>
      <w:r>
        <w:t xml:space="preserve">Civilian groups can now be </w:t>
      </w:r>
      <w:r>
        <w:rPr>
          <w:i/>
        </w:rPr>
        <w:t>empty</w:t>
      </w:r>
      <w:r>
        <w:t>, i.e., they can have a zero population.</w:t>
      </w:r>
    </w:p>
    <w:p w:rsidR="00454C9C" w:rsidRDefault="00454C9C" w:rsidP="00454C9C">
      <w:pPr>
        <w:pStyle w:val="ListParagraph"/>
        <w:numPr>
          <w:ilvl w:val="1"/>
          <w:numId w:val="68"/>
        </w:numPr>
      </w:pPr>
      <w:r>
        <w:t>Population can be made to flow from one group to another, via the new FLOW tactic.  This can be used to model seasonal migration, displaced persons, immigration, and conversion of beliefs.</w:t>
      </w:r>
    </w:p>
    <w:p w:rsidR="00454C9C" w:rsidRDefault="00454C9C" w:rsidP="00454C9C">
      <w:pPr>
        <w:pStyle w:val="ListParagraph"/>
        <w:numPr>
          <w:ilvl w:val="1"/>
          <w:numId w:val="68"/>
        </w:numPr>
      </w:pPr>
      <w:r>
        <w:t>Populations can grow or shrink over time due to a group-specific population change rate.</w:t>
      </w:r>
    </w:p>
    <w:p w:rsidR="00454C9C" w:rsidRDefault="00454C9C" w:rsidP="00454C9C">
      <w:pPr>
        <w:pStyle w:val="ListParagraph"/>
        <w:numPr>
          <w:ilvl w:val="1"/>
          <w:numId w:val="68"/>
        </w:numPr>
      </w:pPr>
      <w:r>
        <w:t>Subsistence agriculture is now a group flag; a group is either part of the regional economy or it is not.</w:t>
      </w:r>
    </w:p>
    <w:p w:rsidR="00454C9C" w:rsidRDefault="00454C9C" w:rsidP="00454C9C">
      <w:pPr>
        <w:pStyle w:val="ListParagraph"/>
        <w:numPr>
          <w:ilvl w:val="1"/>
          <w:numId w:val="68"/>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rsidR="00454C9C" w:rsidRDefault="00454C9C" w:rsidP="00454C9C">
      <w:pPr>
        <w:pStyle w:val="ListParagraph"/>
        <w:numPr>
          <w:ilvl w:val="1"/>
          <w:numId w:val="68"/>
        </w:numPr>
      </w:pPr>
      <w:r>
        <w:t>Civilian attitudes are now affected by their consumption of goods, as represented in the CONSUMP rule set.  The UNEMP rule set was in part a proxy for consumption-based effects, and has been simplified.</w:t>
      </w:r>
    </w:p>
    <w:p w:rsidR="00922BB7" w:rsidRDefault="00922BB7" w:rsidP="00454C9C">
      <w:pPr>
        <w:pStyle w:val="ListParagraph"/>
        <w:numPr>
          <w:ilvl w:val="1"/>
          <w:numId w:val="68"/>
        </w:numPr>
      </w:pPr>
      <w:r>
        <w:lastRenderedPageBreak/>
        <w:t>The Labor Security Factor and Consumer Security Factor, two inputs to the CGE, are now properly documented in this guide.</w:t>
      </w:r>
    </w:p>
    <w:p w:rsidR="00454C9C" w:rsidRDefault="00454C9C" w:rsidP="00454C9C"/>
    <w:p w:rsidR="00454C9C" w:rsidRDefault="00454C9C" w:rsidP="00454C9C">
      <w:pPr>
        <w:pStyle w:val="ListParagraph"/>
        <w:numPr>
          <w:ilvl w:val="0"/>
          <w:numId w:val="70"/>
        </w:numPr>
      </w:pPr>
      <w:r>
        <w:t>Force and organization group personnel can now be deployed "without reinforcement".</w:t>
      </w:r>
    </w:p>
    <w:p w:rsidR="00922BB7" w:rsidRDefault="00454C9C" w:rsidP="00922BB7">
      <w:pPr>
        <w:pStyle w:val="ListParagraph"/>
        <w:numPr>
          <w:ilvl w:val="1"/>
          <w:numId w:val="70"/>
        </w:numPr>
      </w:pPr>
      <w:r>
        <w:t>Over a series of weeks, attrition can erode the number of forces deployed to a neighborhood.</w:t>
      </w:r>
      <w:r w:rsidR="000835BB">
        <w:t>d</w:t>
      </w:r>
    </w:p>
    <w:p w:rsidR="0020734C" w:rsidRDefault="0020734C" w:rsidP="0020734C">
      <w:pPr>
        <w:pStyle w:val="Heading3"/>
      </w:pPr>
      <w:bookmarkStart w:id="12" w:name="_Toc364076404"/>
      <w:r>
        <w:t>Changes for Athena 4</w:t>
      </w:r>
      <w:bookmarkEnd w:id="12"/>
    </w:p>
    <w:p w:rsidR="0020734C" w:rsidRDefault="0020734C" w:rsidP="0020734C">
      <w:r>
        <w:t>(</w:t>
      </w:r>
      <w:r w:rsidRPr="0020734C">
        <w:rPr>
          <w:i/>
        </w:rPr>
        <w:t>This section is retained for comparison.</w:t>
      </w:r>
      <w:r>
        <w:t>)</w:t>
      </w:r>
    </w:p>
    <w:p w:rsidR="0020734C" w:rsidRPr="0020734C" w:rsidRDefault="0020734C" w:rsidP="0020734C"/>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3" w:name="_Ref309649305"/>
      <w:bookmarkStart w:id="14" w:name="_Toc310421733"/>
      <w:bookmarkStart w:id="15" w:name="_Toc364076405"/>
      <w:r>
        <w:lastRenderedPageBreak/>
        <w:t>Athena Concepts</w:t>
      </w:r>
      <w:bookmarkEnd w:id="13"/>
      <w:bookmarkEnd w:id="14"/>
      <w:bookmarkEnd w:id="15"/>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9F5549">
        <w:fldChar w:fldCharType="begin"/>
      </w:r>
      <w:r w:rsidR="006467AF">
        <w:instrText xml:space="preserve"> REF _Ref316890631 \r \h </w:instrText>
      </w:r>
      <w:r w:rsidR="009F5549">
        <w:fldChar w:fldCharType="separate"/>
      </w:r>
      <w:r w:rsidR="00D217C6">
        <w:t>3</w:t>
      </w:r>
      <w:r w:rsidR="009F5549">
        <w:fldChar w:fldCharType="end"/>
      </w:r>
      <w:r>
        <w:t xml:space="preserve"> and following for the detailed models.</w:t>
      </w:r>
    </w:p>
    <w:p w:rsidR="002B6704" w:rsidRDefault="002B6704" w:rsidP="002B6704">
      <w:pPr>
        <w:pStyle w:val="Heading3"/>
      </w:pPr>
      <w:bookmarkStart w:id="16" w:name="_Toc310421734"/>
      <w:bookmarkStart w:id="17" w:name="_Toc364076406"/>
      <w:r>
        <w:t>Model Parameters</w:t>
      </w:r>
      <w:bookmarkEnd w:id="16"/>
      <w:bookmarkEnd w:id="17"/>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8" w:name="_Toc310421735"/>
      <w:bookmarkStart w:id="19" w:name="_Toc364076407"/>
      <w:r>
        <w:t>Simulated Time</w:t>
      </w:r>
      <w:bookmarkEnd w:id="18"/>
      <w:bookmarkEnd w:id="19"/>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20" w:name="_Toc310421736"/>
      <w:bookmarkStart w:id="21" w:name="_Toc364076408"/>
      <w:r>
        <w:t>Geography</w:t>
      </w:r>
      <w:bookmarkEnd w:id="20"/>
      <w:bookmarkEnd w:id="21"/>
    </w:p>
    <w:p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rsidR="002B6704" w:rsidRDefault="002B6704" w:rsidP="002B6704">
      <w:pPr>
        <w:pStyle w:val="Heading4"/>
      </w:pPr>
      <w:bookmarkStart w:id="22" w:name="_Toc310421737"/>
      <w:bookmarkStart w:id="23" w:name="_Toc364076409"/>
      <w:r w:rsidRPr="002B6704">
        <w:lastRenderedPageBreak/>
        <w:t>Neighborhoods</w:t>
      </w:r>
      <w:bookmarkEnd w:id="22"/>
      <w:bookmarkEnd w:id="23"/>
    </w:p>
    <w:p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rsidR="002B6704" w:rsidRDefault="002B6704" w:rsidP="002B6704"/>
    <w:p w:rsidR="002B6704" w:rsidRDefault="009F5549"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 strokeweight="0">
              <v:stroke joinstyle="miter"/>
              <v:formulas/>
              <v:path arrowok="t" o:connecttype="custom" o:connectlocs="968944,0;0,761741;968944,1523481;1937887,761741" o:connectangles="270,180,90,0" textboxrect="0,0,5384,4233"/>
              <v:textbox inset="2.49931mm,1.2497mm,2.49931mm,1.2497mm">
                <w:txbxContent>
                  <w:p w:rsidR="004A0845" w:rsidRDefault="004A0845"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4A0845" w:rsidRDefault="004A0845"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4A0845" w:rsidRDefault="004A0845"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4A0845" w:rsidRDefault="004A0845"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1mm,1.2497mm,2.49931mm,1.2497mm">
                <w:txbxContent>
                  <w:p w:rsidR="004A0845" w:rsidRDefault="004A0845"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1mm,1.2497mm,2.49931mm,1.2497mm">
                <w:txbxContent>
                  <w:p w:rsidR="004A0845" w:rsidRDefault="004A0845"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1mm,1.2497mm,2.49931mm,1.2497mm">
                <w:txbxContent>
                  <w:p w:rsidR="004A0845" w:rsidRDefault="004A0845"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1mm,1.2497mm,2.49931mm,1.2497mm">
                <w:txbxContent>
                  <w:p w:rsidR="004A0845" w:rsidRDefault="004A0845"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1mm,1.2497mm,2.49931mm,1.2497mm">
                <w:txbxContent>
                  <w:p w:rsidR="004A0845" w:rsidRDefault="004A0845"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4" w:name="_Toc310421738"/>
      <w:bookmarkStart w:id="25" w:name="_Toc364076410"/>
      <w:r>
        <w:lastRenderedPageBreak/>
        <w:t>Neighborhood Proximity</w:t>
      </w:r>
      <w:bookmarkEnd w:id="24"/>
      <w:bookmarkEnd w:id="25"/>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9F5549"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 strokeweight="0">
              <v:stroke joinstyle="miter"/>
              <v:formulas/>
              <v:path arrowok="t" o:connecttype="custom" o:connectlocs="968944,0;0,761741;968944,1523481;1937887,761741" o:connectangles="270,180,90,0" textboxrect="0,0,5384,4233"/>
              <v:textbox inset="2.49931mm,1.2497mm,2.49931mm,1.2497mm">
                <w:txbxContent>
                  <w:p w:rsidR="004A0845" w:rsidRDefault="004A0845"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 fillcolor="silver" strokeweight="0">
              <v:stroke joinstyle="miter"/>
              <v:formulas/>
              <v:path arrowok="t" o:connecttype="custom" o:connectlocs="321320,0;0,373670;321320,747339;642640,373670" o:connectangles="270,180,90,0" textboxrect="0,0,1786,2077"/>
              <v:textbox inset="2.49931mm,1.2497mm,2.49931mm,1.2497mm">
                <w:txbxContent>
                  <w:p w:rsidR="004A0845" w:rsidRDefault="004A0845"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 fillcolor="silver" strokeweight="0">
              <v:stroke joinstyle="miter"/>
              <v:formulas/>
              <v:path arrowok="t" o:connecttype="custom" o:connectlocs="364160,0;0,306918;364160,613836;728319,306918" o:connectangles="270,180,90,0" textboxrect="0,0,2024,1706"/>
              <v:textbox inset="2.49931mm,1.2497mm,2.49931mm,1.2497mm">
                <w:txbxContent>
                  <w:p w:rsidR="004A0845" w:rsidRDefault="004A0845"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 fillcolor="gray" strokeweight="0">
              <v:stroke joinstyle="miter"/>
              <v:formulas/>
              <v:path arrowok="t" o:connecttype="custom" o:connectlocs="178582,0;0,154625;178582,309250;357164,154625" o:connectangles="270,180,90,0" textboxrect="0,0,993,860"/>
              <v:textbox inset="2.49931mm,1.2497mm,2.49931mm,1.2497mm">
                <w:txbxContent>
                  <w:p w:rsidR="004A0845" w:rsidRDefault="004A0845"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1mm,1.2497mm,2.49931mm,1.2497mm">
                <w:txbxContent>
                  <w:p w:rsidR="004A0845" w:rsidRDefault="004A0845"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1mm,1.2497mm,2.49931mm,1.2497mm">
                <w:txbxContent>
                  <w:p w:rsidR="004A0845" w:rsidRDefault="004A0845"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1mm,1.2497mm,2.49931mm,1.2497mm">
                <w:txbxContent>
                  <w:p w:rsidR="004A0845" w:rsidRDefault="004A0845"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1mm,1.2497mm,2.49931mm,1.2497mm">
                <w:txbxContent>
                  <w:p w:rsidR="004A0845" w:rsidRDefault="004A0845"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1mm,1.2497mm,2.49931mm,1.2497mm">
                <w:txbxContent>
                  <w:p w:rsidR="004A0845" w:rsidRDefault="004A0845"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6" w:name="_Toc310421739"/>
      <w:bookmarkStart w:id="27" w:name="_Toc364076411"/>
      <w:r>
        <w:t>Local vs. Non-Local Neighborhoods</w:t>
      </w:r>
      <w:bookmarkEnd w:id="26"/>
      <w:bookmarkEnd w:id="27"/>
    </w:p>
    <w:p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rsidR="002B6704" w:rsidRDefault="002B6704" w:rsidP="001E49E9">
      <w:pPr>
        <w:pStyle w:val="Heading3"/>
      </w:pPr>
      <w:bookmarkStart w:id="28" w:name="_Ref309651430"/>
      <w:bookmarkStart w:id="29" w:name="_Toc310421740"/>
      <w:bookmarkStart w:id="30" w:name="_Toc364076412"/>
      <w:r>
        <w:t>Actors</w:t>
      </w:r>
      <w:bookmarkEnd w:id="28"/>
      <w:bookmarkEnd w:id="29"/>
      <w:bookmarkEnd w:id="30"/>
    </w:p>
    <w:p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1" w:name="_Toc310421741"/>
      <w:bookmarkStart w:id="32" w:name="_Toc364076413"/>
      <w:r>
        <w:t>Strategies: Goals, Tactics, and Conditions</w:t>
      </w:r>
      <w:bookmarkEnd w:id="31"/>
      <w:bookmarkEnd w:id="32"/>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3" w:name="_Toc310421742"/>
      <w:bookmarkStart w:id="34" w:name="_Toc364076414"/>
      <w:r>
        <w:t>Support, Influence, and Control</w:t>
      </w:r>
      <w:bookmarkEnd w:id="33"/>
      <w:bookmarkEnd w:id="34"/>
    </w:p>
    <w:p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9F5549">
        <w:fldChar w:fldCharType="begin"/>
      </w:r>
      <w:r w:rsidR="006467AF">
        <w:instrText xml:space="preserve"> REF _Ref316890632 \r \h </w:instrText>
      </w:r>
      <w:r w:rsidR="009F5549">
        <w:fldChar w:fldCharType="separate"/>
      </w:r>
      <w:r w:rsidR="00D217C6">
        <w:t>4</w:t>
      </w:r>
      <w:r w:rsidR="009F5549">
        <w:fldChar w:fldCharType="end"/>
      </w:r>
      <w:r>
        <w:t>.</w:t>
      </w:r>
    </w:p>
    <w:p w:rsidR="002B6704" w:rsidRDefault="002B6704" w:rsidP="001E49E9">
      <w:pPr>
        <w:pStyle w:val="Heading4"/>
      </w:pPr>
      <w:bookmarkStart w:id="35" w:name="_Toc310421743"/>
      <w:bookmarkStart w:id="36" w:name="_Toc364076415"/>
      <w:r>
        <w:t>Stability</w:t>
      </w:r>
      <w:bookmarkEnd w:id="35"/>
      <w:bookmarkEnd w:id="36"/>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7" w:name="_Toc310421744"/>
      <w:bookmarkStart w:id="38" w:name="_Toc364076416"/>
      <w:r>
        <w:t>Groups</w:t>
      </w:r>
      <w:bookmarkEnd w:id="37"/>
      <w:bookmarkEnd w:id="38"/>
    </w:p>
    <w:p w:rsidR="002B6704" w:rsidRDefault="002B6704" w:rsidP="001E49E9">
      <w:r>
        <w:t xml:space="preserve">The people in the playbox are divided into </w:t>
      </w:r>
      <w:r>
        <w:rPr>
          <w:i/>
          <w:iCs/>
        </w:rPr>
        <w:t>groups</w:t>
      </w:r>
      <w:r>
        <w:t>, of which there are three kinds: civilian groups, force groups, and organization groups.</w:t>
      </w:r>
    </w:p>
    <w:p w:rsidR="002B6704" w:rsidRDefault="002B6704" w:rsidP="001E49E9">
      <w:pPr>
        <w:pStyle w:val="Heading4"/>
      </w:pPr>
      <w:bookmarkStart w:id="39" w:name="_Toc310421745"/>
      <w:bookmarkStart w:id="40" w:name="_Toc364076417"/>
      <w:r>
        <w:t>Civilian Groups</w:t>
      </w:r>
      <w:bookmarkEnd w:id="39"/>
      <w:bookmarkEnd w:id="40"/>
    </w:p>
    <w:p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9F5549">
        <w:fldChar w:fldCharType="begin"/>
      </w:r>
      <w:r w:rsidR="00D90060">
        <w:instrText xml:space="preserve"> REF __RefHeading__11631_1190374725 \r \h </w:instrText>
      </w:r>
      <w:r w:rsidR="009F5549">
        <w:fldChar w:fldCharType="separate"/>
      </w:r>
      <w:r w:rsidR="00D217C6">
        <w:t>10</w:t>
      </w:r>
      <w:r w:rsidR="009F554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945875" w:rsidRDefault="00945875" w:rsidP="00771818"/>
    <w:p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rsidR="002B6704" w:rsidRDefault="002B6704" w:rsidP="001E49E9">
      <w:pPr>
        <w:pStyle w:val="Heading4"/>
      </w:pPr>
      <w:bookmarkStart w:id="41" w:name="_Toc310421746"/>
      <w:bookmarkStart w:id="42" w:name="_Toc364076418"/>
      <w:r>
        <w:t>Force Groups</w:t>
      </w:r>
      <w:bookmarkEnd w:id="41"/>
      <w:bookmarkEnd w:id="42"/>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3" w:name="_Ref309652671"/>
      <w:bookmarkStart w:id="44" w:name="_Toc310421747"/>
      <w:bookmarkStart w:id="45" w:name="_Toc364076419"/>
      <w:r w:rsidRPr="001E49E9">
        <w:t>Mobilization</w:t>
      </w:r>
      <w:r>
        <w:t xml:space="preserve">, </w:t>
      </w:r>
      <w:r w:rsidRPr="001E49E9">
        <w:t>Deployment</w:t>
      </w:r>
      <w:r>
        <w:t>, and Assignment</w:t>
      </w:r>
      <w:bookmarkEnd w:id="43"/>
      <w:bookmarkEnd w:id="44"/>
      <w:bookmarkEnd w:id="45"/>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6" w:name="_Toc310421748"/>
      <w:bookmarkStart w:id="47" w:name="_Toc364076420"/>
      <w:r>
        <w:t>Organization Groups</w:t>
      </w:r>
      <w:bookmarkEnd w:id="46"/>
      <w:bookmarkEnd w:id="47"/>
    </w:p>
    <w:p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rsidR="001E49E9" w:rsidRDefault="001E49E9" w:rsidP="001E49E9"/>
    <w:p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8" w:name="_Toc310421749"/>
      <w:bookmarkStart w:id="49" w:name="_Toc364076421"/>
      <w:r>
        <w:t>Force, Security, and Volatility</w:t>
      </w:r>
      <w:bookmarkEnd w:id="48"/>
      <w:bookmarkEnd w:id="49"/>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50" w:name="_Toc310421750"/>
      <w:bookmarkStart w:id="51" w:name="_Toc364076422"/>
      <w:r>
        <w:t>Modeling Areas</w:t>
      </w:r>
      <w:bookmarkEnd w:id="50"/>
      <w:bookmarkEnd w:id="51"/>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2" w:name="_Toc310421751"/>
      <w:bookmarkStart w:id="53" w:name="_Toc364076423"/>
      <w:r>
        <w:t>Ground</w:t>
      </w:r>
      <w:bookmarkEnd w:id="52"/>
      <w:bookmarkEnd w:id="53"/>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(actsits).</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(ensits)</w:t>
      </w:r>
    </w:p>
    <w:p w:rsidR="001E49E9" w:rsidRDefault="001E49E9" w:rsidP="00EA4D0B">
      <w:pPr>
        <w:pStyle w:val="ListParagraph"/>
        <w:numPr>
          <w:ilvl w:val="0"/>
          <w:numId w:val="13"/>
        </w:numPr>
      </w:pPr>
      <w:r>
        <w:t>Services</w:t>
      </w:r>
    </w:p>
    <w:p w:rsidR="002B6704" w:rsidRDefault="002B6704" w:rsidP="001E49E9">
      <w:pPr>
        <w:pStyle w:val="Heading4"/>
      </w:pPr>
      <w:bookmarkStart w:id="54" w:name="_Toc310421752"/>
      <w:bookmarkStart w:id="55" w:name="_Toc364076424"/>
      <w:r>
        <w:t>Demographics</w:t>
      </w:r>
      <w:bookmarkEnd w:id="54"/>
      <w:bookmarkEnd w:id="55"/>
    </w:p>
    <w:p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w:t>
      </w:r>
      <w:r w:rsidR="00945875">
        <w:lastRenderedPageBreak/>
        <w:t>flow to other groups in</w:t>
      </w:r>
      <w:r>
        <w:t xml:space="preserve">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rsidR="002B6704" w:rsidRDefault="002B6704" w:rsidP="001E49E9">
      <w:pPr>
        <w:pStyle w:val="Heading4"/>
      </w:pPr>
      <w:bookmarkStart w:id="56" w:name="__RefHeading__35345922"/>
      <w:bookmarkStart w:id="57" w:name="_Toc310421753"/>
      <w:bookmarkStart w:id="58" w:name="_Toc364076425"/>
      <w:r>
        <w:t>Attitudes</w:t>
      </w:r>
      <w:bookmarkEnd w:id="56"/>
      <w:bookmarkEnd w:id="57"/>
      <w:bookmarkEnd w:id="58"/>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945875" w:rsidRDefault="00945875" w:rsidP="001E49E9"/>
    <w:p w:rsidR="00945875" w:rsidRDefault="00945875" w:rsidP="001E49E9">
      <w:r>
        <w:t>Attitudes for empty civilian groups are fixed at their natural levels.</w:t>
      </w:r>
    </w:p>
    <w:p w:rsidR="001E49E9" w:rsidRDefault="001E49E9" w:rsidP="001E49E9">
      <w:pPr>
        <w:pStyle w:val="Heading4"/>
      </w:pPr>
      <w:bookmarkStart w:id="59" w:name="_Toc364076426"/>
      <w:r>
        <w:t>Politics</w:t>
      </w:r>
      <w:bookmarkEnd w:id="59"/>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60" w:name="_Toc310421754"/>
      <w:bookmarkStart w:id="61" w:name="_Toc364076427"/>
      <w:r>
        <w:t>Economics</w:t>
      </w:r>
      <w:bookmarkEnd w:id="60"/>
      <w:bookmarkEnd w:id="61"/>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2" w:name="_Toc364076428"/>
      <w:r>
        <w:lastRenderedPageBreak/>
        <w:t>Information</w:t>
      </w:r>
      <w:bookmarkEnd w:id="62"/>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t>Explicitly, when actors conduct information operations campaigns to change the attitudes of the civilian population.</w:t>
      </w:r>
      <w:r w:rsidR="00F34ED3">
        <w:t xml:space="preserve"> </w:t>
      </w:r>
    </w:p>
    <w:p w:rsidR="002B6704" w:rsidRDefault="002B6704" w:rsidP="00F34ED3">
      <w:pPr>
        <w:pStyle w:val="Heading3"/>
      </w:pPr>
      <w:bookmarkStart w:id="63" w:name="_Toc310421755"/>
      <w:bookmarkStart w:id="64" w:name="_Toc364076429"/>
      <w:r>
        <w:t>Simulation States and the Advancement of Time</w:t>
      </w:r>
      <w:bookmarkEnd w:id="63"/>
      <w:bookmarkEnd w:id="64"/>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Executes any scheduled events (i.e., ensit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lastRenderedPageBreak/>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5" w:name="_Toc310421756"/>
      <w:bookmarkStart w:id="66" w:name="_Ref316890631"/>
      <w:bookmarkStart w:id="67" w:name="_Ref341685117"/>
      <w:bookmarkStart w:id="68" w:name="_Ref341685118"/>
      <w:bookmarkStart w:id="69" w:name="_Toc364076430"/>
      <w:r>
        <w:lastRenderedPageBreak/>
        <w:t>Strategies and Strategy Execution</w:t>
      </w:r>
      <w:bookmarkEnd w:id="65"/>
      <w:bookmarkEnd w:id="66"/>
      <w:bookmarkEnd w:id="67"/>
      <w:bookmarkEnd w:id="68"/>
      <w:bookmarkEnd w:id="69"/>
    </w:p>
    <w:p w:rsidR="00A41624" w:rsidRDefault="00A41624" w:rsidP="00A41624">
      <w:r>
        <w:t>Section</w:t>
      </w:r>
      <w:r w:rsidR="00D90060">
        <w:t xml:space="preserve"> </w:t>
      </w:r>
      <w:r w:rsidR="009F5549">
        <w:fldChar w:fldCharType="begin"/>
      </w:r>
      <w:r>
        <w:instrText xml:space="preserve"> REF _Ref309651430 \r \h </w:instrText>
      </w:r>
      <w:r w:rsidR="009F5549">
        <w:fldChar w:fldCharType="separate"/>
      </w:r>
      <w:r w:rsidR="00D217C6">
        <w:t>2.4</w:t>
      </w:r>
      <w:r w:rsidR="009F5549">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70" w:name="_Toc310421757"/>
      <w:bookmarkStart w:id="71" w:name="_Toc364076431"/>
      <w:r>
        <w:t>Agents</w:t>
      </w:r>
      <w:bookmarkEnd w:id="70"/>
      <w:bookmarkEnd w:id="71"/>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9F5549">
        <w:fldChar w:fldCharType="begin"/>
      </w:r>
      <w:r>
        <w:instrText xml:space="preserve"> REF _Ref309651430 \r \h </w:instrText>
      </w:r>
      <w:r w:rsidR="009F5549">
        <w:fldChar w:fldCharType="separate"/>
      </w:r>
      <w:r w:rsidR="00D217C6">
        <w:t>2.4</w:t>
      </w:r>
      <w:r w:rsidR="009F5549">
        <w:fldChar w:fldCharType="end"/>
      </w:r>
      <w:r w:rsidR="00D90060">
        <w:t xml:space="preserve"> </w:t>
      </w:r>
      <w:r>
        <w:t>and below, and the “SYSTEM” agent.  In the future, civilian groups might also be agents.</w:t>
      </w:r>
    </w:p>
    <w:p w:rsidR="00A41624" w:rsidRDefault="00A41624" w:rsidP="00A41624">
      <w:pPr>
        <w:pStyle w:val="Heading4"/>
      </w:pPr>
      <w:bookmarkStart w:id="72" w:name="_Toc310421758"/>
      <w:bookmarkStart w:id="73" w:name="_Toc364076432"/>
      <w:r>
        <w:t>The SYSTEM Agent</w:t>
      </w:r>
      <w:bookmarkEnd w:id="72"/>
      <w:bookmarkEnd w:id="73"/>
    </w:p>
    <w:p w:rsidR="00A41624" w:rsidRPr="004651BF" w:rsidRDefault="00A41624" w:rsidP="00A41624">
      <w:r>
        <w:t xml:space="preserve">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w:t>
      </w:r>
      <w:r w:rsidR="00945875">
        <w:t>flowing</w:t>
      </w:r>
      <w:r>
        <w:t xml:space="preserve"> civilians </w:t>
      </w:r>
      <w:r w:rsidR="00945875">
        <w:t>in</w:t>
      </w:r>
      <w:r>
        <w:t xml:space="preserve">to other </w:t>
      </w:r>
      <w:r w:rsidR="00945875">
        <w:t>groups</w:t>
      </w:r>
      <w:r>
        <w:t>.  However, the SYSTEM agent is not an actor; it has no assets and plays no role in the politics of the region.</w:t>
      </w:r>
    </w:p>
    <w:p w:rsidR="00A41624" w:rsidRDefault="00A41624" w:rsidP="00A41624">
      <w:pPr>
        <w:pStyle w:val="Heading3"/>
      </w:pPr>
      <w:bookmarkStart w:id="74" w:name="_Ref309652343"/>
      <w:bookmarkStart w:id="75" w:name="_Toc310421759"/>
      <w:bookmarkStart w:id="76" w:name="_Toc364076433"/>
      <w:r>
        <w:t>Actors</w:t>
      </w:r>
      <w:bookmarkEnd w:id="74"/>
      <w:bookmarkEnd w:id="75"/>
      <w:bookmarkEnd w:id="76"/>
    </w:p>
    <w:p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7" w:name="_Toc310421760"/>
      <w:bookmarkStart w:id="78" w:name="_Toc364076434"/>
      <w:r>
        <w:t>Assets: Cash</w:t>
      </w:r>
      <w:bookmarkEnd w:id="77"/>
      <w:bookmarkEnd w:id="78"/>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9F5549">
        <w:fldChar w:fldCharType="begin"/>
      </w:r>
      <w:r w:rsidR="004A128D">
        <w:instrText xml:space="preserve"> REF _Ref340133761 \r \h </w:instrText>
      </w:r>
      <w:r w:rsidR="009F5549">
        <w:fldChar w:fldCharType="separate"/>
      </w:r>
      <w:r w:rsidR="00D217C6">
        <w:t>11.3.2</w:t>
      </w:r>
      <w:r w:rsidR="009F5549">
        <w:fldChar w:fldCharType="end"/>
      </w:r>
      <w:r w:rsidR="004A128D">
        <w:t xml:space="preserve"> for</w:t>
      </w:r>
      <w:r>
        <w:t xml:space="preserve"> details.</w:t>
      </w:r>
    </w:p>
    <w:p w:rsidR="00A41624" w:rsidRDefault="00A41624" w:rsidP="00A41624">
      <w:pPr>
        <w:pStyle w:val="Heading4"/>
      </w:pPr>
      <w:bookmarkStart w:id="79" w:name="_Toc310421761"/>
      <w:bookmarkStart w:id="80" w:name="_Toc364076435"/>
      <w:r>
        <w:t>Assets: Personnel</w:t>
      </w:r>
      <w:bookmarkEnd w:id="79"/>
      <w:bookmarkEnd w:id="80"/>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9F5549">
        <w:fldChar w:fldCharType="begin"/>
      </w:r>
      <w:r w:rsidR="005D5070">
        <w:instrText xml:space="preserve"> REF _Ref309652671 \r \h </w:instrText>
      </w:r>
      <w:r w:rsidR="009F5549">
        <w:fldChar w:fldCharType="separate"/>
      </w:r>
      <w:r w:rsidR="00D217C6">
        <w:t>2.5.2.1</w:t>
      </w:r>
      <w:r w:rsidR="009F5549">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1" w:name="_Toc364076436"/>
      <w:r>
        <w:t>Assets: Communications</w:t>
      </w:r>
      <w:bookmarkEnd w:id="81"/>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2" w:name="_Toc310421762"/>
      <w:bookmarkStart w:id="83" w:name="_Toc364076437"/>
      <w:r>
        <w:t>Conditions</w:t>
      </w:r>
      <w:bookmarkEnd w:id="82"/>
      <w:bookmarkEnd w:id="83"/>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r w:rsidRPr="0005327A">
        <w:rPr>
          <w:i/>
        </w:rPr>
        <w:t>a</w:t>
      </w:r>
      <w:r>
        <w:t>’s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4" w:name="_Toc310421763"/>
      <w:bookmarkStart w:id="85" w:name="_Toc364076438"/>
      <w:r>
        <w:lastRenderedPageBreak/>
        <w:t>Goals</w:t>
      </w:r>
      <w:bookmarkEnd w:id="84"/>
      <w:bookmarkEnd w:id="85"/>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6" w:name="_Toc310421764"/>
      <w:bookmarkStart w:id="87" w:name="_Toc364076439"/>
      <w:r>
        <w:t>Tactics</w:t>
      </w:r>
      <w:bookmarkEnd w:id="86"/>
      <w:bookmarkEnd w:id="87"/>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8" w:name="_Toc310421765"/>
      <w:bookmarkStart w:id="89" w:name="_Toc364076440"/>
      <w:r>
        <w:lastRenderedPageBreak/>
        <w:t>Strategy Execution</w:t>
      </w:r>
      <w:bookmarkEnd w:id="88"/>
      <w:bookmarkEnd w:id="89"/>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90" w:name="_Toc310421766"/>
      <w:bookmarkStart w:id="91" w:name="_Toc364076441"/>
      <w:r>
        <w:t>Working Data</w:t>
      </w:r>
      <w:bookmarkEnd w:id="90"/>
      <w:bookmarkEnd w:id="91"/>
    </w:p>
    <w:p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2" w:name="_Toc310421767"/>
      <w:bookmarkStart w:id="93" w:name="_Toc364076442"/>
      <w:r>
        <w:t>Roads Not Taken</w:t>
      </w:r>
      <w:bookmarkEnd w:id="92"/>
      <w:bookmarkEnd w:id="93"/>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4" w:name="_Toc310421768"/>
      <w:bookmarkStart w:id="95" w:name="_Toc364076443"/>
      <w:r>
        <w:t>Goal Extensions</w:t>
      </w:r>
      <w:bookmarkEnd w:id="94"/>
      <w:bookmarkEnd w:id="95"/>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6" w:name="_Toc310421769"/>
      <w:bookmarkStart w:id="97" w:name="_Toc364076444"/>
      <w:r>
        <w:t>Goal Prioritization</w:t>
      </w:r>
      <w:bookmarkEnd w:id="96"/>
      <w:bookmarkEnd w:id="97"/>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r>
        <w:rPr>
          <w:i/>
          <w:iCs/>
        </w:rPr>
        <w:t>a'</w:t>
      </w:r>
      <w:r>
        <w:t xml:space="preserve">s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r>
        <w:rPr>
          <w:i/>
          <w:iCs/>
        </w:rPr>
        <w:t>a</w:t>
      </w:r>
      <w:r>
        <w:t xml:space="preserve">'s resources by </w:t>
      </w:r>
      <w:r>
        <w:rPr>
          <w:i/>
          <w:iCs/>
        </w:rPr>
        <w:t>T'</w:t>
      </w:r>
      <w:r>
        <w:t>s cost.</w:t>
      </w:r>
    </w:p>
    <w:p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8" w:name="_Toc310421770"/>
      <w:bookmarkStart w:id="99" w:name="_Ref316890632"/>
      <w:bookmarkStart w:id="100" w:name="_Toc364076445"/>
      <w:r>
        <w:lastRenderedPageBreak/>
        <w:t>Relationships and Control</w:t>
      </w:r>
      <w:bookmarkEnd w:id="98"/>
      <w:bookmarkEnd w:id="99"/>
      <w:bookmarkEnd w:id="100"/>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1" w:name="_Toc310421771"/>
      <w:bookmarkStart w:id="102" w:name="_Ref339611827"/>
      <w:bookmarkStart w:id="103" w:name="_Toc364076446"/>
      <w:r>
        <w:t>Relationships and Affinity</w:t>
      </w:r>
      <w:bookmarkEnd w:id="101"/>
      <w:bookmarkEnd w:id="102"/>
      <w:bookmarkEnd w:id="103"/>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r>
              <w:rPr>
                <w:i/>
              </w:rPr>
              <w:t>a</w:t>
            </w:r>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4" w:name="_Toc310421772"/>
      <w:bookmarkStart w:id="105" w:name="_Toc364076447"/>
      <w:r>
        <w:lastRenderedPageBreak/>
        <w:t>Horizontal Relationships</w:t>
      </w:r>
      <w:bookmarkEnd w:id="104"/>
      <w:bookmarkEnd w:id="105"/>
    </w:p>
    <w:p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6" w:name="_Toc310421773"/>
      <w:bookmarkStart w:id="107" w:name="_Toc364076448"/>
      <w:r>
        <w:t>Force and Organization Group Affinities</w:t>
      </w:r>
      <w:bookmarkEnd w:id="106"/>
      <w:bookmarkEnd w:id="107"/>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rsidR="00502610" w:rsidRDefault="00502610" w:rsidP="00502610">
      <w:pPr>
        <w:pStyle w:val="Heading4"/>
      </w:pPr>
      <w:bookmarkStart w:id="108" w:name="_Toc310421774"/>
      <w:bookmarkStart w:id="109" w:name="_Toc364076449"/>
      <w:r>
        <w:t>Computing Horizontal Relationships</w:t>
      </w:r>
      <w:bookmarkEnd w:id="108"/>
      <w:bookmarkEnd w:id="109"/>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9F5549"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10" w:name="_Ref174775754"/>
      <w:bookmarkStart w:id="111" w:name="_Toc310421775"/>
      <w:bookmarkStart w:id="112" w:name="_Toc364076450"/>
      <w:r>
        <w:t>Vertical Relationship</w:t>
      </w:r>
      <w:bookmarkEnd w:id="110"/>
      <w:r>
        <w:t>s</w:t>
      </w:r>
      <w:bookmarkEnd w:id="111"/>
      <w:bookmarkEnd w:id="112"/>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3" w:name="_Toc364076451"/>
      <w:r>
        <w:t>Baseline Vertical Relationships</w:t>
      </w:r>
      <w:bookmarkEnd w:id="113"/>
    </w:p>
    <w:p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rsidR="007C6DC9" w:rsidRDefault="007C6DC9" w:rsidP="007C6DC9"/>
    <w:p w:rsidR="007C6DC9" w:rsidRPr="007C6DC9" w:rsidRDefault="009F5549"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9F5549"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4" w:name="_Toc310421784"/>
      <w:bookmarkStart w:id="115" w:name="_Toc364076452"/>
      <w:r>
        <w:t>Actor Support and Influence</w:t>
      </w:r>
      <w:bookmarkEnd w:id="114"/>
      <w:bookmarkEnd w:id="115"/>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6" w:name="_Toc310421785"/>
      <w:bookmarkStart w:id="117" w:name="_Toc364076453"/>
      <w:r>
        <w:lastRenderedPageBreak/>
        <w:t>Direct vs. Derived Support</w:t>
      </w:r>
      <w:bookmarkEnd w:id="116"/>
      <w:bookmarkEnd w:id="117"/>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8" w:name="_Toc310421786"/>
      <w:bookmarkStart w:id="119" w:name="_Toc364076454"/>
      <w:r>
        <w:t>Direct Support</w:t>
      </w:r>
      <w:bookmarkEnd w:id="118"/>
      <w:bookmarkEnd w:id="119"/>
    </w:p>
    <w:p w:rsidR="00744469" w:rsidRDefault="00502610" w:rsidP="00FF0D58">
      <w:r>
        <w:t xml:space="preserve">Actor </w:t>
      </w:r>
      <w:r>
        <w:rPr>
          <w:i/>
        </w:rPr>
        <w:t>a’</w:t>
      </w:r>
      <w:r>
        <w:t xml:space="preserve">s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9F5549">
        <w:fldChar w:fldCharType="begin"/>
      </w:r>
      <w:r>
        <w:instrText xml:space="preserve"> REF _Ref339455549 \r \h </w:instrText>
      </w:r>
      <w:r w:rsidR="009F5549">
        <w:fldChar w:fldCharType="separate"/>
      </w:r>
      <w:r w:rsidR="00D217C6">
        <w:t>5</w:t>
      </w:r>
      <w:r w:rsidR="009F5549">
        <w:fldChar w:fldCharType="end"/>
      </w:r>
      <w:r>
        <w:t>)</w:t>
      </w:r>
    </w:p>
    <w:p w:rsidR="00744469" w:rsidRDefault="00744469" w:rsidP="00744469"/>
    <w:p w:rsidR="00502610" w:rsidRDefault="00502610" w:rsidP="00744469">
      <w:r>
        <w:t>Thus,</w:t>
      </w:r>
    </w:p>
    <w:p w:rsidR="00502610" w:rsidRDefault="00502610" w:rsidP="00502610"/>
    <w:p w:rsidR="00502610" w:rsidRPr="00314031" w:rsidRDefault="009F5549"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r>
        <w:t>where</w:t>
      </w:r>
    </w:p>
    <w:p w:rsidR="00502610" w:rsidRDefault="00502610" w:rsidP="00502610"/>
    <w:p w:rsidR="00502610" w:rsidRPr="00A06820" w:rsidRDefault="009F5549"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rsidR="00502610" w:rsidRDefault="009F554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9F554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9F554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9F554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9F5549"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9F5549"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20" w:name="_Toc310421787"/>
      <w:bookmarkStart w:id="121" w:name="_Toc364076455"/>
      <w:r>
        <w:t>Derived Support</w:t>
      </w:r>
      <w:bookmarkEnd w:id="120"/>
      <w:bookmarkEnd w:id="121"/>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2" w:name="_Toc310421788"/>
      <w:bookmarkStart w:id="123" w:name="_Toc364076456"/>
      <w:r>
        <w:t>Total Support</w:t>
      </w:r>
      <w:bookmarkEnd w:id="122"/>
      <w:bookmarkEnd w:id="123"/>
    </w:p>
    <w:p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9F5549"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m:t>
            </m:r>
            <m:r>
              <w:rPr>
                <w:rFonts w:ascii="Cambria Math" w:hAnsi="Cambria Math"/>
              </w:rPr>
              <m:t>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4" w:name="_Toc310421789"/>
      <w:bookmarkStart w:id="125" w:name="_Toc364076457"/>
      <w:r>
        <w:t>Influence</w:t>
      </w:r>
      <w:bookmarkEnd w:id="124"/>
      <w:bookmarkEnd w:id="125"/>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m:t>
        </m:r>
        <m:r>
          <w:rPr>
            <w:rFonts w:ascii="Cambria Math" w:hAnsi="Cambria Math"/>
          </w:rPr>
          <m:t>shold</m:t>
        </m:r>
      </m:oMath>
      <w:r>
        <w:t xml:space="preserve">.  Actor </w:t>
      </w:r>
      <w:r>
        <w:rPr>
          <w:i/>
        </w:rPr>
        <w:t>a</w:t>
      </w:r>
      <w:r>
        <w:t xml:space="preserve">’s influence in neighborhood </w:t>
      </w:r>
      <w:r>
        <w:rPr>
          <w:i/>
        </w:rPr>
        <w:t>n</w:t>
      </w:r>
      <w:r>
        <w:t xml:space="preserve"> is then</w:t>
      </w:r>
    </w:p>
    <w:p w:rsidR="00B147AC" w:rsidRDefault="00B147AC" w:rsidP="00B147AC"/>
    <w:p w:rsidR="00502610" w:rsidRPr="00300366" w:rsidRDefault="009F5549"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6" w:name="_Toc310421790"/>
      <w:bookmarkStart w:id="127" w:name="_Toc364076458"/>
      <w:r>
        <w:t>Control of a Neighborhood</w:t>
      </w:r>
      <w:bookmarkEnd w:id="126"/>
      <w:bookmarkEnd w:id="127"/>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9F5549">
        <w:fldChar w:fldCharType="begin"/>
      </w:r>
      <w:r>
        <w:instrText xml:space="preserve"> REF _Ref174775754 \r \h </w:instrText>
      </w:r>
      <w:r w:rsidR="009F5549">
        <w:fldChar w:fldCharType="separate"/>
      </w:r>
      <w:r w:rsidR="00D217C6">
        <w:t>4.3</w:t>
      </w:r>
      <w:r w:rsidR="009F554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8" w:name="_Toc310421791"/>
      <w:bookmarkStart w:id="129" w:name="_Toc364076459"/>
      <w:r>
        <w:t>When Control Shifts</w:t>
      </w:r>
      <w:bookmarkEnd w:id="128"/>
      <w:bookmarkEnd w:id="129"/>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30" w:name="_Toc310421792"/>
      <w:bookmarkStart w:id="131" w:name="_Ref339455549"/>
      <w:bookmarkStart w:id="132" w:name="_Toc364076460"/>
      <w:r>
        <w:lastRenderedPageBreak/>
        <w:t>Force Analysis</w:t>
      </w:r>
      <w:bookmarkEnd w:id="130"/>
      <w:bookmarkEnd w:id="131"/>
      <w:bookmarkEnd w:id="132"/>
    </w:p>
    <w:p w:rsidR="00F73DC8" w:rsidRPr="00F73DC8" w:rsidRDefault="00F73DC8" w:rsidP="00F73DC8">
      <w:pPr>
        <w:pStyle w:val="Heading3"/>
      </w:pPr>
      <w:bookmarkStart w:id="133" w:name="_Toc364076461"/>
      <w:r>
        <w:t>Overview</w:t>
      </w:r>
      <w:bookmarkEnd w:id="133"/>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4" w:name="_Toc364076462"/>
      <w:r>
        <w:t>Changes in Athena 4</w:t>
      </w:r>
      <w:bookmarkEnd w:id="134"/>
    </w:p>
    <w:p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rsidR="00F73DC8" w:rsidRDefault="00F73DC8" w:rsidP="00F73DC8"/>
    <w:p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5" w:name="_Toc364076463"/>
      <w:r>
        <w:t>Force Group Stance</w:t>
      </w:r>
      <w:r w:rsidR="00F73DC8">
        <w:t xml:space="preserve"> and Effective Relationships</w:t>
      </w:r>
      <w:bookmarkEnd w:id="135"/>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6" w:name="_Toc364076464"/>
      <w:r>
        <w:lastRenderedPageBreak/>
        <w:t>Stance</w:t>
      </w:r>
      <w:bookmarkEnd w:id="136"/>
    </w:p>
    <w:p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7" w:name="_Toc364076465"/>
      <w:r>
        <w:t>Effect of Attacking ROEs</w:t>
      </w:r>
      <w:bookmarkEnd w:id="137"/>
    </w:p>
    <w:p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9F5549"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rsidR="00F73DC8" w:rsidRDefault="00F73DC8" w:rsidP="008F4412"/>
    <w:p w:rsidR="00F73DC8" w:rsidRDefault="00F73DC8" w:rsidP="008F4412">
      <w:r>
        <w:t xml:space="preserve">See Section </w:t>
      </w:r>
      <w:r w:rsidR="009F5549">
        <w:fldChar w:fldCharType="begin"/>
      </w:r>
      <w:r>
        <w:instrText xml:space="preserve"> REF _Ref339521624 \r \h </w:instrText>
      </w:r>
      <w:r w:rsidR="009F5549">
        <w:fldChar w:fldCharType="separate"/>
      </w:r>
      <w:r w:rsidR="00D217C6">
        <w:t>9</w:t>
      </w:r>
      <w:r w:rsidR="009F5549">
        <w:fldChar w:fldCharType="end"/>
      </w:r>
      <w:r>
        <w:t xml:space="preserve"> for more on ROEs and the Athena Attrition Model.</w:t>
      </w:r>
    </w:p>
    <w:p w:rsidR="008F4412" w:rsidRDefault="008F4412" w:rsidP="008F4412"/>
    <w:p w:rsidR="008F4412" w:rsidRDefault="008F4412" w:rsidP="00F73DC8">
      <w:pPr>
        <w:pStyle w:val="Heading4"/>
      </w:pPr>
      <w:bookmarkStart w:id="138" w:name="_Ref339522391"/>
      <w:bookmarkStart w:id="139" w:name="_Toc364076466"/>
      <w:r>
        <w:t>Group Discipline</w:t>
      </w:r>
      <w:bookmarkEnd w:id="138"/>
      <w:bookmarkEnd w:id="139"/>
    </w:p>
    <w:p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9F5549"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9F5549"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40" w:name="_Ref332872025"/>
      <w:bookmarkStart w:id="141" w:name="_Toc364076467"/>
      <w:r>
        <w:t>Effective Relationships</w:t>
      </w:r>
      <w:bookmarkEnd w:id="140"/>
      <w:bookmarkEnd w:id="141"/>
    </w:p>
    <w:p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9F5549"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2" w:name="_Ref339523218"/>
      <w:bookmarkStart w:id="143" w:name="_Toc364076468"/>
      <w:r>
        <w:lastRenderedPageBreak/>
        <w:t>Background Criminal Activity</w:t>
      </w:r>
      <w:bookmarkEnd w:id="142"/>
      <w:bookmarkEnd w:id="143"/>
    </w:p>
    <w:p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4" w:name="_Toc364076469"/>
      <w:r>
        <w:t>Law Enforcement Personnel</w:t>
      </w:r>
      <w:bookmarkEnd w:id="144"/>
    </w:p>
    <w:p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Each member of an actual police group counts fully; members of other group types count less.</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9F5549">
        <w:fldChar w:fldCharType="begin"/>
      </w:r>
      <w:r>
        <w:instrText xml:space="preserve"> REF _Ref339522391 \r \h </w:instrText>
      </w:r>
      <w:r w:rsidR="009F5549">
        <w:fldChar w:fldCharType="separate"/>
      </w:r>
      <w:r w:rsidR="00D217C6">
        <w:t>5.2.3</w:t>
      </w:r>
      <w:r w:rsidR="009F5549">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9F5549"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5" w:name="_Toc364076470"/>
      <w:r>
        <w:t>Suppression of Criminal Activity</w:t>
      </w:r>
      <w:bookmarkEnd w:id="145"/>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rsidR="00F72DE2" w:rsidRDefault="00F72DE2" w:rsidP="00F72DE2">
      <w:pPr>
        <w:pStyle w:val="Heading4"/>
      </w:pPr>
      <w:bookmarkStart w:id="146" w:name="_Toc364076471"/>
      <w:r>
        <w:t>Nominal Criminal Fraction</w:t>
      </w:r>
      <w:bookmarkEnd w:id="146"/>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rsidR="00F72DE2" w:rsidRDefault="00F72DE2" w:rsidP="00F72DE2"/>
    <w:p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7" w:name="_Toc364076472"/>
      <w:r>
        <w:t>Actual Criminal Fraction</w:t>
      </w:r>
      <w:bookmarkEnd w:id="147"/>
    </w:p>
    <w:p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9F5549"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r>
        <w:t>where</w:t>
      </w:r>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9F5549"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9F5549"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9F5549"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9F5549"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8" w:name="_Toc310421793"/>
      <w:bookmarkStart w:id="149" w:name="_Toc364076473"/>
      <w:r>
        <w:lastRenderedPageBreak/>
        <w:t>Measuring Force</w:t>
      </w:r>
      <w:bookmarkEnd w:id="148"/>
      <w:bookmarkEnd w:id="149"/>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50" w:name="_Toc364076474"/>
      <w:r>
        <w:t>A Group's Own Force</w:t>
      </w:r>
      <w:bookmarkEnd w:id="150"/>
    </w:p>
    <w:p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9F5549"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r>
        <w:t>where</w:t>
      </w:r>
    </w:p>
    <w:p w:rsidR="009F4E0C" w:rsidRDefault="009F4E0C" w:rsidP="001D79EC"/>
    <w:p w:rsidR="009F4E0C" w:rsidRDefault="009F5549"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9F5549"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1" w:name="_Toc364076475"/>
      <w:r>
        <w:t>Civilian Group Force</w:t>
      </w:r>
      <w:bookmarkEnd w:id="151"/>
    </w:p>
    <w:p w:rsidR="001D79EC" w:rsidRDefault="009F4E0C" w:rsidP="001D79EC">
      <w:r>
        <w:t>The own force of a civilian group is defined to be</w:t>
      </w:r>
    </w:p>
    <w:p w:rsidR="009F4E0C" w:rsidRDefault="009F4E0C" w:rsidP="001D79EC"/>
    <w:p w:rsidR="001D79EC" w:rsidRPr="001D79EC" w:rsidRDefault="009F5549"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r>
        <w:t>where</w:t>
      </w:r>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9F5549"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9F5549"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rsidR="001D79EC" w:rsidRDefault="009F5549"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9F5549"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9F5549"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2" w:name="_Toc364076476"/>
      <w:r>
        <w:t>Organization Group Force</w:t>
      </w:r>
      <w:bookmarkEnd w:id="152"/>
    </w:p>
    <w:p w:rsidR="003C07F5" w:rsidRDefault="003C07F5" w:rsidP="003C07F5">
      <w:r>
        <w:t>The own force of an organization group is defined to be</w:t>
      </w:r>
    </w:p>
    <w:p w:rsidR="003C07F5" w:rsidRDefault="003C07F5" w:rsidP="003C07F5"/>
    <w:p w:rsidR="003C07F5" w:rsidRPr="001D79EC" w:rsidRDefault="009F5549"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9F5549"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9F5549"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9F5549"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3" w:name="_Toc364076477"/>
      <w:r>
        <w:lastRenderedPageBreak/>
        <w:t>Force Group Force</w:t>
      </w:r>
      <w:bookmarkEnd w:id="153"/>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9F5549"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r>
        <w:t>where</w:t>
      </w:r>
    </w:p>
    <w:p w:rsidR="003C07F5" w:rsidRDefault="003C07F5" w:rsidP="003C07F5"/>
    <w:p w:rsidR="003C07F5" w:rsidRDefault="009F5549"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9F5549"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9F5549">
        <w:fldChar w:fldCharType="begin"/>
      </w:r>
      <w:r>
        <w:instrText xml:space="preserve"> REF __RefHeading__30424212 \r \h </w:instrText>
      </w:r>
      <w:r w:rsidR="009F5549">
        <w:fldChar w:fldCharType="separate"/>
      </w:r>
      <w:r w:rsidR="00D217C6">
        <w:t>6</w:t>
      </w:r>
      <w:r w:rsidR="009F5549">
        <w:fldChar w:fldCharType="end"/>
      </w:r>
      <w:r>
        <w:t>).</w:t>
      </w:r>
    </w:p>
    <w:p w:rsidR="001A341C" w:rsidRPr="001A341C" w:rsidRDefault="009F5549"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9F5549"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4" w:name="_Toc364076478"/>
      <w:r>
        <w:t>Non-Criminal and Criminal Force</w:t>
      </w:r>
      <w:bookmarkEnd w:id="154"/>
    </w:p>
    <w:p w:rsidR="004C4DE0" w:rsidRDefault="004C4DE0" w:rsidP="004C4DE0">
      <w:r>
        <w:t xml:space="preserve">As stated in Section </w:t>
      </w:r>
      <w:r w:rsidR="009F5549">
        <w:fldChar w:fldCharType="begin"/>
      </w:r>
      <w:r>
        <w:instrText xml:space="preserve"> REF _Ref339523218 \r \h </w:instrText>
      </w:r>
      <w:r w:rsidR="009F5549">
        <w:fldChar w:fldCharType="separate"/>
      </w:r>
      <w:r w:rsidR="00D217C6">
        <w:t>5.3</w:t>
      </w:r>
      <w:r w:rsidR="009F554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9F5549"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For civilian groups, the actual criminal fraction are unsuppressed criminals; the remainder are (possibly reluctantly) law-abiding.  Thus, we define</w:t>
      </w:r>
    </w:p>
    <w:p w:rsidR="004C4DE0" w:rsidRDefault="004C4DE0" w:rsidP="004C4DE0"/>
    <w:p w:rsidR="004C4DE0" w:rsidRDefault="009F5549"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5" w:name="_Toc364076479"/>
      <w:r>
        <w:t>Friends and Enemies</w:t>
      </w:r>
      <w:bookmarkEnd w:id="155"/>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rsidR="00E82B24" w:rsidRDefault="00E82B24" w:rsidP="001D79EC">
      <w:pPr>
        <w:rPr>
          <w:b/>
          <w:bCs/>
        </w:rPr>
      </w:pPr>
    </w:p>
    <w:p w:rsidR="001D79EC" w:rsidRPr="001D79EC" w:rsidRDefault="009F554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9F554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9F5549"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9F5549"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9F5549"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9F5549"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9F5549"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6" w:name="_Toc310421794"/>
      <w:bookmarkStart w:id="157" w:name="_Toc364076480"/>
      <w:r>
        <w:t>Volatility</w:t>
      </w:r>
      <w:bookmarkEnd w:id="156"/>
      <w:bookmarkEnd w:id="157"/>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0835BB" w:rsidRDefault="009F5549" w:rsidP="000835BB">
      <w:pPr>
        <w:ind w:left="360"/>
      </w:pPr>
      <m:oMathPara>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0835BB" w:rsidRPr="00EB2B8E" w:rsidRDefault="000835BB" w:rsidP="000835BB"/>
    <w:p w:rsidR="001D79EC" w:rsidRDefault="009F5549"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9F5549" w:rsidP="006173CD">
      <w:pPr>
        <w:ind w:left="360"/>
      </w:pPr>
      <m:oMathPara>
        <m:oMathParaPr>
          <m:jc m:val="left"/>
        </m:oMathParaPr>
        <m:oMath>
          <m:sSub>
            <m:sSubPr>
              <m:ctrlPr>
                <w:rPr>
                  <w:rFonts w:ascii="Cambria Math" w:hAnsi="Cambria Math"/>
                </w:rPr>
              </m:ctrlPr>
            </m:sSubPr>
            <m:e>
              <m:r>
                <w:rPr>
                  <w:rFonts w:ascii="Cambria Math" w:hAnsi="Cambria Math"/>
                </w:rPr>
                <m:t>Vo</m:t>
              </m:r>
              <m:r>
                <w:rPr>
                  <w:rFonts w:ascii="Cambria Math" w:hAnsi="Cambria Math"/>
                </w:rPr>
                <m:t>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8" w:name="_Toc310421795"/>
      <w:bookmarkStart w:id="159" w:name="_Ref339455538"/>
      <w:bookmarkStart w:id="160" w:name="_Toc364076481"/>
      <w:r>
        <w:t>Security</w:t>
      </w:r>
      <w:bookmarkEnd w:id="158"/>
      <w:bookmarkEnd w:id="159"/>
      <w:bookmarkEnd w:id="160"/>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9F5549"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9F554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9F554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9F554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9F554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7213EF" w:rsidRDefault="007213EF" w:rsidP="007213EF">
      <w:pPr>
        <w:pStyle w:val="Heading4"/>
      </w:pPr>
      <w:bookmarkStart w:id="161" w:name="_Toc364076482"/>
      <w:r>
        <w:t>Security and Empty Groups</w:t>
      </w:r>
      <w:bookmarkEnd w:id="161"/>
    </w:p>
    <w:p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rsidR="007213EF" w:rsidRDefault="007213EF" w:rsidP="006173CD"/>
    <w:p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rsidR="001D79EC" w:rsidRDefault="001D79EC" w:rsidP="00B147AC"/>
    <w:p w:rsidR="00502610" w:rsidRDefault="00502610" w:rsidP="00502610"/>
    <w:p w:rsidR="00392218" w:rsidRDefault="00392218" w:rsidP="00392218">
      <w:pPr>
        <w:pStyle w:val="Heading2"/>
      </w:pPr>
      <w:bookmarkStart w:id="162" w:name="__RefHeading__30424212"/>
      <w:bookmarkStart w:id="163" w:name="_Toc310421796"/>
      <w:bookmarkStart w:id="164" w:name="_Toc364076483"/>
      <w:r>
        <w:lastRenderedPageBreak/>
        <w:t>Effects of Unit Activities</w:t>
      </w:r>
      <w:bookmarkEnd w:id="162"/>
      <w:bookmarkEnd w:id="163"/>
      <w:bookmarkEnd w:id="164"/>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5" w:name="__RefHeading__35223422"/>
      <w:bookmarkStart w:id="166" w:name="_Toc310421797"/>
      <w:bookmarkStart w:id="167" w:name="_Toc364076484"/>
      <w:r>
        <w:t>Force Presence and Activities</w:t>
      </w:r>
      <w:bookmarkEnd w:id="165"/>
      <w:bookmarkEnd w:id="166"/>
      <w:bookmarkEnd w:id="167"/>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9F5549"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4A0845" w:rsidRDefault="004A0845"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1mm,1.2497mm,2.49931mm,1.2497mm">
                <w:txbxContent>
                  <w:p w:rsidR="004A0845" w:rsidRDefault="004A0845" w:rsidP="00392218"/>
                  <w:p w:rsidR="004A0845" w:rsidRDefault="004A084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1mm,1.2497mm,2.49931mm,1.2497mm">
                <w:txbxContent>
                  <w:p w:rsidR="004A0845" w:rsidRDefault="004A084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1mm,1.2497mm,2.49931mm,1.2497mm">
                <w:txbxContent>
                  <w:p w:rsidR="004A0845" w:rsidRDefault="004A084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1mm,1.2497mm,2.49931mm,1.2497mm">
                <w:txbxContent>
                  <w:p w:rsidR="004A0845" w:rsidRDefault="004A084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1mm,1.2497mm,2.49931mm,1.2497mm">
                <w:txbxContent>
                  <w:p w:rsidR="004A0845" w:rsidRDefault="004A084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1mm,1.2497mm,2.49931mm,1.2497mm">
                <w:txbxContent>
                  <w:p w:rsidR="004A0845" w:rsidRDefault="004A084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r>
        <w:t xml:space="preserve">where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9F5549"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9F5549"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8" w:name="_Toc310421798"/>
      <w:bookmarkStart w:id="169" w:name="_Toc364076485"/>
      <w:r>
        <w:t>Organization Activities</w:t>
      </w:r>
      <w:bookmarkEnd w:id="168"/>
      <w:bookmarkEnd w:id="169"/>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70" w:name="_Toc310421799"/>
      <w:bookmarkStart w:id="171" w:name="_Toc364076486"/>
      <w:r>
        <w:t>Civilian Activities</w:t>
      </w:r>
      <w:bookmarkEnd w:id="170"/>
      <w:bookmarkEnd w:id="171"/>
    </w:p>
    <w:p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rsidR="00392218" w:rsidRDefault="00392218" w:rsidP="00F1283A"/>
    <w:p w:rsidR="00392218" w:rsidRDefault="00392218" w:rsidP="00392218">
      <w:pPr>
        <w:pStyle w:val="Heading3"/>
      </w:pPr>
      <w:bookmarkStart w:id="172" w:name="_Toc310421800"/>
      <w:bookmarkStart w:id="173" w:name="_Toc364076487"/>
      <w:r>
        <w:lastRenderedPageBreak/>
        <w:t>Activity Situations</w:t>
      </w:r>
      <w:bookmarkEnd w:id="172"/>
      <w:bookmarkEnd w:id="173"/>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4" w:name="_Ref310324877"/>
      <w:bookmarkStart w:id="175" w:name="_Toc310421801"/>
      <w:bookmarkStart w:id="176" w:name="_Toc364076488"/>
      <w:r>
        <w:lastRenderedPageBreak/>
        <w:t>Environmental Situations</w:t>
      </w:r>
      <w:bookmarkEnd w:id="174"/>
      <w:bookmarkEnd w:id="175"/>
      <w:bookmarkEnd w:id="176"/>
    </w:p>
    <w:p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rsidR="00867ADB" w:rsidRDefault="00867ADB" w:rsidP="00867ADB">
      <w:pPr>
        <w:pStyle w:val="Heading3"/>
      </w:pPr>
      <w:bookmarkStart w:id="177" w:name="_Toc364076489"/>
      <w:r>
        <w:t>Athena 4 Changes</w:t>
      </w:r>
      <w:bookmarkEnd w:id="177"/>
    </w:p>
    <w:p w:rsidR="00867ADB" w:rsidRDefault="00867ADB" w:rsidP="00867ADB">
      <w:r>
        <w:t>The ensit rule sets have changed in Athena 4 due to the switch from GRAM to URAM as the underlying attitude model.  In past versions, an ensit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8" w:name="_Ref310246902"/>
      <w:bookmarkStart w:id="179" w:name="_Ref310247782"/>
      <w:bookmarkStart w:id="180" w:name="_Toc310421802"/>
      <w:bookmarkStart w:id="181" w:name="_Toc364076490"/>
      <w:r>
        <w:lastRenderedPageBreak/>
        <w:t>Services</w:t>
      </w:r>
      <w:bookmarkEnd w:id="178"/>
      <w:bookmarkEnd w:id="179"/>
      <w:bookmarkEnd w:id="180"/>
      <w:bookmarkEnd w:id="181"/>
    </w:p>
    <w:p w:rsidR="00B75001" w:rsidRDefault="00B75001" w:rsidP="00B75001">
      <w:r>
        <w:t>A service is something provided to the civilians, the level of which affects civilian attitudes.</w:t>
      </w:r>
    </w:p>
    <w:p w:rsidR="00B75001" w:rsidRDefault="00B75001" w:rsidP="00B75001">
      <w:pPr>
        <w:pStyle w:val="Heading3"/>
      </w:pPr>
      <w:bookmarkStart w:id="182" w:name="_Toc310421803"/>
      <w:bookmarkStart w:id="183" w:name="_Toc364076491"/>
      <w:r>
        <w:t>Overview</w:t>
      </w:r>
      <w:bookmarkEnd w:id="182"/>
      <w:bookmarkEnd w:id="183"/>
    </w:p>
    <w:p w:rsidR="00B75001" w:rsidRPr="00A901A0" w:rsidRDefault="00B75001" w:rsidP="00B75001">
      <w:r>
        <w:t xml:space="preserve">At present Athena models one kind of service, Essential Non-Infrastructure (ENI) services (Section </w:t>
      </w:r>
      <w:r w:rsidR="009F5549">
        <w:fldChar w:fldCharType="begin"/>
      </w:r>
      <w:r>
        <w:instrText xml:space="preserve"> REF _Ref310327255 \r \h </w:instrText>
      </w:r>
      <w:r w:rsidR="009F5549">
        <w:fldChar w:fldCharType="separate"/>
      </w:r>
      <w:r w:rsidR="00D217C6">
        <w:t>8.2</w:t>
      </w:r>
      <w:r w:rsidR="009F5549">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4" w:name="_Toc310421804"/>
      <w:bookmarkStart w:id="185" w:name="_Toc364076492"/>
      <w:r>
        <w:t>Services vs. Environmental Situations</w:t>
      </w:r>
      <w:bookmarkEnd w:id="184"/>
      <w:bookmarkEnd w:id="185"/>
    </w:p>
    <w:p w:rsidR="00B75001" w:rsidRDefault="00B75001" w:rsidP="00B75001">
      <w:r>
        <w:t xml:space="preserve">Athena has historically modeled services (e.g., power and water) using environmental situations, or “ensits” (Section </w:t>
      </w:r>
      <w:r w:rsidR="009F5549">
        <w:fldChar w:fldCharType="begin"/>
      </w:r>
      <w:r>
        <w:instrText xml:space="preserve"> REF _Ref310324877 \r \h </w:instrText>
      </w:r>
      <w:r w:rsidR="009F5549">
        <w:fldChar w:fldCharType="separate"/>
      </w:r>
      <w:r w:rsidR="00D217C6">
        <w:t>7</w:t>
      </w:r>
      <w:r w:rsidR="009F554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6"/>
      </w:r>
    </w:p>
    <w:p w:rsidR="00B75001" w:rsidRDefault="00B75001" w:rsidP="00B75001">
      <w:pPr>
        <w:pStyle w:val="Heading4"/>
      </w:pPr>
      <w:bookmarkStart w:id="186" w:name="_Toc310421805"/>
      <w:bookmarkStart w:id="187" w:name="_Toc364076493"/>
      <w:r>
        <w:t>Levels of Service</w:t>
      </w:r>
      <w:bookmarkEnd w:id="186"/>
      <w:bookmarkEnd w:id="187"/>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8" w:name="_Ref310415360"/>
      <w:bookmarkStart w:id="189" w:name="_Toc310421806"/>
      <w:bookmarkStart w:id="190" w:name="_Toc364076494"/>
      <w:r>
        <w:t>Service Cases</w:t>
      </w:r>
      <w:bookmarkEnd w:id="188"/>
      <w:bookmarkEnd w:id="189"/>
      <w:bookmarkEnd w:id="190"/>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91" w:name="_Ref310327255"/>
      <w:bookmarkStart w:id="192" w:name="_Toc310421807"/>
      <w:bookmarkStart w:id="193" w:name="_Toc364076495"/>
      <w:r>
        <w:t>Essential Non-Infrastructure (ENI) Services</w:t>
      </w:r>
      <w:bookmarkEnd w:id="191"/>
      <w:bookmarkEnd w:id="192"/>
      <w:bookmarkEnd w:id="193"/>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7"/>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4" w:name="_Toc310421808"/>
      <w:bookmarkStart w:id="195" w:name="_Toc364076496"/>
      <w:r>
        <w:t>Service vs. Funding</w:t>
      </w:r>
      <w:bookmarkEnd w:id="194"/>
      <w:bookmarkEnd w:id="195"/>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9F5549"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9F554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rsidR="00B75001" w:rsidRDefault="009F554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9F554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9F5549"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8"/>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9F5549"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9F5549"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9F5549"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39"/>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9F5549"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6" w:name="_Toc310421809"/>
      <w:bookmarkStart w:id="197" w:name="_Toc364076497"/>
      <w:r>
        <w:t>Funding by Individual Actors</w:t>
      </w:r>
      <w:bookmarkEnd w:id="196"/>
      <w:bookmarkEnd w:id="197"/>
    </w:p>
    <w:p w:rsidR="00B75001" w:rsidRDefault="00B75001" w:rsidP="00B75001">
      <w:r>
        <w:t>We assume that an actor can provide ENI services in any neighborhood in which he has at least minimal direct support.</w:t>
      </w:r>
      <w:r>
        <w:rPr>
          <w:rStyle w:val="FootnoteReference"/>
          <w:rFonts w:eastAsia="Wingdings"/>
        </w:rPr>
        <w:footnoteReference w:id="40"/>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9F5549"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r>
        <w:t>where</w:t>
      </w:r>
    </w:p>
    <w:p w:rsidR="00A4698B" w:rsidRDefault="00A4698B" w:rsidP="00A4698B"/>
    <w:p w:rsidR="00B75001" w:rsidRDefault="009F554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8" w:name="_Toc310421810"/>
      <w:bookmarkStart w:id="199" w:name="_Toc364076498"/>
      <w:r>
        <w:t>Expected Level of Service</w:t>
      </w:r>
      <w:bookmarkEnd w:id="198"/>
      <w:bookmarkEnd w:id="199"/>
    </w:p>
    <w:p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9F5549"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r>
        <w:lastRenderedPageBreak/>
        <w:t>where</w:t>
      </w:r>
    </w:p>
    <w:p w:rsidR="00A4698B" w:rsidRDefault="00A4698B" w:rsidP="00A4698B"/>
    <w:p w:rsidR="00B75001" w:rsidRDefault="009F554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rsidR="00B75001" w:rsidRDefault="009F5549"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rsidR="00B75001" w:rsidRDefault="009F554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1"/>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200" w:name="_Toc310421815"/>
      <w:bookmarkStart w:id="201" w:name="_Toc364076499"/>
      <w:r>
        <w:t>Categorize the Actual Level of Service</w:t>
      </w:r>
      <w:bookmarkEnd w:id="200"/>
      <w:bookmarkEnd w:id="201"/>
    </w:p>
    <w:p w:rsidR="00FC0A5B" w:rsidRDefault="00FC0A5B" w:rsidP="00FC0A5B">
      <w:r>
        <w:t xml:space="preserve">To compute the attitude effects, we use the four service cases described in Section </w:t>
      </w:r>
      <w:r w:rsidR="009F5549">
        <w:fldChar w:fldCharType="begin"/>
      </w:r>
      <w:r>
        <w:instrText xml:space="preserve"> REF _Ref310415360 \r \h </w:instrText>
      </w:r>
      <w:r w:rsidR="009F5549">
        <w:fldChar w:fldCharType="separate"/>
      </w:r>
      <w:r w:rsidR="00D217C6">
        <w:t>8.1.3</w:t>
      </w:r>
      <w:r w:rsidR="009F554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r>
        <w:t>where</w:t>
      </w:r>
    </w:p>
    <w:p w:rsidR="00FC0A5B" w:rsidRDefault="00FC0A5B" w:rsidP="00FC0A5B"/>
    <w:p w:rsidR="00FC0A5B" w:rsidRDefault="009F5549"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9F5549"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9F5549"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2"/>
      </w:r>
    </w:p>
    <w:p w:rsidR="00FC0A5B" w:rsidRDefault="00FC0A5B" w:rsidP="00A4698B"/>
    <w:p w:rsidR="00B75001" w:rsidRDefault="00B75001" w:rsidP="00B75001">
      <w:pPr>
        <w:pStyle w:val="Heading4"/>
      </w:pPr>
      <w:bookmarkStart w:id="202" w:name="_Toc310421811"/>
      <w:bookmarkStart w:id="203" w:name="_Toc364076500"/>
      <w:r>
        <w:t>Satisfaction Effects</w:t>
      </w:r>
      <w:bookmarkEnd w:id="202"/>
      <w:bookmarkEnd w:id="203"/>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4" w:name="_Toc310421812"/>
      <w:bookmarkStart w:id="205" w:name="_Toc364076501"/>
      <w:r>
        <w:t xml:space="preserve">The </w:t>
      </w:r>
      <w:r w:rsidRPr="00A4698B">
        <w:t>Needs</w:t>
      </w:r>
      <w:r>
        <w:t xml:space="preserve"> Factor</w:t>
      </w:r>
      <w:bookmarkEnd w:id="204"/>
      <w:bookmarkEnd w:id="205"/>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9F5549"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9F554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9F554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3"/>
      </w:r>
    </w:p>
    <w:p w:rsidR="00B75001" w:rsidRDefault="009F554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4"/>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9F5549"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6" w:name="_Toc310421813"/>
      <w:bookmarkStart w:id="207" w:name="_Toc364076502"/>
      <w:r>
        <w:t>The Expectations Factor</w:t>
      </w:r>
      <w:bookmarkEnd w:id="206"/>
      <w:bookmarkEnd w:id="207"/>
    </w:p>
    <w:p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9F5549"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r>
        <w:t>where</w:t>
      </w:r>
    </w:p>
    <w:p w:rsidR="00B75001" w:rsidRPr="0099602B" w:rsidRDefault="009F5549"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9F554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9F554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9F554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8" w:name="_Ref310342819"/>
      <w:bookmarkStart w:id="209" w:name="_Toc310421814"/>
      <w:bookmarkStart w:id="210" w:name="_Toc364076503"/>
      <w:r>
        <w:t>Vertical Relationship</w:t>
      </w:r>
      <w:bookmarkEnd w:id="208"/>
      <w:r>
        <w:t xml:space="preserve"> Effects</w:t>
      </w:r>
      <w:bookmarkEnd w:id="209"/>
      <w:bookmarkEnd w:id="210"/>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9F5549"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9F5549"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r>
        <w:t xml:space="preserve">where </w:t>
      </w:r>
    </w:p>
    <w:p w:rsidR="00A4698B" w:rsidRPr="008D32D0" w:rsidRDefault="00A4698B" w:rsidP="00A4698B"/>
    <w:p w:rsidR="00B75001" w:rsidRDefault="009F554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9F554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9F554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6"/>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9F554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9F554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9F554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1A119A" w:rsidP="001A119A">
      <w:pPr>
        <w:pStyle w:val="Heading4"/>
      </w:pPr>
      <w:bookmarkStart w:id="211" w:name="_Toc364076504"/>
      <w:r>
        <w:t>ENI Services and Empty Civilian Groups</w:t>
      </w:r>
      <w:bookmarkEnd w:id="211"/>
    </w:p>
    <w:p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rsidR="001A119A" w:rsidRDefault="001A119A" w:rsidP="001A119A"/>
    <w:p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rsidR="002520B8" w:rsidRDefault="002520B8" w:rsidP="002520B8">
      <w:pPr>
        <w:pStyle w:val="Heading2"/>
      </w:pPr>
      <w:bookmarkStart w:id="212" w:name="_Toc310421818"/>
      <w:bookmarkStart w:id="213" w:name="_Ref339521624"/>
      <w:bookmarkStart w:id="214" w:name="_Toc364076505"/>
      <w:r>
        <w:lastRenderedPageBreak/>
        <w:t>Athena Attrition Model (AAM)</w:t>
      </w:r>
      <w:bookmarkEnd w:id="212"/>
      <w:bookmarkEnd w:id="213"/>
      <w:bookmarkEnd w:id="214"/>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5" w:name="_Toc310421819"/>
      <w:bookmarkStart w:id="216" w:name="_Toc364076506"/>
      <w:r>
        <w:t>Overview</w:t>
      </w:r>
      <w:bookmarkEnd w:id="215"/>
      <w:bookmarkEnd w:id="216"/>
    </w:p>
    <w:p w:rsidR="002520B8" w:rsidRDefault="002520B8" w:rsidP="002520B8">
      <w:pPr>
        <w:pStyle w:val="Heading4"/>
      </w:pPr>
      <w:bookmarkStart w:id="217" w:name="_Toc310421820"/>
      <w:bookmarkStart w:id="218" w:name="_Toc364076507"/>
      <w:r>
        <w:t>Attrition in the Real World</w:t>
      </w:r>
      <w:bookmarkEnd w:id="217"/>
      <w:bookmarkEnd w:id="218"/>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9" w:name="__RefHeading__28413023"/>
      <w:bookmarkStart w:id="220" w:name="_Toc310421821"/>
      <w:bookmarkStart w:id="221" w:name="_Toc364076508"/>
      <w:r>
        <w:lastRenderedPageBreak/>
        <w:t xml:space="preserve">Requirements for This </w:t>
      </w:r>
      <w:bookmarkEnd w:id="219"/>
      <w:r>
        <w:t>Version</w:t>
      </w:r>
      <w:bookmarkEnd w:id="220"/>
      <w:bookmarkEnd w:id="221"/>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7"/>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rsidR="002520B8" w:rsidRDefault="002520B8" w:rsidP="002520B8">
      <w:pPr>
        <w:pStyle w:val="Heading4"/>
      </w:pPr>
      <w:bookmarkStart w:id="222" w:name="_Toc310421822"/>
      <w:bookmarkStart w:id="223" w:name="_Toc364076509"/>
      <w:r>
        <w:lastRenderedPageBreak/>
        <w:t>Requirements for Later Versions</w:t>
      </w:r>
      <w:bookmarkEnd w:id="222"/>
      <w:bookmarkEnd w:id="223"/>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4" w:name="_Toc310421823"/>
      <w:bookmarkStart w:id="225" w:name="_Toc364076510"/>
      <w:r>
        <w:t>Simplifying Assumptions</w:t>
      </w:r>
      <w:bookmarkEnd w:id="224"/>
      <w:bookmarkEnd w:id="225"/>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There is no direct UF vs. UF or NF vs. NF conflict within the playbox.</w:t>
      </w:r>
    </w:p>
    <w:p w:rsidR="002520B8" w:rsidRDefault="002520B8" w:rsidP="002520B8">
      <w:pPr>
        <w:pStyle w:val="Heading3"/>
      </w:pPr>
      <w:bookmarkStart w:id="226" w:name="__RefHeading__28403723"/>
      <w:bookmarkStart w:id="227" w:name="_Toc310421824"/>
      <w:bookmarkStart w:id="228" w:name="_Toc364076511"/>
      <w:r>
        <w:t>Uniformed vs. Non-Uniformed Forces</w:t>
      </w:r>
      <w:bookmarkEnd w:id="226"/>
      <w:bookmarkEnd w:id="227"/>
      <w:bookmarkEnd w:id="228"/>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9" w:name="_Toc310421825"/>
      <w:bookmarkStart w:id="230" w:name="_Toc364076512"/>
      <w:r>
        <w:t>Units and Unit Activities</w:t>
      </w:r>
      <w:bookmarkEnd w:id="229"/>
      <w:bookmarkEnd w:id="230"/>
    </w:p>
    <w:p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31" w:name="_Toc310421826"/>
      <w:bookmarkStart w:id="232" w:name="_Toc364076513"/>
      <w:r>
        <w:t>Unit Number and Unit Size</w:t>
      </w:r>
      <w:bookmarkEnd w:id="231"/>
      <w:bookmarkEnd w:id="232"/>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3" w:name="_Toc310421827"/>
      <w:bookmarkStart w:id="234" w:name="_Toc364076514"/>
      <w:r>
        <w:t>Attrition and Mobilized Troops</w:t>
      </w:r>
      <w:bookmarkEnd w:id="233"/>
      <w:bookmarkEnd w:id="234"/>
    </w:p>
    <w:p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5" w:name="_Toc310421828"/>
      <w:bookmarkStart w:id="236" w:name="_Toc364076515"/>
      <w:r>
        <w:lastRenderedPageBreak/>
        <w:t>Magic Attrition</w:t>
      </w:r>
      <w:bookmarkEnd w:id="235"/>
      <w:bookmarkEnd w:id="236"/>
    </w:p>
    <w:p w:rsidR="002520B8" w:rsidRDefault="002520B8" w:rsidP="002520B8">
      <w:r>
        <w:t xml:space="preserve">The analyst can attrit units and groups magically.  All attrition to civilian units will be assessed by the relevant DAM rule set.  </w:t>
      </w:r>
    </w:p>
    <w:p w:rsidR="002520B8" w:rsidRDefault="002520B8" w:rsidP="002520B8">
      <w:pPr>
        <w:pStyle w:val="Heading4"/>
      </w:pPr>
      <w:bookmarkStart w:id="237" w:name="_Toc310421829"/>
      <w:bookmarkStart w:id="238" w:name="_Toc364076516"/>
      <w:r>
        <w:t>Magic Attrition to Units</w:t>
      </w:r>
      <w:bookmarkEnd w:id="237"/>
      <w:bookmarkEnd w:id="238"/>
    </w:p>
    <w:p w:rsidR="002520B8" w:rsidRDefault="002520B8" w:rsidP="002520B8">
      <w:r>
        <w:t>The analyst can attrit a specific unit, of any type.</w:t>
      </w:r>
    </w:p>
    <w:p w:rsidR="002520B8" w:rsidRDefault="002520B8" w:rsidP="002520B8">
      <w:pPr>
        <w:pStyle w:val="Heading4"/>
      </w:pPr>
      <w:bookmarkStart w:id="239" w:name="_Toc310421830"/>
      <w:bookmarkStart w:id="240" w:name="_Toc364076517"/>
      <w:r>
        <w:t>Magic Attrition to Groups</w:t>
      </w:r>
      <w:bookmarkEnd w:id="239"/>
      <w:bookmarkEnd w:id="240"/>
    </w:p>
    <w:p w:rsidR="002520B8" w:rsidRDefault="002520B8" w:rsidP="002520B8">
      <w:r>
        <w:t>The analyst can attrit a specific group in a specific neighborhood.  If the group is a civilian group, only units present in the neighborhood will be attrited.</w:t>
      </w:r>
    </w:p>
    <w:p w:rsidR="002520B8" w:rsidRDefault="002520B8" w:rsidP="002520B8">
      <w:pPr>
        <w:pStyle w:val="Heading4"/>
      </w:pPr>
      <w:bookmarkStart w:id="241" w:name="_Toc310421831"/>
      <w:bookmarkStart w:id="242" w:name="_Toc364076518"/>
      <w:r>
        <w:t>Magic Attrition to Neighborhoods</w:t>
      </w:r>
      <w:bookmarkEnd w:id="241"/>
      <w:bookmarkEnd w:id="242"/>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3" w:name="_Toc310421832"/>
      <w:bookmarkStart w:id="244" w:name="_Toc364076519"/>
      <w:r>
        <w:t>Antagonists and ROEs</w:t>
      </w:r>
      <w:bookmarkEnd w:id="243"/>
      <w:bookmarkEnd w:id="244"/>
    </w:p>
    <w:p w:rsidR="002520B8" w:rsidRDefault="002520B8" w:rsidP="002520B8">
      <w:r>
        <w:t xml:space="preserve">Neighborhood </w:t>
      </w:r>
      <w:r>
        <w:rPr>
          <w:i/>
          <w:iCs/>
        </w:rPr>
        <w:t>n</w:t>
      </w:r>
      <w:r>
        <w:t xml:space="preserve"> can contain the kinds of forces listed in Section </w:t>
      </w:r>
      <w:r w:rsidR="009F5549">
        <w:fldChar w:fldCharType="begin"/>
      </w:r>
      <w:r>
        <w:instrText xml:space="preserve"> REF __RefHeading__28403723 \r \h </w:instrText>
      </w:r>
      <w:r w:rsidR="009F5549">
        <w:fldChar w:fldCharType="separate"/>
      </w:r>
      <w:r w:rsidR="00D217C6">
        <w:t>9.2</w:t>
      </w:r>
      <w:r w:rsidR="009F5549">
        <w:fldChar w:fldCharType="end"/>
      </w:r>
      <w:r>
        <w:t>: NF and UF.</w:t>
      </w:r>
      <w:r>
        <w:rPr>
          <w:rStyle w:val="FootnoteReference"/>
          <w:rFonts w:eastAsia="Wingdings"/>
        </w:rPr>
        <w:footnoteReference w:id="48"/>
      </w:r>
      <w:r>
        <w:t xml:space="preserve">  Attrition occurs when two forces </w:t>
      </w:r>
      <w:r>
        <w:rPr>
          <w:i/>
          <w:iCs/>
        </w:rPr>
        <w:t>a</w:t>
      </w:r>
      <w:r>
        <w:t xml:space="preserve"> and </w:t>
      </w:r>
      <w:r>
        <w:rPr>
          <w:i/>
          <w:iCs/>
        </w:rPr>
        <w:t>b</w:t>
      </w:r>
      <w:r>
        <w:t xml:space="preserve"> are antagonists as defined in this section.</w:t>
      </w:r>
    </w:p>
    <w:p w:rsidR="002520B8" w:rsidRDefault="002520B8" w:rsidP="002520B8">
      <w:pPr>
        <w:pStyle w:val="Heading4"/>
      </w:pPr>
      <w:bookmarkStart w:id="245" w:name="_Toc310421833"/>
      <w:bookmarkStart w:id="246" w:name="_Toc364076520"/>
      <w:r>
        <w:t>Attacking ROEs: Maximum Number of Attacks</w:t>
      </w:r>
      <w:bookmarkEnd w:id="245"/>
      <w:bookmarkEnd w:id="246"/>
    </w:p>
    <w:p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7" w:name="_Toc310421834"/>
      <w:bookmarkStart w:id="248" w:name="_Toc364076521"/>
      <w:r>
        <w:t>Attacking ROEs: UF</w:t>
      </w:r>
      <w:bookmarkEnd w:id="247"/>
      <w:bookmarkEnd w:id="248"/>
    </w:p>
    <w:p w:rsidR="002520B8" w:rsidRDefault="002520B8" w:rsidP="002520B8">
      <w:r>
        <w:t>Uniformed forces (UF) may attack non-uniformed forces (NF) in a neighborhood.</w:t>
      </w:r>
    </w:p>
    <w:p w:rsidR="002520B8" w:rsidRDefault="002520B8" w:rsidP="002520B8"/>
    <w:p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lastRenderedPageBreak/>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9" w:name="_Toc310421835"/>
      <w:bookmarkStart w:id="250" w:name="_Toc364076522"/>
      <w:r>
        <w:t>Attacking ROEs: NF</w:t>
      </w:r>
      <w:bookmarkEnd w:id="249"/>
      <w:bookmarkEnd w:id="250"/>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51" w:name="_Toc310421836"/>
      <w:bookmarkStart w:id="252" w:name="_Toc364076523"/>
      <w:r>
        <w:t>Defending ROEs</w:t>
      </w:r>
      <w:bookmarkEnd w:id="251"/>
      <w:bookmarkEnd w:id="252"/>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3" w:name="_Toc310421837"/>
      <w:bookmarkStart w:id="254" w:name="_Toc364076524"/>
      <w:r>
        <w:t>The Attrition Cycle</w:t>
      </w:r>
      <w:bookmarkEnd w:id="253"/>
      <w:bookmarkEnd w:id="254"/>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r>
        <w:rPr>
          <w:i/>
          <w:iCs/>
        </w:rPr>
        <w:t>a,b</w:t>
      </w:r>
      <w:r>
        <w:t xml:space="preserve"> of antagonists in </w:t>
      </w:r>
      <w:r>
        <w:rPr>
          <w:i/>
          <w:iCs/>
        </w:rPr>
        <w:t>n</w:t>
      </w:r>
      <w:r>
        <w:t>.</w:t>
      </w:r>
    </w:p>
    <w:p w:rsidR="002520B8" w:rsidRPr="00230676" w:rsidRDefault="002520B8" w:rsidP="002520B8">
      <w:pPr>
        <w:pStyle w:val="Pseudocode"/>
        <w:ind w:left="720"/>
      </w:pPr>
      <w:r>
        <w:t xml:space="preserve">For each pair </w:t>
      </w:r>
      <w:r>
        <w:rPr>
          <w:i/>
          <w:iCs/>
        </w:rPr>
        <w:t>a,b</w:t>
      </w:r>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rsidR="002520B8" w:rsidRDefault="002520B8" w:rsidP="002520B8">
      <w:pPr>
        <w:pStyle w:val="Heading3"/>
      </w:pPr>
      <w:bookmarkStart w:id="255" w:name="_Toc310421838"/>
      <w:bookmarkStart w:id="256" w:name="_Toc364076525"/>
      <w:r>
        <w:t>Computing Attrition</w:t>
      </w:r>
      <w:bookmarkEnd w:id="255"/>
      <w:bookmarkEnd w:id="256"/>
    </w:p>
    <w:p w:rsidR="002520B8" w:rsidRDefault="002520B8" w:rsidP="002520B8">
      <w:pPr>
        <w:pStyle w:val="Heading4"/>
      </w:pPr>
      <w:bookmarkStart w:id="257" w:name="_Toc310421839"/>
      <w:bookmarkStart w:id="258" w:name="_Toc364076526"/>
      <w:r>
        <w:t>Uniformed vs. Non-uniformed</w:t>
      </w:r>
      <w:bookmarkEnd w:id="257"/>
      <w:bookmarkEnd w:id="258"/>
    </w:p>
    <w:p w:rsidR="002520B8" w:rsidRDefault="002520B8" w:rsidP="00193714">
      <w:r>
        <w:t>Non-uniformed forces operate in small cells and hide among the civilian population.  ROE and resources</w:t>
      </w:r>
      <w:r>
        <w:rPr>
          <w:rStyle w:val="FootnoteReference"/>
          <w:rFonts w:eastAsia="Wingdings"/>
        </w:rPr>
        <w:footnoteReference w:id="49"/>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Increased cooperation of the civilians with the UF, because the UF will get more intel.</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9F554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9F554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9F554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9F554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9F554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0"/>
      </w:r>
    </w:p>
    <w:p w:rsidR="002520B8" w:rsidRDefault="009F554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1"/>
      </w:r>
    </w:p>
    <w:p w:rsidR="002520B8" w:rsidRDefault="009F554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2"/>
      </w:r>
      <w:r w:rsidR="002520B8">
        <w:tab/>
      </w:r>
    </w:p>
    <w:p w:rsidR="002520B8" w:rsidRDefault="009F554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3"/>
      </w:r>
    </w:p>
    <w:p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4"/>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9F554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9F554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5"/>
      </w:r>
    </w:p>
    <w:p w:rsidR="002520B8" w:rsidRDefault="009F5549"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9F554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lastRenderedPageBreak/>
        <w:t>The number of NF troops killed is then</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9F554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6"/>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7"/>
      </w:r>
    </w:p>
    <w:p w:rsidR="002520B8" w:rsidRDefault="002520B8" w:rsidP="002520B8">
      <w:pPr>
        <w:pStyle w:val="Definitions"/>
      </w:pPr>
    </w:p>
    <w:p w:rsidR="002520B8" w:rsidRDefault="002520B8" w:rsidP="008955F4">
      <w:r>
        <w:t>Then</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9" w:name="_Toc310421840"/>
      <w:bookmarkStart w:id="260" w:name="_Toc364076527"/>
      <w:r>
        <w:t>Non-uniformed vs. Uniformed</w:t>
      </w:r>
      <w:bookmarkEnd w:id="259"/>
      <w:bookmarkEnd w:id="260"/>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8"/>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r>
        <w:t>where</w:t>
      </w:r>
    </w:p>
    <w:p w:rsidR="008955F4" w:rsidRDefault="008955F4" w:rsidP="008955F4"/>
    <w:p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59"/>
      </w:r>
    </w:p>
    <w:p w:rsidR="002520B8" w:rsidRDefault="009F5549"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9F554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9F554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0"/>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9F554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1"/>
      </w:r>
    </w:p>
    <w:p w:rsidR="002520B8" w:rsidRDefault="009F554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2"/>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61" w:name="_Toc310421841"/>
      <w:bookmarkStart w:id="262" w:name="_Toc364076528"/>
      <w:r>
        <w:t>Loss Exchange Ratio</w:t>
      </w:r>
      <w:bookmarkEnd w:id="261"/>
      <w:bookmarkEnd w:id="262"/>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9F5549"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3"/>
      </w:r>
    </w:p>
    <w:p w:rsidR="002520B8" w:rsidRDefault="009F554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9F554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9F5549"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4"/>
      </w:r>
    </w:p>
    <w:p w:rsidR="002520B8" w:rsidRDefault="002520B8" w:rsidP="002520B8">
      <w:pPr>
        <w:pStyle w:val="Definitions"/>
      </w:pPr>
    </w:p>
    <w:p w:rsidR="002520B8" w:rsidRDefault="002520B8" w:rsidP="008955F4">
      <w:r>
        <w:t>Then</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tab/>
        <w:t>Otherwise do not attack.</w:t>
      </w:r>
    </w:p>
    <w:p w:rsidR="002520B8" w:rsidRDefault="002520B8" w:rsidP="002520B8">
      <w:pPr>
        <w:pStyle w:val="Pseudocode"/>
      </w:pPr>
    </w:p>
    <w:p w:rsidR="002520B8" w:rsidRDefault="002520B8" w:rsidP="002520B8">
      <w:pPr>
        <w:pStyle w:val="Heading5"/>
      </w:pPr>
      <w:bookmarkStart w:id="263" w:name="_Toc310421842"/>
      <w:bookmarkStart w:id="264" w:name="_Toc364076529"/>
      <w:r>
        <w:t>NF and UF Casualties</w:t>
      </w:r>
      <w:bookmarkEnd w:id="263"/>
      <w:bookmarkEnd w:id="264"/>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5"/>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6"/>
      </w:r>
      <w:r>
        <w:t xml:space="preserve">  Given the LER, they can then kill</w:t>
      </w:r>
    </w:p>
    <w:p w:rsidR="008955F4" w:rsidRDefault="008955F4" w:rsidP="008955F4">
      <w:pPr>
        <w:rPr>
          <w:b/>
          <w:bCs/>
        </w:rPr>
      </w:pPr>
    </w:p>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9F554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5" w:name="_Toc310421843"/>
      <w:bookmarkStart w:id="266" w:name="_Toc364076530"/>
      <w:r>
        <w:t>Civilian Collateral Damage</w:t>
      </w:r>
      <w:bookmarkEnd w:id="265"/>
      <w:bookmarkEnd w:id="266"/>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9F5549"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r>
        <w:t>where</w:t>
      </w:r>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7"/>
      </w:r>
    </w:p>
    <w:p w:rsidR="002520B8" w:rsidRDefault="002520B8" w:rsidP="002520B8">
      <w:pPr>
        <w:pStyle w:val="Heading3"/>
      </w:pPr>
      <w:bookmarkStart w:id="267" w:name="__RefHeading__31420625"/>
      <w:bookmarkStart w:id="268" w:name="_Toc310421844"/>
      <w:bookmarkStart w:id="269" w:name="_Toc364076531"/>
      <w:r>
        <w:t>Applying Attrition</w:t>
      </w:r>
      <w:bookmarkEnd w:id="267"/>
      <w:bookmarkEnd w:id="268"/>
      <w:bookmarkEnd w:id="269"/>
    </w:p>
    <w:p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rsidR="002520B8" w:rsidRDefault="002520B8" w:rsidP="008955F4">
      <w:r>
        <w:t>First, we build a list of the units in the neighborhood that belong to the group being attrited.  (Note that civilian units from other neighborhoods are treated as belonging to distinct groups.)</w:t>
      </w:r>
    </w:p>
    <w:p w:rsidR="008955F4" w:rsidRDefault="008955F4" w:rsidP="008955F4"/>
    <w:p w:rsidR="002520B8" w:rsidRDefault="002520B8" w:rsidP="008955F4">
      <w:r>
        <w:lastRenderedPageBreak/>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attriting it by its proportional share of the casualties.  Let</w:t>
      </w:r>
    </w:p>
    <w:p w:rsidR="008955F4" w:rsidRDefault="008955F4" w:rsidP="008955F4"/>
    <w:p w:rsidR="002520B8" w:rsidRDefault="002520B8" w:rsidP="002520B8">
      <w:pPr>
        <w:pStyle w:val="Definitions"/>
      </w:pPr>
      <w:r w:rsidRPr="008955F4">
        <w:rPr>
          <w:i/>
        </w:rPr>
        <w:t>casualties</w:t>
      </w:r>
      <w:r>
        <w:tab/>
        <w:t>=</w:t>
      </w:r>
      <w:r>
        <w:tab/>
      </w:r>
      <w:r w:rsidRPr="00D26F44">
        <w:t>The total number of casualties to inflict</w:t>
      </w:r>
    </w:p>
    <w:p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rsidR="002520B8" w:rsidRDefault="009F5549"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r>
        <w:rPr>
          <w:i/>
          <w:iCs/>
        </w:rPr>
        <w:t>i</w:t>
      </w:r>
      <w:r>
        <w:t xml:space="preserve"> to be attrited,</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70" w:name="_Toc310421845"/>
      <w:bookmarkStart w:id="271" w:name="_Toc364076532"/>
      <w:r>
        <w:t>Assessing the Attitude Implications</w:t>
      </w:r>
      <w:bookmarkEnd w:id="270"/>
      <w:bookmarkEnd w:id="271"/>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72" w:name="_Toc310421846"/>
      <w:bookmarkStart w:id="273" w:name="_Toc364076533"/>
      <w:r>
        <w:t>Contrasted with JNEM</w:t>
      </w:r>
      <w:bookmarkEnd w:id="272"/>
      <w:bookmarkEnd w:id="273"/>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4" w:name="_Toc310421847"/>
      <w:bookmarkStart w:id="275" w:name="_Toc364076534"/>
      <w:r>
        <w:t>Satisfaction Effects of Attrition</w:t>
      </w:r>
      <w:bookmarkEnd w:id="274"/>
      <w:bookmarkEnd w:id="275"/>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rsidR="008955F4" w:rsidRDefault="008955F4" w:rsidP="008955F4"/>
    <w:p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991F49">
        <w:t>The attrited civilian group</w:t>
      </w:r>
      <w:r>
        <w:t>.</w:t>
      </w:r>
    </w:p>
    <w:p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8"/>
      </w:r>
    </w:p>
    <w:p w:rsidR="002520B8" w:rsidRDefault="002520B8" w:rsidP="002520B8">
      <w:pPr>
        <w:pStyle w:val="Definitions"/>
      </w:pPr>
      <w:r w:rsidRPr="008955F4">
        <w:rPr>
          <w:i/>
        </w:rPr>
        <w:t>M</w:t>
      </w:r>
      <w:r>
        <w:tab/>
        <w:t>=</w:t>
      </w:r>
      <w:r>
        <w:tab/>
      </w:r>
      <w:r w:rsidRPr="00991F49">
        <w:t>The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m:t>
          </m:r>
          <m:r>
            <w:rPr>
              <w:rFonts w:ascii="Cambria Math" w:hAnsi="Cambria Math"/>
            </w:rPr>
            <m:t>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6" w:name="_Toc310421848"/>
      <w:bookmarkStart w:id="277" w:name="_Toc364076535"/>
      <w:r>
        <w:t>Cooperation Effects of Attrition</w:t>
      </w:r>
      <w:bookmarkEnd w:id="276"/>
      <w:bookmarkEnd w:id="277"/>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9F5549"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69"/>
      </w:r>
    </w:p>
    <w:p w:rsidR="002520B8" w:rsidRDefault="002520B8" w:rsidP="002520B8">
      <w:pPr>
        <w:pStyle w:val="Definitions"/>
      </w:pPr>
      <w:r w:rsidRPr="008955F4">
        <w:rPr>
          <w:i/>
        </w:rPr>
        <w:t>M</w:t>
      </w:r>
      <w:r>
        <w:tab/>
        <w:t>=</w:t>
      </w:r>
      <w:r>
        <w:tab/>
      </w:r>
      <w:r w:rsidRPr="008A74E3">
        <w:t>The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8" w:name="__RefHeading__11631_1190374725"/>
      <w:bookmarkStart w:id="279" w:name="_Toc310421849"/>
      <w:bookmarkStart w:id="280" w:name="_Toc364076536"/>
      <w:r>
        <w:lastRenderedPageBreak/>
        <w:t>Demographics</w:t>
      </w:r>
      <w:bookmarkEnd w:id="278"/>
      <w:bookmarkEnd w:id="279"/>
      <w:bookmarkEnd w:id="280"/>
    </w:p>
    <w:p w:rsidR="000D138E" w:rsidRDefault="000D138E" w:rsidP="00CA4242">
      <w:r>
        <w:t>The Athena Demographics model is responsible for:</w:t>
      </w:r>
    </w:p>
    <w:p w:rsidR="000D138E" w:rsidRDefault="000D138E" w:rsidP="00CA4242"/>
    <w:p w:rsidR="000D138E" w:rsidRDefault="000D138E" w:rsidP="000D138E">
      <w:pPr>
        <w:pStyle w:val="ListParagraph"/>
        <w:numPr>
          <w:ilvl w:val="0"/>
          <w:numId w:val="66"/>
        </w:numPr>
      </w:pPr>
      <w:r>
        <w:t>Tracking the civilian population of the playbox, by group, as it changes:</w:t>
      </w:r>
    </w:p>
    <w:p w:rsidR="000D138E" w:rsidRDefault="000D138E" w:rsidP="000D138E">
      <w:pPr>
        <w:pStyle w:val="ListParagraph"/>
        <w:numPr>
          <w:ilvl w:val="1"/>
          <w:numId w:val="66"/>
        </w:numPr>
      </w:pPr>
      <w:r>
        <w:t>Due to births and natural deaths</w:t>
      </w:r>
    </w:p>
    <w:p w:rsidR="000D138E" w:rsidRDefault="000D138E" w:rsidP="000D138E">
      <w:pPr>
        <w:pStyle w:val="ListParagraph"/>
        <w:numPr>
          <w:ilvl w:val="1"/>
          <w:numId w:val="66"/>
        </w:numPr>
      </w:pPr>
      <w:r>
        <w:t>Due to collateral damage</w:t>
      </w:r>
    </w:p>
    <w:p w:rsidR="000D138E" w:rsidRDefault="000D138E" w:rsidP="000D138E">
      <w:pPr>
        <w:pStyle w:val="ListParagraph"/>
        <w:numPr>
          <w:ilvl w:val="1"/>
          <w:numId w:val="66"/>
        </w:numPr>
      </w:pPr>
      <w:r>
        <w:t>Due to explicit flows from one civilian group to another</w:t>
      </w:r>
    </w:p>
    <w:p w:rsidR="000D138E" w:rsidRDefault="000D138E" w:rsidP="000D138E">
      <w:pPr>
        <w:pStyle w:val="ListParagraph"/>
        <w:numPr>
          <w:ilvl w:val="0"/>
          <w:numId w:val="66"/>
        </w:numPr>
      </w:pPr>
      <w:r>
        <w:t>Breaking down the population of a group into subcategories, e.g.,</w:t>
      </w:r>
    </w:p>
    <w:p w:rsidR="000D138E" w:rsidRDefault="000D138E" w:rsidP="000D138E">
      <w:pPr>
        <w:pStyle w:val="ListParagraph"/>
        <w:numPr>
          <w:ilvl w:val="1"/>
          <w:numId w:val="66"/>
        </w:numPr>
      </w:pPr>
      <w:r>
        <w:t>The number of consumers</w:t>
      </w:r>
    </w:p>
    <w:p w:rsidR="000D138E" w:rsidRDefault="000D138E" w:rsidP="000D138E">
      <w:pPr>
        <w:pStyle w:val="ListParagraph"/>
        <w:numPr>
          <w:ilvl w:val="1"/>
          <w:numId w:val="66"/>
        </w:numPr>
      </w:pPr>
      <w:r>
        <w:t>The number of workers</w:t>
      </w:r>
    </w:p>
    <w:p w:rsidR="000D138E" w:rsidRDefault="000D138E" w:rsidP="000D138E">
      <w:pPr>
        <w:pStyle w:val="ListParagraph"/>
        <w:numPr>
          <w:ilvl w:val="1"/>
          <w:numId w:val="66"/>
        </w:numPr>
      </w:pPr>
      <w:r>
        <w:t>The number of subsistence farmers and ranchers</w:t>
      </w:r>
    </w:p>
    <w:p w:rsidR="000D138E" w:rsidRDefault="000D138E" w:rsidP="000D138E">
      <w:pPr>
        <w:pStyle w:val="ListParagraph"/>
        <w:numPr>
          <w:ilvl w:val="0"/>
          <w:numId w:val="66"/>
        </w:numPr>
      </w:pPr>
      <w:r>
        <w:t>Rolling up the group demographics to the neighborhood and playbox levels.</w:t>
      </w:r>
    </w:p>
    <w:p w:rsidR="000D138E" w:rsidRDefault="000D138E" w:rsidP="000D138E"/>
    <w:p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rsidR="00753E07" w:rsidRDefault="000D138E" w:rsidP="00753E07">
      <w:pPr>
        <w:pStyle w:val="Heading3"/>
      </w:pPr>
      <w:bookmarkStart w:id="281" w:name="_Toc364076537"/>
      <w:r>
        <w:t>Connections with Other Models</w:t>
      </w:r>
      <w:bookmarkEnd w:id="281"/>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AC18D0" w:rsidP="00EA4D0B">
      <w:pPr>
        <w:pStyle w:val="ListParagraph"/>
        <w:numPr>
          <w:ilvl w:val="0"/>
          <w:numId w:val="45"/>
        </w:numPr>
      </w:pPr>
      <w:r>
        <w:t>URAM</w:t>
      </w:r>
      <w:r w:rsidR="00753E07" w:rsidRPr="00BB4A47">
        <w:t xml:space="preserve">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t>The Economics Model requires the number of people who participate in the regional economy (the consumers) and the number of people in</w:t>
      </w:r>
      <w:r>
        <w:t xml:space="preserve"> the potential labor force (the workers).</w:t>
      </w:r>
    </w:p>
    <w:p w:rsidR="00516127" w:rsidRDefault="00516127" w:rsidP="00516127"/>
    <w:p w:rsidR="00516127" w:rsidRDefault="00516127" w:rsidP="00516127">
      <w:pPr>
        <w:pStyle w:val="ListParagraph"/>
        <w:numPr>
          <w:ilvl w:val="0"/>
          <w:numId w:val="45"/>
        </w:numPr>
      </w:pPr>
      <w:r>
        <w:t>The Groun</w:t>
      </w:r>
      <w:r w:rsidR="000D138E">
        <w:t>d Model requires that civilians</w:t>
      </w:r>
      <w:r>
        <w:t xml:space="preserve"> can be moved from one group to another, possibly in another neighborhood.</w:t>
      </w:r>
    </w:p>
    <w:p w:rsidR="00753E07" w:rsidRDefault="00753E07" w:rsidP="00753E07">
      <w:pPr>
        <w:pStyle w:val="Heading3"/>
      </w:pPr>
      <w:bookmarkStart w:id="282" w:name="_Toc310421851"/>
      <w:bookmarkStart w:id="283" w:name="_Toc364076538"/>
      <w:r>
        <w:t>Simplifying Assumptions</w:t>
      </w:r>
      <w:bookmarkEnd w:id="282"/>
      <w:bookmarkEnd w:id="283"/>
    </w:p>
    <w:p w:rsidR="00753E07" w:rsidRDefault="00753E07" w:rsidP="00CA4242">
      <w:r>
        <w:t>We make the following simplifying assumptions:</w:t>
      </w:r>
    </w:p>
    <w:p w:rsidR="00CA4242" w:rsidRDefault="00CA4242" w:rsidP="00CA4242"/>
    <w:p w:rsidR="00753E07" w:rsidRDefault="000D138E" w:rsidP="00EA4D0B">
      <w:pPr>
        <w:pStyle w:val="ListParagraph"/>
        <w:numPr>
          <w:ilvl w:val="0"/>
          <w:numId w:val="47"/>
        </w:numPr>
      </w:pPr>
      <w:r>
        <w:t>The histogram of group population by age is approximately flat, i.e., if 10 children are added to the population then there are also 10 more people of working age</w:t>
      </w:r>
      <w:r w:rsidR="00753E07" w:rsidRPr="00BB4A47">
        <w:t>.</w:t>
      </w:r>
    </w:p>
    <w:p w:rsidR="00CA4242" w:rsidRPr="00BB4A47" w:rsidRDefault="00CA4242" w:rsidP="00CA4242"/>
    <w:p w:rsidR="00753E07" w:rsidRDefault="00753E07" w:rsidP="00EA4D0B">
      <w:pPr>
        <w:pStyle w:val="ListParagraph"/>
        <w:numPr>
          <w:ilvl w:val="0"/>
          <w:numId w:val="47"/>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rsidR="00CA4242" w:rsidRPr="00BB4A47" w:rsidRDefault="00CA4242" w:rsidP="00CA4242"/>
    <w:p w:rsidR="00753E07" w:rsidRDefault="00753E07" w:rsidP="00EA4D0B">
      <w:pPr>
        <w:pStyle w:val="ListParagraph"/>
        <w:numPr>
          <w:ilvl w:val="0"/>
          <w:numId w:val="47"/>
        </w:numPr>
      </w:pPr>
      <w:r w:rsidRPr="00BB4A47">
        <w:lastRenderedPageBreak/>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t>The labor force is a simple fraction of the total consumers</w:t>
      </w:r>
      <w:r w:rsidR="000D138E">
        <w:t xml:space="preserve"> in each non-subsistence group.</w:t>
      </w:r>
    </w:p>
    <w:p w:rsidR="00753E07" w:rsidRDefault="00753E07" w:rsidP="00753E07">
      <w:pPr>
        <w:pStyle w:val="Heading3"/>
      </w:pPr>
      <w:bookmarkStart w:id="284" w:name="_Toc310421852"/>
      <w:bookmarkStart w:id="285" w:name="_Toc364076539"/>
      <w:r>
        <w:t>Population and Units</w:t>
      </w:r>
      <w:bookmarkEnd w:id="284"/>
      <w:bookmarkEnd w:id="285"/>
    </w:p>
    <w:p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6" w:name="_Toc310421853"/>
      <w:bookmarkStart w:id="287" w:name="_Toc364076540"/>
      <w:r>
        <w:t>Civilian Group Population</w:t>
      </w:r>
      <w:bookmarkEnd w:id="286"/>
      <w:r w:rsidR="000D138E">
        <w:t xml:space="preserve"> over Time</w:t>
      </w:r>
      <w:bookmarkEnd w:id="287"/>
    </w:p>
    <w:p w:rsidR="000D138E" w:rsidRDefault="000D138E" w:rsidP="000D138E">
      <w:r>
        <w:t xml:space="preserve">The population of civilian group </w:t>
      </w:r>
      <w:r>
        <w:rPr>
          <w:i/>
        </w:rPr>
        <w:t>g</w:t>
      </w:r>
      <w:r>
        <w:t xml:space="preserve"> over time is governed by the following equations:</w:t>
      </w:r>
    </w:p>
    <w:p w:rsidR="000D138E" w:rsidRPr="000D138E" w:rsidRDefault="000D138E" w:rsidP="000D138E"/>
    <w:p w:rsidR="00753E07" w:rsidRPr="0097139E" w:rsidRDefault="009F5549"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rsidR="0097139E" w:rsidRPr="0097139E" w:rsidRDefault="009F5549"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rsidR="0097139E" w:rsidRDefault="0097139E" w:rsidP="0097139E"/>
    <w:p w:rsidR="0097139E" w:rsidRDefault="0097139E" w:rsidP="0097139E">
      <w:r>
        <w:t>where</w:t>
      </w:r>
    </w:p>
    <w:p w:rsidR="0097139E" w:rsidRDefault="0097139E" w:rsidP="0097139E"/>
    <w:p w:rsidR="0097139E" w:rsidRDefault="009F5549"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rsidR="0097139E" w:rsidRDefault="009F5549"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rsidR="0097139E" w:rsidRDefault="009F5549"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rsidR="0097139E" w:rsidRDefault="009F5549"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rsidR="0097139E" w:rsidRDefault="009F5549"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rsidR="0097139E" w:rsidRPr="0097139E" w:rsidRDefault="009F5549"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rsidR="0097139E" w:rsidRDefault="0097139E" w:rsidP="0097139E"/>
    <w:p w:rsidR="0097139E" w:rsidRDefault="0097139E" w:rsidP="0097139E">
      <w:pPr>
        <w:pStyle w:val="Heading4"/>
      </w:pPr>
      <w:bookmarkStart w:id="288" w:name="_Toc364076541"/>
      <w:r>
        <w:t>Natural Population Change</w:t>
      </w:r>
      <w:bookmarkEnd w:id="288"/>
    </w:p>
    <w:p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rsidR="0097139E" w:rsidRDefault="0097139E" w:rsidP="0097139E"/>
    <w:p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rsidR="0097139E" w:rsidRDefault="0097139E" w:rsidP="0097139E"/>
    <w:p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rsidR="00730406" w:rsidRDefault="00730406" w:rsidP="0097139E"/>
    <w:p w:rsidR="00730406" w:rsidRPr="0097139E" w:rsidRDefault="009F5549"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97139E" w:rsidRDefault="0097139E" w:rsidP="00730406"/>
    <w:p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0"/>
        </m:r>
      </m:oMath>
    </w:p>
    <w:p w:rsidR="00730406" w:rsidRDefault="00730406" w:rsidP="00730406"/>
    <w:p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rsidR="00730406" w:rsidRDefault="00730406" w:rsidP="00730406"/>
    <w:p w:rsidR="00730406" w:rsidRPr="0097139E" w:rsidRDefault="009F5549"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rsidR="0097139E" w:rsidRDefault="0097139E" w:rsidP="00730406"/>
    <w:p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rsidR="00730406" w:rsidRDefault="00730406" w:rsidP="00730406"/>
    <w:p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rsidR="00753E07" w:rsidRDefault="00753E07" w:rsidP="00753E07">
      <w:pPr>
        <w:pStyle w:val="Heading4"/>
      </w:pPr>
      <w:bookmarkStart w:id="289" w:name="_Toc310421854"/>
      <w:bookmarkStart w:id="290" w:name="_Toc364076542"/>
      <w:r>
        <w:t>Civilian Attrition</w:t>
      </w:r>
      <w:bookmarkEnd w:id="289"/>
      <w:bookmarkEnd w:id="290"/>
    </w:p>
    <w:p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91" w:name="_Toc310421855"/>
    </w:p>
    <w:p w:rsidR="00333F4D" w:rsidRDefault="00333F4D" w:rsidP="00333F4D">
      <w:pPr>
        <w:pStyle w:val="Heading3"/>
      </w:pPr>
      <w:bookmarkStart w:id="292" w:name="_Toc364076543"/>
      <w:r>
        <w:t>Population Breakdowns</w:t>
      </w:r>
      <w:bookmarkEnd w:id="292"/>
    </w:p>
    <w:p w:rsidR="00333F4D" w:rsidRPr="00333F4D" w:rsidRDefault="00333F4D" w:rsidP="00333F4D">
      <w:r>
        <w:t>The Demographic model breaks each group's population down into categories.</w:t>
      </w:r>
    </w:p>
    <w:p w:rsidR="00753E07" w:rsidRDefault="00753E07" w:rsidP="00333F4D">
      <w:pPr>
        <w:pStyle w:val="Heading4"/>
      </w:pPr>
      <w:bookmarkStart w:id="293" w:name="_Toc364076544"/>
      <w:r>
        <w:lastRenderedPageBreak/>
        <w:t>Subsistence Population</w:t>
      </w:r>
      <w:bookmarkEnd w:id="291"/>
      <w:bookmarkEnd w:id="293"/>
    </w:p>
    <w:p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rsidR="00131AC4" w:rsidRPr="00BB4A47" w:rsidRDefault="00131AC4" w:rsidP="006F1187"/>
    <w:p w:rsidR="00753E07" w:rsidRDefault="009F5549"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753E07">
      <w:pPr>
        <w:pStyle w:val="Definitions"/>
      </w:pPr>
    </w:p>
    <w:p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rsidR="00CA1E80" w:rsidRDefault="00CA1E80" w:rsidP="00131AC4"/>
    <w:p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rsidR="00753E07" w:rsidRDefault="00753E07" w:rsidP="00131AC4"/>
    <w:p w:rsidR="00753E07" w:rsidRDefault="00753E07" w:rsidP="00753E07">
      <w:pPr>
        <w:pStyle w:val="Heading4"/>
      </w:pPr>
      <w:bookmarkStart w:id="294" w:name="_Toc310421856"/>
      <w:bookmarkStart w:id="295" w:name="_Toc364076545"/>
      <w:r>
        <w:t>Consumer Population</w:t>
      </w:r>
      <w:bookmarkEnd w:id="294"/>
      <w:bookmarkEnd w:id="295"/>
    </w:p>
    <w:p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F00985" w:rsidRDefault="009F5549"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rsidR="00753E07" w:rsidRDefault="00753E07" w:rsidP="00131AC4"/>
    <w:p w:rsidR="00753E07" w:rsidRDefault="00753E07" w:rsidP="00753E07">
      <w:pPr>
        <w:pStyle w:val="Heading4"/>
      </w:pPr>
      <w:bookmarkStart w:id="296" w:name="_Toc310421857"/>
      <w:bookmarkStart w:id="297" w:name="_Toc364076546"/>
      <w:r>
        <w:t>Labor Force</w:t>
      </w:r>
      <w:bookmarkEnd w:id="296"/>
      <w:bookmarkEnd w:id="297"/>
    </w:p>
    <w:p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1"/>
      </w:r>
      <w:r w:rsidR="00753E07">
        <w:t xml:space="preserve"> of </w:t>
      </w:r>
      <w:r w:rsidR="00F00985">
        <w:t xml:space="preserve">non-subsistence </w:t>
      </w:r>
      <w:r w:rsidR="00753E07">
        <w:t xml:space="preserve">group </w:t>
      </w:r>
      <w:r w:rsidR="00753E07">
        <w:rPr>
          <w:i/>
          <w:iCs/>
        </w:rPr>
        <w:t>g</w:t>
      </w:r>
      <w:r w:rsidR="00753E07">
        <w:t xml:space="preserve"> as follows:</w:t>
      </w:r>
    </w:p>
    <w:p w:rsidR="00131AC4" w:rsidRDefault="00131AC4" w:rsidP="00131AC4"/>
    <w:p w:rsidR="00753E07" w:rsidRPr="00333F4D" w:rsidRDefault="009F5549"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rsidR="00333F4D" w:rsidRDefault="00333F4D" w:rsidP="00131AC4"/>
    <w:p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rsidR="00333F4D" w:rsidRDefault="00333F4D" w:rsidP="00333F4D"/>
    <w:p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rsidR="00E561EC" w:rsidRPr="00E561EC" w:rsidRDefault="00E561EC" w:rsidP="00E561EC">
      <w:pPr>
        <w:pStyle w:val="Heading3"/>
      </w:pPr>
      <w:bookmarkStart w:id="298" w:name="_Toc364076547"/>
      <w:r>
        <w:t>Aggregate Statistics</w:t>
      </w:r>
      <w:bookmarkEnd w:id="298"/>
    </w:p>
    <w:p w:rsidR="00753E07" w:rsidRDefault="00753E07" w:rsidP="00E561EC">
      <w:pPr>
        <w:pStyle w:val="Heading4"/>
      </w:pPr>
      <w:bookmarkStart w:id="299" w:name="_Toc310421858"/>
      <w:bookmarkStart w:id="300" w:name="_Toc364076548"/>
      <w:r>
        <w:t>Neighborhood Population</w:t>
      </w:r>
      <w:bookmarkEnd w:id="299"/>
      <w:bookmarkEnd w:id="300"/>
    </w:p>
    <w:p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rsidR="00131AC4" w:rsidRDefault="00131AC4" w:rsidP="00131AC4"/>
    <w:p w:rsidR="00753E07" w:rsidRPr="00131AC4" w:rsidRDefault="009F554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9F5549" w:rsidP="00131AC4">
      <w:pPr>
        <w:ind w:left="360"/>
      </w:pPr>
      <m:oMathPara>
        <m:oMathParaPr>
          <m:jc m:val="left"/>
        </m:oMathParaPr>
        <m:oMath>
          <m:sSub>
            <m:sSubPr>
              <m:ctrlPr>
                <w:rPr>
                  <w:rFonts w:ascii="Cambria Math" w:hAnsi="Cambria Math"/>
                </w:rPr>
              </m:ctrlPr>
            </m:sSubPr>
            <m:e>
              <m:r>
                <w:rPr>
                  <w:rFonts w:ascii="Cambria Math" w:hAnsi="Cambria Math"/>
                </w:rPr>
                <m:t>C</m:t>
              </m:r>
              <m:r>
                <w:rPr>
                  <w:rFonts w:ascii="Cambria Math" w:hAnsi="Cambria Math"/>
                </w:rPr>
                <m:t>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9F554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E561EC">
      <w:pPr>
        <w:pStyle w:val="Heading4"/>
      </w:pPr>
      <w:bookmarkStart w:id="301" w:name="_Toc310421863"/>
      <w:bookmarkStart w:id="302" w:name="_Toc364076549"/>
      <w:r>
        <w:t>Regional Population</w:t>
      </w:r>
      <w:bookmarkEnd w:id="301"/>
      <w:bookmarkEnd w:id="302"/>
    </w:p>
    <w:p w:rsidR="00753E07" w:rsidRDefault="00753E07" w:rsidP="00131AC4">
      <w:r>
        <w:t>The regional population, consumers, and labor force are simply summed up across the “local” neighborhoods in the obvious way.</w:t>
      </w:r>
    </w:p>
    <w:p w:rsidR="00777296" w:rsidRDefault="00777296" w:rsidP="00131AC4"/>
    <w:p w:rsidR="00777296" w:rsidRDefault="00777296" w:rsidP="00777296">
      <w:pPr>
        <w:pStyle w:val="Heading4"/>
      </w:pPr>
      <w:bookmarkStart w:id="303" w:name="_Toc364076550"/>
      <w:r>
        <w:t>Labor Security Factor</w:t>
      </w:r>
      <w:bookmarkEnd w:id="303"/>
    </w:p>
    <w:p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rsidR="00777296" w:rsidRDefault="00777296" w:rsidP="00777296"/>
    <w:p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2"/>
      </w:r>
    </w:p>
    <w:p w:rsidR="00777296" w:rsidRDefault="00777296" w:rsidP="00777296"/>
    <w:tbl>
      <w:tblPr>
        <w:tblStyle w:val="TableGrid"/>
        <w:tblW w:w="0" w:type="auto"/>
        <w:jc w:val="center"/>
        <w:tblLook w:val="04A0"/>
      </w:tblPr>
      <w:tblGrid>
        <w:gridCol w:w="1458"/>
        <w:gridCol w:w="1080"/>
      </w:tblGrid>
      <w:tr w:rsidR="00777296" w:rsidRPr="00777296" w:rsidTr="00777296">
        <w:trPr>
          <w:jc w:val="center"/>
        </w:trPr>
        <w:tc>
          <w:tcPr>
            <w:tcW w:w="1458" w:type="dxa"/>
          </w:tcPr>
          <w:p w:rsidR="00777296" w:rsidRPr="00777296" w:rsidRDefault="009F5549"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777296" w:rsidRPr="00777296" w:rsidRDefault="009F5549"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rsidTr="00777296">
        <w:trPr>
          <w:jc w:val="center"/>
        </w:trPr>
        <w:tc>
          <w:tcPr>
            <w:tcW w:w="1458" w:type="dxa"/>
          </w:tcPr>
          <w:p w:rsidR="00777296" w:rsidRDefault="00777296" w:rsidP="00777296">
            <w:pPr>
              <w:keepNext/>
              <w:keepLines/>
            </w:pPr>
            <w:r>
              <w:t>None</w:t>
            </w:r>
          </w:p>
        </w:tc>
        <w:tc>
          <w:tcPr>
            <w:tcW w:w="1080" w:type="dxa"/>
          </w:tcPr>
          <w:p w:rsidR="00777296" w:rsidRDefault="00777296" w:rsidP="00777296">
            <w:pPr>
              <w:keepNext/>
              <w:keepLines/>
            </w:pPr>
            <w:r>
              <w:t>0.90</w:t>
            </w:r>
          </w:p>
        </w:tc>
      </w:tr>
      <w:tr w:rsidR="00777296" w:rsidTr="00777296">
        <w:trPr>
          <w:jc w:val="center"/>
        </w:trPr>
        <w:tc>
          <w:tcPr>
            <w:tcW w:w="1458" w:type="dxa"/>
          </w:tcPr>
          <w:p w:rsidR="00777296" w:rsidRDefault="00777296" w:rsidP="00777296">
            <w:pPr>
              <w:keepNext/>
              <w:keepLines/>
            </w:pPr>
            <w:r>
              <w:t>Low</w:t>
            </w:r>
          </w:p>
        </w:tc>
        <w:tc>
          <w:tcPr>
            <w:tcW w:w="1080" w:type="dxa"/>
          </w:tcPr>
          <w:p w:rsidR="00777296" w:rsidRDefault="00777296" w:rsidP="00777296">
            <w:pPr>
              <w:keepNext/>
              <w:keepLines/>
            </w:pPr>
            <w:r>
              <w:t>0.95</w:t>
            </w:r>
          </w:p>
        </w:tc>
      </w:tr>
      <w:tr w:rsidR="00777296" w:rsidTr="00777296">
        <w:trPr>
          <w:jc w:val="center"/>
        </w:trPr>
        <w:tc>
          <w:tcPr>
            <w:tcW w:w="1458" w:type="dxa"/>
          </w:tcPr>
          <w:p w:rsidR="00777296" w:rsidRDefault="00777296" w:rsidP="00777296">
            <w:pPr>
              <w:keepNext/>
              <w:keepLines/>
            </w:pPr>
            <w:r>
              <w:t>Medium</w:t>
            </w:r>
          </w:p>
        </w:tc>
        <w:tc>
          <w:tcPr>
            <w:tcW w:w="1080" w:type="dxa"/>
          </w:tcPr>
          <w:p w:rsidR="00777296" w:rsidRDefault="00777296" w:rsidP="00777296">
            <w:pPr>
              <w:keepNext/>
              <w:keepLines/>
            </w:pPr>
            <w:r>
              <w:t>0.98</w:t>
            </w:r>
          </w:p>
        </w:tc>
      </w:tr>
      <w:tr w:rsidR="00777296" w:rsidTr="00777296">
        <w:trPr>
          <w:jc w:val="center"/>
        </w:trPr>
        <w:tc>
          <w:tcPr>
            <w:tcW w:w="1458" w:type="dxa"/>
          </w:tcPr>
          <w:p w:rsidR="00777296" w:rsidRDefault="00777296" w:rsidP="00777296">
            <w:pPr>
              <w:keepNext/>
              <w:keepLines/>
            </w:pPr>
            <w:r>
              <w:t>High</w:t>
            </w:r>
          </w:p>
        </w:tc>
        <w:tc>
          <w:tcPr>
            <w:tcW w:w="1080" w:type="dxa"/>
          </w:tcPr>
          <w:p w:rsidR="00777296" w:rsidRDefault="00777296" w:rsidP="00777296">
            <w:pPr>
              <w:keepNext/>
              <w:keepLines/>
            </w:pPr>
            <w:r>
              <w:t>1.00</w:t>
            </w:r>
          </w:p>
        </w:tc>
      </w:tr>
    </w:tbl>
    <w:p w:rsidR="00777296" w:rsidRDefault="00777296" w:rsidP="00777296"/>
    <w:p w:rsidR="00777296" w:rsidRDefault="00777296" w:rsidP="00777296">
      <w:r>
        <w:t xml:space="preserve">Then, </w:t>
      </w:r>
      <w:r>
        <w:rPr>
          <w:i/>
        </w:rPr>
        <w:t>LSF</w:t>
      </w:r>
      <w:r>
        <w:t xml:space="preserve"> is simply the actual fraction of the labor force available to go to work:</w:t>
      </w:r>
    </w:p>
    <w:p w:rsidR="00777296" w:rsidRDefault="00777296" w:rsidP="00777296"/>
    <w:p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rsidR="002B4228" w:rsidRDefault="002B4228" w:rsidP="00777296"/>
    <w:p w:rsidR="00D217C6" w:rsidRDefault="00D217C6" w:rsidP="00D217C6">
      <w:pPr>
        <w:pStyle w:val="Heading4"/>
      </w:pPr>
      <w:bookmarkStart w:id="304" w:name="_Toc364076551"/>
      <w:r>
        <w:t>Consumer Security Factor</w:t>
      </w:r>
      <w:bookmarkEnd w:id="304"/>
    </w:p>
    <w:p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rsidR="00D217C6" w:rsidRDefault="00D217C6" w:rsidP="00D217C6"/>
    <w:p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3"/>
      </w:r>
    </w:p>
    <w:p w:rsidR="00D217C6" w:rsidRDefault="00D217C6" w:rsidP="00D217C6"/>
    <w:tbl>
      <w:tblPr>
        <w:tblStyle w:val="TableGrid"/>
        <w:tblW w:w="0" w:type="auto"/>
        <w:jc w:val="center"/>
        <w:tblLook w:val="04A0"/>
      </w:tblPr>
      <w:tblGrid>
        <w:gridCol w:w="1458"/>
        <w:gridCol w:w="1080"/>
      </w:tblGrid>
      <w:tr w:rsidR="00D217C6" w:rsidRPr="00777296" w:rsidTr="004A0845">
        <w:trPr>
          <w:jc w:val="center"/>
        </w:trPr>
        <w:tc>
          <w:tcPr>
            <w:tcW w:w="1458" w:type="dxa"/>
          </w:tcPr>
          <w:p w:rsidR="00D217C6" w:rsidRPr="00777296" w:rsidRDefault="009F5549"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rsidR="00D217C6" w:rsidRPr="00777296" w:rsidRDefault="009F5549"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rsidTr="004A0845">
        <w:trPr>
          <w:jc w:val="center"/>
        </w:trPr>
        <w:tc>
          <w:tcPr>
            <w:tcW w:w="1458" w:type="dxa"/>
          </w:tcPr>
          <w:p w:rsidR="00D217C6" w:rsidRDefault="00D217C6" w:rsidP="004A0845">
            <w:pPr>
              <w:keepNext/>
              <w:keepLines/>
            </w:pPr>
            <w:r>
              <w:t>None</w:t>
            </w:r>
          </w:p>
        </w:tc>
        <w:tc>
          <w:tcPr>
            <w:tcW w:w="1080" w:type="dxa"/>
          </w:tcPr>
          <w:p w:rsidR="00D217C6" w:rsidRDefault="00D217C6" w:rsidP="004A0845">
            <w:pPr>
              <w:keepNext/>
              <w:keepLines/>
            </w:pPr>
            <w:r>
              <w:t>0.88</w:t>
            </w:r>
          </w:p>
        </w:tc>
      </w:tr>
      <w:tr w:rsidR="00D217C6" w:rsidTr="004A0845">
        <w:trPr>
          <w:jc w:val="center"/>
        </w:trPr>
        <w:tc>
          <w:tcPr>
            <w:tcW w:w="1458" w:type="dxa"/>
          </w:tcPr>
          <w:p w:rsidR="00D217C6" w:rsidRDefault="00D217C6" w:rsidP="004A0845">
            <w:pPr>
              <w:keepNext/>
              <w:keepLines/>
            </w:pPr>
            <w:r>
              <w:t>Low</w:t>
            </w:r>
          </w:p>
        </w:tc>
        <w:tc>
          <w:tcPr>
            <w:tcW w:w="1080" w:type="dxa"/>
          </w:tcPr>
          <w:p w:rsidR="00D217C6" w:rsidRDefault="00D217C6" w:rsidP="004A0845">
            <w:pPr>
              <w:keepNext/>
              <w:keepLines/>
            </w:pPr>
            <w:r>
              <w:t>0.92</w:t>
            </w:r>
          </w:p>
        </w:tc>
      </w:tr>
      <w:tr w:rsidR="00D217C6" w:rsidTr="004A0845">
        <w:trPr>
          <w:jc w:val="center"/>
        </w:trPr>
        <w:tc>
          <w:tcPr>
            <w:tcW w:w="1458" w:type="dxa"/>
          </w:tcPr>
          <w:p w:rsidR="00D217C6" w:rsidRDefault="00D217C6" w:rsidP="004A0845">
            <w:pPr>
              <w:keepNext/>
              <w:keepLines/>
            </w:pPr>
            <w:r>
              <w:t>Medium</w:t>
            </w:r>
          </w:p>
        </w:tc>
        <w:tc>
          <w:tcPr>
            <w:tcW w:w="1080" w:type="dxa"/>
          </w:tcPr>
          <w:p w:rsidR="00D217C6" w:rsidRDefault="00D217C6" w:rsidP="004A0845">
            <w:pPr>
              <w:keepNext/>
              <w:keepLines/>
            </w:pPr>
            <w:r>
              <w:t>0.98</w:t>
            </w:r>
          </w:p>
        </w:tc>
      </w:tr>
      <w:tr w:rsidR="00D217C6" w:rsidTr="004A0845">
        <w:trPr>
          <w:jc w:val="center"/>
        </w:trPr>
        <w:tc>
          <w:tcPr>
            <w:tcW w:w="1458" w:type="dxa"/>
          </w:tcPr>
          <w:p w:rsidR="00D217C6" w:rsidRDefault="00D217C6" w:rsidP="004A0845">
            <w:pPr>
              <w:keepNext/>
              <w:keepLines/>
            </w:pPr>
            <w:r>
              <w:t>High</w:t>
            </w:r>
          </w:p>
        </w:tc>
        <w:tc>
          <w:tcPr>
            <w:tcW w:w="1080" w:type="dxa"/>
          </w:tcPr>
          <w:p w:rsidR="00D217C6" w:rsidRDefault="00D217C6" w:rsidP="004A0845">
            <w:pPr>
              <w:keepNext/>
              <w:keepLines/>
            </w:pPr>
            <w:r>
              <w:t>1.00</w:t>
            </w:r>
          </w:p>
        </w:tc>
      </w:tr>
    </w:tbl>
    <w:p w:rsidR="00D217C6" w:rsidRDefault="00D217C6" w:rsidP="00D217C6"/>
    <w:p w:rsidR="00D217C6" w:rsidRDefault="00D217C6" w:rsidP="00D217C6">
      <w:r>
        <w:t xml:space="preserve">Then, </w:t>
      </w:r>
      <w:r>
        <w:rPr>
          <w:i/>
        </w:rPr>
        <w:t>CSF</w:t>
      </w:r>
      <w:r>
        <w:t xml:space="preserve"> is simply the actual fraction of the consumers that are willing to go shopping, aggregated across the playbox:</w:t>
      </w:r>
    </w:p>
    <w:p w:rsidR="00D217C6" w:rsidRDefault="00D217C6" w:rsidP="00D217C6"/>
    <w:p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on"/>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rsidR="00D217C6" w:rsidRPr="00777296" w:rsidRDefault="00D217C6" w:rsidP="00777296"/>
    <w:p w:rsidR="00753E07" w:rsidRDefault="00753E07" w:rsidP="00753E07">
      <w:pPr>
        <w:pStyle w:val="Heading3"/>
      </w:pPr>
      <w:bookmarkStart w:id="305" w:name="_Toc310421864"/>
      <w:bookmarkStart w:id="306" w:name="_Toc364076552"/>
      <w:r>
        <w:t>Unemployment</w:t>
      </w:r>
      <w:bookmarkEnd w:id="305"/>
      <w:bookmarkEnd w:id="306"/>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7" w:name="_Toc310421865"/>
      <w:bookmarkStart w:id="308" w:name="_Toc364076553"/>
      <w:r>
        <w:lastRenderedPageBreak/>
        <w:t>Disaggregation to Neighborhoods</w:t>
      </w:r>
      <w:bookmarkEnd w:id="307"/>
      <w:bookmarkEnd w:id="308"/>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9F554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9F554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9F5549"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09" w:name="_Toc310421866"/>
      <w:bookmarkStart w:id="310" w:name="_Toc364076554"/>
      <w:r>
        <w:t>Disaggregation to Civilian Groups</w:t>
      </w:r>
      <w:bookmarkEnd w:id="309"/>
      <w:bookmarkEnd w:id="310"/>
    </w:p>
    <w:p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9F554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r>
        <w:t>where</w:t>
      </w:r>
    </w:p>
    <w:p w:rsidR="00131AC4" w:rsidRDefault="00131AC4" w:rsidP="00131AC4"/>
    <w:p w:rsidR="00753E07" w:rsidRDefault="009F554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9F5549"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m:t>
                  </m:r>
                  <m:r>
                    <w:rPr>
                      <w:rFonts w:ascii="Cambria Math" w:hAnsi="Cambria Math"/>
                    </w:rPr>
                    <m:t>pulation</m:t>
                  </m:r>
                </m:e>
                <m:sub>
                  <m:r>
                    <w:rPr>
                      <w:rFonts w:ascii="Cambria Math" w:hAnsi="Cambria Math"/>
                    </w:rPr>
                    <m:t>g</m:t>
                  </m:r>
                </m:sub>
              </m:sSub>
            </m:den>
          </m:f>
        </m:oMath>
      </m:oMathPara>
    </w:p>
    <w:p w:rsidR="00753E07" w:rsidRDefault="00753E07" w:rsidP="00753E07">
      <w:pPr>
        <w:pStyle w:val="Heading4"/>
      </w:pPr>
      <w:bookmarkStart w:id="311" w:name="_Toc310421867"/>
      <w:bookmarkStart w:id="312" w:name="_Toc364076555"/>
      <w:r>
        <w:t>Unemployment Situations</w:t>
      </w:r>
      <w:bookmarkEnd w:id="311"/>
      <w:bookmarkEnd w:id="312"/>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lastRenderedPageBreak/>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221B56" w:rsidRDefault="00221B56" w:rsidP="00221B56">
      <w:pPr>
        <w:pStyle w:val="ListParagraph"/>
        <w:numPr>
          <w:ilvl w:val="0"/>
          <w:numId w:val="48"/>
        </w:numPr>
      </w:pPr>
      <w:r>
        <w:t xml:space="preserve">Unemployed civilians earn no money, and hence cannot afford to buy goods.  Prior to Athena 5, this effect was computed based on the degree of unemployment; in Athena 5, it is computed directly.  See Section </w:t>
      </w:r>
      <w:r w:rsidR="009F5549">
        <w:fldChar w:fldCharType="begin"/>
      </w:r>
      <w:r>
        <w:instrText xml:space="preserve"> REF _Ref349547059 \r \h </w:instrText>
      </w:r>
      <w:r w:rsidR="009F5549">
        <w:fldChar w:fldCharType="separate"/>
      </w:r>
      <w:r w:rsidR="00D217C6">
        <w:t>10.8</w:t>
      </w:r>
      <w:r w:rsidR="009F5549">
        <w:fldChar w:fldCharType="end"/>
      </w:r>
      <w:r>
        <w:t>.</w:t>
      </w:r>
    </w:p>
    <w:p w:rsidR="00221B56" w:rsidRDefault="00221B56" w:rsidP="00131AC4"/>
    <w:p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and is computed from the unemployment per capita using a </w:t>
      </w:r>
      <w:r>
        <w:t>Z-curve</w:t>
      </w:r>
      <w:r w:rsidR="00221B56">
        <w:t>, as follows:</w:t>
      </w:r>
      <w:r>
        <w:t xml:space="preserve"> </w:t>
      </w: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4"/>
      </w:r>
    </w:p>
    <w:p w:rsidR="00131AC4" w:rsidRDefault="00131AC4" w:rsidP="00131AC4"/>
    <w:p w:rsidR="00753E07" w:rsidRPr="00131AC4" w:rsidRDefault="009F554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BA2AE0"/>
    <w:p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rsidR="00131AC4" w:rsidRPr="00C21485" w:rsidRDefault="00131AC4" w:rsidP="00131AC4"/>
    <w:p w:rsidR="00753E07" w:rsidRDefault="00BA2AE0" w:rsidP="00131AC4">
      <w:r>
        <w:lastRenderedPageBreak/>
        <w:t xml:space="preserve">Given that QOL effects due to insufficient consumption are handled by the Consumption of Goods model (Section </w:t>
      </w:r>
      <w:r w:rsidR="009F5549">
        <w:fldChar w:fldCharType="begin"/>
      </w:r>
      <w:r>
        <w:instrText xml:space="preserve"> REF _Ref349547059 \r \h </w:instrText>
      </w:r>
      <w:r w:rsidR="009F5549">
        <w:fldChar w:fldCharType="separate"/>
      </w:r>
      <w:r w:rsidR="00D217C6">
        <w:t>10.8</w:t>
      </w:r>
      <w:r w:rsidR="009F554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rsidR="00221B56" w:rsidRDefault="00221B56" w:rsidP="00221B56">
      <w:pPr>
        <w:pStyle w:val="Heading3"/>
      </w:pPr>
      <w:bookmarkStart w:id="313" w:name="_Ref349547059"/>
      <w:bookmarkStart w:id="314" w:name="_Toc364076556"/>
      <w:r>
        <w:t>Consumption of Goods</w:t>
      </w:r>
      <w:bookmarkEnd w:id="313"/>
      <w:bookmarkEnd w:id="314"/>
    </w:p>
    <w:p w:rsidR="004F6A40" w:rsidRDefault="00375906" w:rsidP="00131AC4">
      <w:r>
        <w:t xml:space="preserve">The Consumption of Goods model covers the effects on civilian attitudes of consuming a greater or lesser quantity of goods.  It is similar to the ENI Services model (Section </w:t>
      </w:r>
      <w:r w:rsidR="009F5549">
        <w:fldChar w:fldCharType="begin"/>
      </w:r>
      <w:r>
        <w:instrText xml:space="preserve"> REF _Ref310246902 \r \h </w:instrText>
      </w:r>
      <w:r w:rsidR="009F5549">
        <w:fldChar w:fldCharType="separate"/>
      </w:r>
      <w:r w:rsidR="00D217C6">
        <w:t>8</w:t>
      </w:r>
      <w:r w:rsidR="009F5549">
        <w:fldChar w:fldCharType="end"/>
      </w:r>
      <w:r>
        <w:t>) in that it takes both minimum requirements and expectations into account.  Unlike the Services model, however, we do not assume that every member of population receives the same amount of goods.  Instead, we explicitly model income disparity and compute the fraction of each group that is living in poverty.</w:t>
      </w:r>
      <w:r>
        <w:rPr>
          <w:rStyle w:val="FootnoteReference"/>
        </w:rPr>
        <w:footnoteReference w:id="75"/>
      </w:r>
    </w:p>
    <w:p w:rsidR="004D413F" w:rsidRDefault="004D413F" w:rsidP="00131AC4"/>
    <w:p w:rsidR="004D413F" w:rsidRDefault="004D413F" w:rsidP="00131AC4">
      <w:r>
        <w:t xml:space="preserve">We deal with two distinct kinds of effect.  </w:t>
      </w:r>
    </w:p>
    <w:p w:rsidR="004D413F" w:rsidRDefault="004D413F" w:rsidP="00131AC4"/>
    <w:p w:rsidR="004D413F" w:rsidRDefault="004D413F" w:rsidP="004D413F">
      <w:pPr>
        <w:pStyle w:val="ListParagraph"/>
        <w:numPr>
          <w:ilvl w:val="0"/>
          <w:numId w:val="67"/>
        </w:numPr>
      </w:pPr>
      <w:r>
        <w:t>Negative attitude effects due to the fraction of the group living in poverty, i.e., effects due to actual hardship.</w:t>
      </w:r>
    </w:p>
    <w:p w:rsidR="004D413F" w:rsidRDefault="004D413F" w:rsidP="004D413F">
      <w:pPr>
        <w:pStyle w:val="ListParagraph"/>
        <w:numPr>
          <w:ilvl w:val="0"/>
          <w:numId w:val="67"/>
        </w:numPr>
      </w:pPr>
      <w:r>
        <w:t>Attitude effects due to the actual level of consumption being higher or lower than expected, i.e., effects due to perceived hardship or prosperity.</w:t>
      </w:r>
    </w:p>
    <w:p w:rsidR="00375906" w:rsidRDefault="00375906" w:rsidP="00131AC4"/>
    <w:p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rsidR="00375906" w:rsidRDefault="00375906" w:rsidP="00131AC4"/>
    <w:p w:rsidR="00375906" w:rsidRDefault="00375906" w:rsidP="00375906">
      <w:pPr>
        <w:pStyle w:val="Heading4"/>
      </w:pPr>
      <w:bookmarkStart w:id="315" w:name="_Toc364076557"/>
      <w:r>
        <w:t>The Actual Level of Consumption (ALOC)</w:t>
      </w:r>
      <w:bookmarkEnd w:id="315"/>
    </w:p>
    <w:p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rsidR="00375906" w:rsidRDefault="00375906" w:rsidP="00375906"/>
    <w:p w:rsidR="00375906" w:rsidRPr="00375906" w:rsidRDefault="009F5549"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375906" w:rsidRPr="00375906" w:rsidRDefault="00375906" w:rsidP="00375906"/>
    <w:p w:rsidR="00375906" w:rsidRDefault="00375906" w:rsidP="00375906">
      <w:r>
        <w:t>where</w:t>
      </w:r>
    </w:p>
    <w:p w:rsidR="00375906" w:rsidRDefault="00375906" w:rsidP="00375906"/>
    <w:p w:rsidR="00375906" w:rsidRDefault="009F5549"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rsidR="00375906" w:rsidRDefault="00375906" w:rsidP="00375906">
      <w:pPr>
        <w:pStyle w:val="Definitions"/>
      </w:pPr>
      <w:r>
        <w:rPr>
          <w:i/>
        </w:rPr>
        <w:t>QD.goods.pop</w:t>
      </w:r>
      <w:r>
        <w:tab/>
        <w:t>=</w:t>
      </w:r>
      <w:r>
        <w:tab/>
        <w:t>The total consumption of goods in the regional economy, this week, expressed in goods-baskets/year.</w:t>
      </w:r>
    </w:p>
    <w:p w:rsidR="00375906" w:rsidRDefault="009F5549"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rsidR="00375906" w:rsidRPr="00375906" w:rsidRDefault="00375906" w:rsidP="00375906">
      <w:pPr>
        <w:pStyle w:val="Definitions"/>
        <w:ind w:left="0" w:firstLine="0"/>
      </w:pPr>
    </w:p>
    <w:p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rsidR="00AD35A5" w:rsidRDefault="00AD35A5" w:rsidP="00AD35A5"/>
    <w:p w:rsidR="00AD35A5" w:rsidRPr="00AD35A5" w:rsidRDefault="009F5549"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rsidR="00AD35A5" w:rsidRPr="00AD35A5" w:rsidRDefault="00AD35A5" w:rsidP="00AD35A5"/>
    <w:p w:rsidR="00AD35A5" w:rsidRDefault="00AD35A5" w:rsidP="00AD35A5">
      <w:r>
        <w:t xml:space="preserve">This is our basic measure of consumption of goods for group </w:t>
      </w:r>
      <w:r>
        <w:rPr>
          <w:i/>
        </w:rPr>
        <w:t>g</w:t>
      </w:r>
      <w:r>
        <w:t>.</w:t>
      </w:r>
    </w:p>
    <w:p w:rsidR="001962C0" w:rsidRDefault="001962C0" w:rsidP="00AD35A5"/>
    <w:p w:rsidR="001962C0" w:rsidRDefault="001962C0" w:rsidP="001962C0">
      <w:pPr>
        <w:pStyle w:val="Heading4"/>
      </w:pPr>
      <w:bookmarkStart w:id="316" w:name="_Toc364076558"/>
      <w:r>
        <w:t>The Expected Level of Consumption (ELOC)</w:t>
      </w:r>
      <w:bookmarkEnd w:id="316"/>
    </w:p>
    <w:p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rsidR="00EC0FBF" w:rsidRDefault="00EC0FBF" w:rsidP="001962C0"/>
    <w:p w:rsidR="00EC0FBF" w:rsidRDefault="009F5549"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rsidR="00EC0FBF" w:rsidRDefault="00EC0FBF" w:rsidP="001962C0"/>
    <w:p w:rsidR="00EC0FBF" w:rsidRDefault="00EC0FBF" w:rsidP="001962C0">
      <w:r>
        <w:t>then</w:t>
      </w:r>
    </w:p>
    <w:p w:rsidR="00EC0FBF" w:rsidRDefault="00EC0FBF" w:rsidP="001962C0"/>
    <w:p w:rsidR="00EC0FBF" w:rsidRPr="00EC0FBF" w:rsidRDefault="009F5549"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rsidR="00EC0FBF" w:rsidRDefault="00EC0FBF" w:rsidP="00EC0FBF">
      <w:pPr>
        <w:ind w:left="360"/>
      </w:pPr>
    </w:p>
    <w:p w:rsidR="00EC0FBF" w:rsidRPr="00EC0FBF" w:rsidRDefault="009F5549"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rsidR="00EC0FBF" w:rsidRDefault="00EC0FBF" w:rsidP="00EC0FBF">
      <w:pPr>
        <w:ind w:left="360"/>
      </w:pPr>
    </w:p>
    <w:p w:rsidR="00EC0FBF" w:rsidRDefault="00EC0FBF" w:rsidP="00EC0FBF">
      <w:r>
        <w:t>where</w:t>
      </w:r>
    </w:p>
    <w:p w:rsidR="00EC0FBF" w:rsidRDefault="00EC0FBF" w:rsidP="00EC0FBF"/>
    <w:p w:rsidR="00EC0FBF" w:rsidRDefault="009F5549"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6"/>
      </w:r>
    </w:p>
    <w:p w:rsidR="00EC0FBF" w:rsidRDefault="009F5549"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7"/>
      </w:r>
    </w:p>
    <w:p w:rsidR="00EC0FBF" w:rsidRDefault="00EC0FBF" w:rsidP="0072199B"/>
    <w:p w:rsidR="0072199B" w:rsidRDefault="0072199B" w:rsidP="0072199B">
      <w:pPr>
        <w:pStyle w:val="Heading4"/>
      </w:pPr>
      <w:bookmarkStart w:id="317" w:name="_Toc364076559"/>
      <w:r>
        <w:t>The Expectations Factor</w:t>
      </w:r>
      <w:bookmarkEnd w:id="317"/>
    </w:p>
    <w:p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rsidR="0072199B" w:rsidRDefault="0072199B" w:rsidP="0072199B"/>
    <w:p w:rsidR="0072199B" w:rsidRPr="0072199B" w:rsidRDefault="009F5549"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e>
          </m:d>
        </m:oMath>
      </m:oMathPara>
    </w:p>
    <w:p w:rsidR="0072199B" w:rsidRPr="0072199B" w:rsidRDefault="0072199B" w:rsidP="0072199B">
      <m:oMathPara>
        <m:oMath>
          <m:r>
            <m:rPr>
              <m:sty m:val="p"/>
            </m:rPr>
            <w:rPr>
              <w:rFonts w:ascii="Cambria Math" w:hAnsi="Cambria Math"/>
            </w:rPr>
            <m:t>where</m:t>
          </m:r>
        </m:oMath>
      </m:oMathPara>
    </w:p>
    <w:p w:rsidR="0072199B" w:rsidRDefault="0072199B" w:rsidP="0072199B"/>
    <w:p w:rsidR="0072199B" w:rsidRDefault="009F5549"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78"/>
      </w:r>
    </w:p>
    <w:p w:rsidR="0072199B" w:rsidRDefault="0072199B" w:rsidP="0072199B"/>
    <w:p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moves from 1.0 to 0.0.</w:t>
      </w:r>
      <w:r w:rsidR="005879D2">
        <w:t xml:space="preserve">  </w:t>
      </w:r>
    </w:p>
    <w:p w:rsidR="005879D2" w:rsidRDefault="005879D2" w:rsidP="0072199B"/>
    <w:p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rsidR="005879D2" w:rsidRDefault="005879D2" w:rsidP="0072199B"/>
    <w:p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rsidR="005879D2" w:rsidRDefault="005879D2" w:rsidP="0072199B"/>
    <w:p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rsidR="009E790F" w:rsidRDefault="009E790F" w:rsidP="0072199B"/>
    <w:p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rsidR="005879D2" w:rsidRDefault="005879D2" w:rsidP="0072199B"/>
    <w:p w:rsidR="00AD35A5" w:rsidRDefault="00AD35A5" w:rsidP="00AD35A5">
      <w:pPr>
        <w:pStyle w:val="Heading4"/>
      </w:pPr>
      <w:bookmarkStart w:id="318" w:name="_Ref349562050"/>
      <w:bookmarkStart w:id="319" w:name="_Toc364076560"/>
      <w:r>
        <w:lastRenderedPageBreak/>
        <w:t>The Required Level of Consumption (RLOC)</w:t>
      </w:r>
      <w:bookmarkEnd w:id="318"/>
      <w:bookmarkEnd w:id="319"/>
    </w:p>
    <w:p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rsidR="00217C83" w:rsidRDefault="00217C83" w:rsidP="00AD35A5"/>
    <w:p w:rsidR="00AD35A5" w:rsidRDefault="009F5549"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rsidR="00217C83" w:rsidRPr="00217C83" w:rsidRDefault="00217C83" w:rsidP="00217C83"/>
    <w:p w:rsidR="00217C83" w:rsidRDefault="00217C83" w:rsidP="00217C83">
      <w:r>
        <w:t>where</w:t>
      </w:r>
    </w:p>
    <w:p w:rsidR="00217C83" w:rsidRDefault="00217C83" w:rsidP="00217C83"/>
    <w:p w:rsidR="00217C83" w:rsidRDefault="00217C83" w:rsidP="00217C83">
      <w:pPr>
        <w:pStyle w:val="Definitions"/>
      </w:pPr>
      <w:r>
        <w:rPr>
          <w:i/>
        </w:rPr>
        <w:t>u</w:t>
      </w:r>
      <w:r>
        <w:rPr>
          <w:i/>
        </w:rPr>
        <w:tab/>
      </w:r>
      <w:r>
        <w:t>=</w:t>
      </w:r>
      <w:r>
        <w:tab/>
        <w:t xml:space="preserve">The urbanization level of </w:t>
      </w:r>
      <w:r>
        <w:rPr>
          <w:i/>
        </w:rPr>
        <w:t>g</w:t>
      </w:r>
      <w:r>
        <w:t>'s neighborhood</w:t>
      </w:r>
    </w:p>
    <w:p w:rsidR="00217C83" w:rsidRDefault="009F5549"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79"/>
      </w:r>
    </w:p>
    <w:p w:rsidR="00217C83" w:rsidRDefault="00217C83" w:rsidP="00217C83"/>
    <w:p w:rsidR="00217C83" w:rsidRDefault="00217C83" w:rsidP="00217C83">
      <w:r>
        <w:t>The RGPC naturally varies from region to region; the default values are as follows:</w:t>
      </w:r>
    </w:p>
    <w:p w:rsidR="00217C83" w:rsidRDefault="00217C83" w:rsidP="00217C83"/>
    <w:tbl>
      <w:tblPr>
        <w:tblStyle w:val="TableGrid"/>
        <w:tblW w:w="0" w:type="auto"/>
        <w:jc w:val="center"/>
        <w:tblLook w:val="04A0"/>
      </w:tblPr>
      <w:tblGrid>
        <w:gridCol w:w="1638"/>
        <w:gridCol w:w="2970"/>
      </w:tblGrid>
      <w:tr w:rsidR="00217C83" w:rsidTr="001962C0">
        <w:trPr>
          <w:jc w:val="center"/>
        </w:trPr>
        <w:tc>
          <w:tcPr>
            <w:tcW w:w="1638" w:type="dxa"/>
            <w:shd w:val="clear" w:color="auto" w:fill="000000" w:themeFill="text1"/>
          </w:tcPr>
          <w:p w:rsidR="00217C83" w:rsidRDefault="00217C83" w:rsidP="00217C83">
            <w:r>
              <w:t>Urbanization</w:t>
            </w:r>
          </w:p>
        </w:tc>
        <w:tc>
          <w:tcPr>
            <w:tcW w:w="2970" w:type="dxa"/>
            <w:shd w:val="clear" w:color="auto" w:fill="000000" w:themeFill="text1"/>
          </w:tcPr>
          <w:p w:rsidR="00217C83" w:rsidRDefault="001962C0" w:rsidP="001962C0">
            <w:pPr>
              <w:jc w:val="center"/>
            </w:pPr>
            <w:r>
              <w:t>RGPC, goods baskets/year</w:t>
            </w:r>
          </w:p>
        </w:tc>
      </w:tr>
      <w:tr w:rsidR="00217C83" w:rsidTr="001962C0">
        <w:trPr>
          <w:jc w:val="center"/>
        </w:trPr>
        <w:tc>
          <w:tcPr>
            <w:tcW w:w="1638" w:type="dxa"/>
          </w:tcPr>
          <w:p w:rsidR="00217C83" w:rsidRDefault="001962C0" w:rsidP="00217C83">
            <w:r>
              <w:t>ISOLATED</w:t>
            </w:r>
          </w:p>
        </w:tc>
        <w:tc>
          <w:tcPr>
            <w:tcW w:w="2970" w:type="dxa"/>
          </w:tcPr>
          <w:p w:rsidR="00217C83" w:rsidRDefault="001962C0" w:rsidP="001962C0">
            <w:pPr>
              <w:jc w:val="center"/>
            </w:pPr>
            <w:r>
              <w:t>0</w:t>
            </w:r>
          </w:p>
        </w:tc>
      </w:tr>
      <w:tr w:rsidR="00217C83" w:rsidTr="001962C0">
        <w:trPr>
          <w:jc w:val="center"/>
        </w:trPr>
        <w:tc>
          <w:tcPr>
            <w:tcW w:w="1638" w:type="dxa"/>
          </w:tcPr>
          <w:p w:rsidR="00217C83" w:rsidRDefault="001962C0" w:rsidP="00217C83">
            <w:r>
              <w:t>RURAL</w:t>
            </w:r>
          </w:p>
        </w:tc>
        <w:tc>
          <w:tcPr>
            <w:tcW w:w="2970" w:type="dxa"/>
          </w:tcPr>
          <w:p w:rsidR="00217C83" w:rsidRDefault="001962C0" w:rsidP="001962C0">
            <w:pPr>
              <w:jc w:val="center"/>
            </w:pPr>
            <w:r>
              <w:t>350</w:t>
            </w:r>
          </w:p>
        </w:tc>
      </w:tr>
      <w:tr w:rsidR="00217C83" w:rsidTr="001962C0">
        <w:trPr>
          <w:jc w:val="center"/>
        </w:trPr>
        <w:tc>
          <w:tcPr>
            <w:tcW w:w="1638" w:type="dxa"/>
          </w:tcPr>
          <w:p w:rsidR="00217C83" w:rsidRDefault="001962C0" w:rsidP="00217C83">
            <w:r>
              <w:t>SUBURBAN</w:t>
            </w:r>
          </w:p>
        </w:tc>
        <w:tc>
          <w:tcPr>
            <w:tcW w:w="2970" w:type="dxa"/>
          </w:tcPr>
          <w:p w:rsidR="00217C83" w:rsidRDefault="001962C0" w:rsidP="001962C0">
            <w:pPr>
              <w:jc w:val="center"/>
            </w:pPr>
            <w:r>
              <w:t>400</w:t>
            </w:r>
          </w:p>
        </w:tc>
      </w:tr>
      <w:tr w:rsidR="00217C83" w:rsidTr="001962C0">
        <w:trPr>
          <w:jc w:val="center"/>
        </w:trPr>
        <w:tc>
          <w:tcPr>
            <w:tcW w:w="1638" w:type="dxa"/>
          </w:tcPr>
          <w:p w:rsidR="00217C83" w:rsidRDefault="001962C0" w:rsidP="00217C83">
            <w:r>
              <w:t>URBAN</w:t>
            </w:r>
          </w:p>
        </w:tc>
        <w:tc>
          <w:tcPr>
            <w:tcW w:w="2970" w:type="dxa"/>
          </w:tcPr>
          <w:p w:rsidR="00217C83" w:rsidRDefault="001962C0" w:rsidP="001962C0">
            <w:pPr>
              <w:jc w:val="center"/>
            </w:pPr>
            <w:r>
              <w:t>450</w:t>
            </w:r>
          </w:p>
        </w:tc>
      </w:tr>
    </w:tbl>
    <w:p w:rsidR="00217C83" w:rsidRDefault="00217C83" w:rsidP="00217C83"/>
    <w:p w:rsidR="001962C0" w:rsidRDefault="00463F7B" w:rsidP="00463F7B">
      <w:pPr>
        <w:pStyle w:val="Heading4"/>
      </w:pPr>
      <w:bookmarkStart w:id="320" w:name="_Toc364076561"/>
      <w:r>
        <w:t>The Lorenz Curve</w:t>
      </w:r>
      <w:bookmarkEnd w:id="320"/>
    </w:p>
    <w:p w:rsidR="00463F7B" w:rsidRDefault="00463F7B" w:rsidP="00463F7B">
      <w:r>
        <w:t>The Lorenz Curve is a common method for describing the distribution of income among a population.</w:t>
      </w:r>
      <w:r>
        <w:rPr>
          <w:rStyle w:val="FootnoteReference"/>
        </w:rPr>
        <w:footnoteReference w:id="80"/>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rsidR="00463F7B" w:rsidRDefault="00463F7B" w:rsidP="00463F7B"/>
    <w:p w:rsidR="00463F7B" w:rsidRDefault="00463F7B" w:rsidP="00463F7B">
      <w:r>
        <w:rPr>
          <w:noProof/>
        </w:rPr>
        <w:lastRenderedPageBreak/>
        <w:drawing>
          <wp:inline distT="0" distB="0" distL="0" distR="0">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463F7B" w:rsidRDefault="00463F7B" w:rsidP="00463F7B"/>
    <w:p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rsidR="00076B5F" w:rsidRDefault="00076B5F" w:rsidP="00463F7B"/>
    <w:p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rsidR="00076B5F" w:rsidRDefault="00076B5F" w:rsidP="00463F7B"/>
    <w:p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rsidR="00076B5F" w:rsidRDefault="00076B5F" w:rsidP="00463F7B"/>
    <w:p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rsidR="00814951" w:rsidRDefault="00814951" w:rsidP="00814951"/>
    <w:p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rsidR="00835DEE" w:rsidRDefault="00835DEE" w:rsidP="00814951"/>
    <w:p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rsidR="00814951" w:rsidRDefault="00814951" w:rsidP="00814951"/>
    <w:p w:rsidR="00814951" w:rsidRDefault="009F5549"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814951" w:rsidRDefault="00814951" w:rsidP="00814951"/>
    <w:p w:rsidR="00814951" w:rsidRPr="00835DEE" w:rsidRDefault="00835DEE" w:rsidP="00814951">
      <w:r>
        <w:lastRenderedPageBreak/>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rsidR="00835DEE" w:rsidRDefault="00835DEE" w:rsidP="00814951"/>
    <w:p w:rsidR="00835DEE" w:rsidRDefault="009F5549"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on"/>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rsidR="00814951" w:rsidRDefault="00814951" w:rsidP="00814951"/>
    <w:p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rsidR="00835DEE" w:rsidRDefault="00835DEE" w:rsidP="00835DEE">
      <w:pPr>
        <w:pStyle w:val="Heading4"/>
      </w:pPr>
      <w:bookmarkStart w:id="321" w:name="_Toc364076562"/>
      <w:r>
        <w:t>The Consumption Curve</w:t>
      </w:r>
      <w:bookmarkEnd w:id="321"/>
    </w:p>
    <w:p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rsidR="00835DEE" w:rsidRDefault="00835DEE" w:rsidP="00835DEE"/>
    <w:p w:rsidR="00835DEE" w:rsidRPr="00835DEE" w:rsidRDefault="009F5549"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rsidR="00835DEE" w:rsidRDefault="00835DEE" w:rsidP="00835DEE"/>
    <w:p w:rsidR="00835DEE" w:rsidRDefault="00835DEE" w:rsidP="00835DEE">
      <w:r>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1"/>
      </w:r>
      <w:r w:rsidR="00301755">
        <w:t xml:space="preserve"> and is simply</w:t>
      </w:r>
    </w:p>
    <w:p w:rsidR="00301755" w:rsidRDefault="00301755" w:rsidP="00835DEE"/>
    <w:p w:rsidR="00301755" w:rsidRPr="00301755" w:rsidRDefault="009F5549"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rsidR="00301755" w:rsidRDefault="00301755" w:rsidP="00301755">
      <w:pPr>
        <w:ind w:left="360"/>
      </w:pPr>
    </w:p>
    <w:p w:rsidR="00301755" w:rsidRDefault="00AE0769" w:rsidP="00301755">
      <w:r>
        <w:t>The consumption curve is then just</w:t>
      </w:r>
    </w:p>
    <w:p w:rsidR="00AE0769" w:rsidRDefault="00AE0769" w:rsidP="00301755"/>
    <w:p w:rsidR="00AE0769" w:rsidRPr="00AE0769" w:rsidRDefault="009F554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Default="00AE0769" w:rsidP="00AE0769">
      <w:r>
        <w:t>or, equivalently,</w:t>
      </w:r>
    </w:p>
    <w:p w:rsidR="00AE0769" w:rsidRDefault="00AE0769" w:rsidP="00AE0769"/>
    <w:p w:rsidR="00AE0769" w:rsidRPr="00AE0769" w:rsidRDefault="009F554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AE0769" w:rsidRPr="00AE0769" w:rsidRDefault="00AE0769" w:rsidP="00AE0769"/>
    <w:p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rsidR="00814951" w:rsidRPr="00814951" w:rsidRDefault="00814951" w:rsidP="00814951">
      <w:pPr>
        <w:pStyle w:val="Heading4"/>
      </w:pPr>
      <w:bookmarkStart w:id="322" w:name="_Toc364076563"/>
      <w:r>
        <w:t>The Poverty Fraction</w:t>
      </w:r>
      <w:bookmarkEnd w:id="322"/>
    </w:p>
    <w:p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9F5549">
        <w:fldChar w:fldCharType="begin"/>
      </w:r>
      <w:r w:rsidR="00341CFE">
        <w:instrText xml:space="preserve"> REF _Ref349562050 \r \h </w:instrText>
      </w:r>
      <w:r w:rsidR="009F5549">
        <w:fldChar w:fldCharType="separate"/>
      </w:r>
      <w:r w:rsidR="00D217C6">
        <w:t>10.8.4</w:t>
      </w:r>
      <w:r w:rsidR="009F554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rsidR="00AE0769" w:rsidRDefault="00AE0769" w:rsidP="00814951"/>
    <w:p w:rsidR="00AE0769" w:rsidRDefault="009F5549"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∙P.goods</m:t>
          </m:r>
        </m:oMath>
      </m:oMathPara>
    </w:p>
    <w:p w:rsidR="00AE0769" w:rsidRDefault="00AE0769" w:rsidP="00814951"/>
    <w:p w:rsidR="00AE0769" w:rsidRDefault="00AE0769" w:rsidP="00814951">
      <w:r>
        <w:t xml:space="preserve">where  </w:t>
      </w:r>
      <m:oMath>
        <m:r>
          <w:rPr>
            <w:rFonts w:ascii="Cambria Math" w:hAnsi="Cambria Math"/>
          </w:rPr>
          <m:t>P.goods</m:t>
        </m:r>
      </m:oMath>
      <w:r>
        <w:t xml:space="preserve">  is the cost of one goods basket in dollars.</w:t>
      </w:r>
    </w:p>
    <w:p w:rsidR="00AE0769" w:rsidRDefault="00AE0769" w:rsidP="00814951"/>
    <w:p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rsidR="00341CFE" w:rsidRPr="00814951" w:rsidRDefault="00341CFE" w:rsidP="00814951"/>
    <w:p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rsidR="00AE0769" w:rsidRDefault="00AE0769" w:rsidP="00814951"/>
    <w:p w:rsidR="00AE0769" w:rsidRPr="00AE0769" w:rsidRDefault="009F5549"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rsidR="00AE0769" w:rsidRDefault="00AE0769" w:rsidP="00814951"/>
    <w:p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rsidR="00E9429D" w:rsidRDefault="00E9429D" w:rsidP="00814951"/>
    <w:p w:rsidR="00E9429D" w:rsidRPr="00E9429D" w:rsidRDefault="009F5549"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rsidR="00E9429D" w:rsidRPr="00E9429D" w:rsidRDefault="00E9429D" w:rsidP="00E9429D"/>
    <w:p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rsidR="00E9429D" w:rsidRDefault="00E9429D" w:rsidP="00E9429D"/>
    <w:p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E9429D" w:rsidRPr="00E9429D" w:rsidRDefault="00E9429D" w:rsidP="00E9429D"/>
    <w:p w:rsidR="00E9429D" w:rsidRDefault="00E9429D" w:rsidP="00E9429D">
      <w:r>
        <w:t xml:space="preserve">We can then compute the fraction of the group living below the poverty line by dividing by the population of </w:t>
      </w:r>
      <w:r>
        <w:rPr>
          <w:i/>
        </w:rPr>
        <w:t>g</w:t>
      </w:r>
      <w:r>
        <w:t>:</w:t>
      </w:r>
    </w:p>
    <w:p w:rsidR="00E9429D" w:rsidRDefault="00E9429D" w:rsidP="00E9429D"/>
    <w:p w:rsidR="00E9429D" w:rsidRPr="00C41ED0" w:rsidRDefault="009F5549"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Pr="00C41ED0" w:rsidRDefault="00C41ED0" w:rsidP="00C41ED0"/>
    <w:p w:rsidR="00C41ED0" w:rsidRPr="00C41ED0" w:rsidRDefault="00C41ED0" w:rsidP="00C41ED0">
      <w:r>
        <w:t xml:space="preserve">The fraction contains </w:t>
      </w:r>
      <w:r>
        <w:rPr>
          <w:i/>
        </w:rPr>
        <w:t>P.goods</w:t>
      </w:r>
      <w:r>
        <w:t xml:space="preserve"> in both the numerator and the denominator, so we can further simplify this to</w:t>
      </w:r>
    </w:p>
    <w:p w:rsidR="00C41ED0" w:rsidRDefault="00C41ED0" w:rsidP="00C41ED0"/>
    <w:p w:rsidR="00C41ED0" w:rsidRPr="00C41ED0" w:rsidRDefault="009F5549"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rsidR="00C41ED0" w:rsidRDefault="00C41ED0" w:rsidP="00C41ED0"/>
    <w:p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m:t>
            </m:r>
            <m:r>
              <w:rPr>
                <w:rFonts w:ascii="Cambria Math" w:hAnsi="Cambria Math"/>
              </w:rPr>
              <m:t>C</m:t>
            </m:r>
          </m:e>
          <m:sub>
            <m:r>
              <w:rPr>
                <w:rFonts w:ascii="Cambria Math" w:hAnsi="Cambria Math"/>
              </w:rPr>
              <m:t>g</m:t>
            </m:r>
          </m:sub>
        </m:sSub>
        <m:r>
          <w:rPr>
            <w:rFonts w:ascii="Cambria Math" w:hAnsi="Cambria Math"/>
          </w:rPr>
          <m:t>=0.</m:t>
        </m:r>
      </m:oMath>
      <w:r>
        <w:t xml:space="preserve">  Thus, we define</w:t>
      </w:r>
    </w:p>
    <w:p w:rsidR="00C41ED0" w:rsidRDefault="00C41ED0" w:rsidP="00C41ED0"/>
    <w:p w:rsidR="00C41ED0" w:rsidRPr="00C41ED0" w:rsidRDefault="009F5549"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rsidR="00C41ED0" w:rsidRDefault="00C41ED0" w:rsidP="00C41ED0">
      <w:pPr>
        <w:pStyle w:val="Heading4"/>
      </w:pPr>
      <w:bookmarkStart w:id="323" w:name="_Toc364076564"/>
      <w:r>
        <w:t>The Poverty Factor</w:t>
      </w:r>
      <w:bookmarkEnd w:id="323"/>
    </w:p>
    <w:p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2"/>
      </w:r>
    </w:p>
    <w:p w:rsidR="003D7B9B" w:rsidRDefault="003D7B9B" w:rsidP="00C41ED0"/>
    <w:p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rsidR="003D7B9B" w:rsidRDefault="003D7B9B" w:rsidP="003D7B9B"/>
    <w:p w:rsidR="003D7B9B" w:rsidRDefault="003D7B9B" w:rsidP="003D7B9B">
      <w:r>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rsidR="003D7B9B" w:rsidRPr="003D7B9B" w:rsidRDefault="003D7B9B" w:rsidP="003D7B9B"/>
    <w:p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3"/>
      </w:r>
    </w:p>
    <w:p w:rsidR="002C6245" w:rsidRDefault="002C6245" w:rsidP="003D7B9B"/>
    <w:p w:rsidR="002C6245" w:rsidRDefault="002C6245" w:rsidP="002C6245">
      <w:pPr>
        <w:pStyle w:val="Heading4"/>
      </w:pPr>
      <w:bookmarkStart w:id="324" w:name="_Toc364076565"/>
      <w:r>
        <w:t>Consumption Situations</w:t>
      </w:r>
      <w:bookmarkEnd w:id="324"/>
    </w:p>
    <w:p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rsidR="004F6A40" w:rsidRDefault="004F6A40" w:rsidP="004F6A40">
      <w:pPr>
        <w:pStyle w:val="Heading2"/>
      </w:pPr>
      <w:bookmarkStart w:id="325" w:name="_Toc310421868"/>
      <w:bookmarkStart w:id="326" w:name="_Toc364076566"/>
      <w:r>
        <w:lastRenderedPageBreak/>
        <w:t>Economics</w:t>
      </w:r>
      <w:bookmarkEnd w:id="325"/>
      <w:bookmarkEnd w:id="326"/>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by Chamberlain, Duquette</w:t>
      </w:r>
      <w:r>
        <w:t xml:space="preserve"> and Kahovec included with the Athena documentation.</w:t>
      </w:r>
    </w:p>
    <w:p w:rsidR="004F6A40" w:rsidRDefault="004F6A40" w:rsidP="004F6A40">
      <w:pPr>
        <w:pStyle w:val="Heading3"/>
      </w:pPr>
      <w:bookmarkStart w:id="327" w:name="__RefHeading__1441_2040446466"/>
      <w:bookmarkStart w:id="328" w:name="_Toc310421869"/>
      <w:bookmarkStart w:id="329" w:name="_Toc364076567"/>
      <w:r>
        <w:t>Sectors</w:t>
      </w:r>
      <w:bookmarkEnd w:id="327"/>
      <w:bookmarkEnd w:id="328"/>
      <w:bookmarkEnd w:id="329"/>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4"/>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Pakhtunkhwa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30" w:name="_Toc310421870"/>
      <w:bookmarkStart w:id="331" w:name="_Ref341686785"/>
      <w:bookmarkStart w:id="332" w:name="_Toc364076568"/>
      <w:r>
        <w:t xml:space="preserve">The </w:t>
      </w:r>
      <w:r w:rsidR="005264EC">
        <w:t>Social Accounting Matrix (SAM)</w:t>
      </w:r>
      <w:r>
        <w:t xml:space="preserve"> Tableau</w:t>
      </w:r>
      <w:bookmarkEnd w:id="330"/>
      <w:bookmarkEnd w:id="331"/>
      <w:bookmarkEnd w:id="332"/>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 xml:space="preserve">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w:t>
      </w:r>
      <w:r>
        <w:lastRenderedPageBreak/>
        <w:t>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33" w:name="_Toc364076569"/>
      <w:r>
        <w:lastRenderedPageBreak/>
        <w:t>SAM Matrix Inputs</w:t>
      </w:r>
      <w:bookmarkEnd w:id="333"/>
    </w:p>
    <w:p w:rsidR="001342B4" w:rsidRDefault="00FA5791" w:rsidP="001342B4">
      <w:r>
        <w:t>In scenario prep, t</w:t>
      </w:r>
      <w:r w:rsidR="007240E6">
        <w:t>h</w:t>
      </w:r>
      <w:r>
        <w:t>e “input flows”</w:t>
      </w:r>
      <w:r w:rsidR="007240E6">
        <w:t xml:space="preserve"> matrix is used to define money flows between the sectors in a notional base case. </w:t>
      </w:r>
      <w:r>
        <w:t xml:space="preserve">Using the values in the input flows matrix Athena computes the “balancing flows” matrix to take into account remittances, graft, black market feedstock and black market profit.  These two matrices are then summed to arrive at the Base SAM, which is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5"/>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6"/>
      </w:r>
      <w:r w:rsidR="008F182A">
        <w:t xml:space="preserve"> (note that some values, indicated by non-italicized font, are computed from other values, which are italicized)</w:t>
      </w:r>
      <w:r w:rsidR="003F63D7">
        <w:t>.</w:t>
      </w:r>
    </w:p>
    <w:p w:rsidR="003F63D7" w:rsidRDefault="003F63D7" w:rsidP="001342B4"/>
    <w:p w:rsidR="003F63D7" w:rsidRDefault="003F63D7" w:rsidP="001342B4">
      <w:r>
        <w:t>The input flows matrix:</w:t>
      </w:r>
    </w:p>
    <w:p w:rsidR="003F63D7" w:rsidRDefault="003F63D7"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9F5549"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9F5549"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9F5549"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9F554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9F554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9F554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9F554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9F554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9F5549"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r>
        <w:t>where</w:t>
      </w:r>
    </w:p>
    <w:p w:rsidR="001342B4" w:rsidRDefault="001342B4" w:rsidP="001342B4"/>
    <w:p w:rsidR="004F6A40" w:rsidRDefault="009F5549"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rsidR="004F6A40" w:rsidRPr="008F182A" w:rsidRDefault="009F5549"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9F5549"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9F5549"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rsidR="004F6A40" w:rsidRDefault="009F5549"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rsidR="004F6A40" w:rsidRDefault="004F6A40" w:rsidP="004F6A40">
      <w:pPr>
        <w:pStyle w:val="Definitions"/>
      </w:pPr>
    </w:p>
    <w:p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rsidR="003F63D7" w:rsidRDefault="003F63D7">
      <w:r>
        <w:br w:type="page"/>
      </w:r>
    </w:p>
    <w:p w:rsidR="003F63D7" w:rsidRDefault="003F63D7" w:rsidP="00FA048A"/>
    <w:p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9F5549">
        <w:fldChar w:fldCharType="begin"/>
      </w:r>
      <w:r w:rsidR="007734D6">
        <w:instrText xml:space="preserve"> REF _Ref341700214 \r \h </w:instrText>
      </w:r>
      <w:r w:rsidR="009F5549">
        <w:fldChar w:fldCharType="separate"/>
      </w:r>
      <w:r w:rsidR="00D217C6">
        <w:t>11.3</w:t>
      </w:r>
      <w:r w:rsidR="009F5549">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9F5549"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9F5549"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9F5549"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Default="009F5549"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DA4D2F" w:rsidRDefault="00DA4D2F" w:rsidP="002357DB">
      <w:pPr>
        <w:ind w:left="360"/>
      </w:pPr>
    </w:p>
    <w:p w:rsidR="007240E6" w:rsidRDefault="000701F8" w:rsidP="00FA048A">
      <w:r>
        <w:br w:type="page"/>
      </w:r>
    </w:p>
    <w:p w:rsidR="007240E6" w:rsidRDefault="007240E6" w:rsidP="007240E6">
      <w:pPr>
        <w:pStyle w:val="Heading4"/>
      </w:pPr>
      <w:bookmarkStart w:id="334" w:name="_Toc364076570"/>
      <w:r>
        <w:lastRenderedPageBreak/>
        <w:t>Other Inputs</w:t>
      </w:r>
      <w:bookmarkEnd w:id="334"/>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08"/>
        <w:gridCol w:w="1980"/>
        <w:gridCol w:w="4563"/>
        <w:gridCol w:w="1557"/>
      </w:tblGrid>
      <w:tr w:rsidR="00324956" w:rsidRPr="00054723" w:rsidTr="000701F8">
        <w:tc>
          <w:tcPr>
            <w:tcW w:w="1908" w:type="dxa"/>
          </w:tcPr>
          <w:p w:rsidR="00324956" w:rsidRPr="00054723" w:rsidRDefault="00324956" w:rsidP="00324956">
            <w:pPr>
              <w:jc w:val="center"/>
              <w:rPr>
                <w:b/>
              </w:rPr>
            </w:pPr>
            <w:r>
              <w:rPr>
                <w:b/>
              </w:rPr>
              <w:t>Cell Label</w:t>
            </w:r>
          </w:p>
        </w:tc>
        <w:tc>
          <w:tcPr>
            <w:tcW w:w="1980" w:type="dxa"/>
          </w:tcPr>
          <w:p w:rsidR="00324956" w:rsidRDefault="00324956" w:rsidP="00054723">
            <w:pPr>
              <w:jc w:val="center"/>
              <w:rPr>
                <w:b/>
              </w:rPr>
            </w:pPr>
            <w:r>
              <w:rPr>
                <w:b/>
              </w:rPr>
              <w:t>Cell Name</w:t>
            </w:r>
          </w:p>
        </w:tc>
        <w:tc>
          <w:tcPr>
            <w:tcW w:w="456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701F8">
        <w:tc>
          <w:tcPr>
            <w:tcW w:w="1908" w:type="dxa"/>
          </w:tcPr>
          <w:p w:rsidR="00324956" w:rsidRDefault="00324956" w:rsidP="00FA048A">
            <w:r>
              <w:t>Black mkt Feedstock Price</w:t>
            </w:r>
          </w:p>
        </w:tc>
        <w:tc>
          <w:tcPr>
            <w:tcW w:w="1980" w:type="dxa"/>
          </w:tcPr>
          <w:p w:rsidR="00324956" w:rsidRPr="00324956" w:rsidRDefault="00324956" w:rsidP="00324956">
            <w:pPr>
              <w:jc w:val="center"/>
              <w:rPr>
                <w:i/>
              </w:rPr>
            </w:pPr>
            <w:r w:rsidRPr="00324956">
              <w:rPr>
                <w:i/>
              </w:rPr>
              <w:t>PF</w:t>
            </w:r>
            <w:r w:rsidRPr="00324956">
              <w:rPr>
                <w:i/>
                <w:vertAlign w:val="subscript"/>
              </w:rPr>
              <w:t>wb</w:t>
            </w:r>
          </w:p>
        </w:tc>
        <w:tc>
          <w:tcPr>
            <w:tcW w:w="4563" w:type="dxa"/>
          </w:tcPr>
          <w:p w:rsidR="00324956" w:rsidRDefault="00324956" w:rsidP="00054723">
            <w:r>
              <w:t>The price of black market feedstock used to make the final product</w:t>
            </w:r>
          </w:p>
        </w:tc>
        <w:tc>
          <w:tcPr>
            <w:tcW w:w="1557" w:type="dxa"/>
          </w:tcPr>
          <w:p w:rsidR="00324956" w:rsidRDefault="00324956" w:rsidP="00FA048A">
            <w:r>
              <w:t>$/tonne</w:t>
            </w:r>
          </w:p>
        </w:tc>
      </w:tr>
      <w:tr w:rsidR="00324956" w:rsidTr="000701F8">
        <w:tc>
          <w:tcPr>
            <w:tcW w:w="1908" w:type="dxa"/>
          </w:tcPr>
          <w:p w:rsidR="00324956" w:rsidRDefault="00324956" w:rsidP="00FA048A">
            <w:r>
              <w:t>Feedstock per Unit Product</w:t>
            </w:r>
          </w:p>
        </w:tc>
        <w:tc>
          <w:tcPr>
            <w:tcW w:w="1980" w:type="dxa"/>
          </w:tcPr>
          <w:p w:rsidR="00324956" w:rsidRPr="00324956" w:rsidRDefault="00324956" w:rsidP="00324956">
            <w:pPr>
              <w:jc w:val="center"/>
              <w:rPr>
                <w:i/>
              </w:rPr>
            </w:pPr>
            <w:r w:rsidRPr="00324956">
              <w:rPr>
                <w:i/>
              </w:rPr>
              <w:t>AF</w:t>
            </w:r>
            <w:r w:rsidRPr="00324956">
              <w:rPr>
                <w:i/>
                <w:vertAlign w:val="subscript"/>
              </w:rPr>
              <w:t>wb</w:t>
            </w:r>
          </w:p>
        </w:tc>
        <w:tc>
          <w:tcPr>
            <w:tcW w:w="456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701F8">
        <w:tc>
          <w:tcPr>
            <w:tcW w:w="1908" w:type="dxa"/>
          </w:tcPr>
          <w:p w:rsidR="00324956" w:rsidRDefault="00324956" w:rsidP="00FA048A">
            <w:r>
              <w:t>Max Feedstock Avail.</w:t>
            </w:r>
          </w:p>
        </w:tc>
        <w:tc>
          <w:tcPr>
            <w:tcW w:w="1980" w:type="dxa"/>
          </w:tcPr>
          <w:p w:rsidR="00324956" w:rsidRPr="00324956" w:rsidRDefault="00324956" w:rsidP="00324956">
            <w:pPr>
              <w:jc w:val="center"/>
              <w:rPr>
                <w:i/>
              </w:rPr>
            </w:pPr>
            <w:r w:rsidRPr="00324956">
              <w:rPr>
                <w:i/>
              </w:rPr>
              <w:t>MF</w:t>
            </w:r>
            <w:r w:rsidRPr="00324956">
              <w:rPr>
                <w:i/>
                <w:vertAlign w:val="subscript"/>
              </w:rPr>
              <w:t>wb</w:t>
            </w:r>
          </w:p>
        </w:tc>
        <w:tc>
          <w:tcPr>
            <w:tcW w:w="4563" w:type="dxa"/>
          </w:tcPr>
          <w:p w:rsidR="00324956" w:rsidRDefault="00324956" w:rsidP="00FA048A">
            <w:r>
              <w:t>The maximum amount of feedstock available</w:t>
            </w:r>
          </w:p>
        </w:tc>
        <w:tc>
          <w:tcPr>
            <w:tcW w:w="1557" w:type="dxa"/>
          </w:tcPr>
          <w:p w:rsidR="00324956" w:rsidRDefault="00324956" w:rsidP="00FA048A">
            <w:r>
              <w:t>tonnes/year</w:t>
            </w:r>
          </w:p>
        </w:tc>
      </w:tr>
      <w:tr w:rsidR="000701F8" w:rsidTr="000701F8">
        <w:tc>
          <w:tcPr>
            <w:tcW w:w="1908" w:type="dxa"/>
          </w:tcPr>
          <w:p w:rsidR="000701F8" w:rsidRDefault="000701F8" w:rsidP="00FA048A">
            <w:r>
              <w:t>Black Market Capacity</w:t>
            </w:r>
          </w:p>
        </w:tc>
        <w:tc>
          <w:tcPr>
            <w:tcW w:w="1980" w:type="dxa"/>
          </w:tcPr>
          <w:p w:rsidR="000701F8" w:rsidRPr="00324956" w:rsidRDefault="000701F8" w:rsidP="00324956">
            <w:pPr>
              <w:jc w:val="center"/>
              <w:rPr>
                <w:i/>
              </w:rPr>
            </w:pPr>
            <w:r>
              <w:rPr>
                <w:i/>
              </w:rPr>
              <w:t>CAP</w:t>
            </w:r>
            <w:r>
              <w:rPr>
                <w:i/>
                <w:vertAlign w:val="subscript"/>
              </w:rPr>
              <w:t>black</w:t>
            </w:r>
          </w:p>
        </w:tc>
        <w:tc>
          <w:tcPr>
            <w:tcW w:w="4563" w:type="dxa"/>
          </w:tcPr>
          <w:p w:rsidR="000701F8" w:rsidRDefault="000701F8" w:rsidP="00FA048A">
            <w:r>
              <w:t xml:space="preserve">The maximum capacity of the black market </w:t>
            </w:r>
          </w:p>
        </w:tc>
        <w:tc>
          <w:tcPr>
            <w:tcW w:w="1557" w:type="dxa"/>
          </w:tcPr>
          <w:p w:rsidR="000701F8" w:rsidRDefault="000701F8" w:rsidP="00FA048A">
            <w:r>
              <w:t>tonnes</w:t>
            </w:r>
          </w:p>
        </w:tc>
      </w:tr>
      <w:tr w:rsidR="00324956" w:rsidTr="000701F8">
        <w:tc>
          <w:tcPr>
            <w:tcW w:w="1908" w:type="dxa"/>
          </w:tcPr>
          <w:p w:rsidR="00324956" w:rsidRDefault="00324956" w:rsidP="00FA048A">
            <w:r>
              <w:t>Base Consumers</w:t>
            </w:r>
          </w:p>
        </w:tc>
        <w:tc>
          <w:tcPr>
            <w:tcW w:w="1980" w:type="dxa"/>
          </w:tcPr>
          <w:p w:rsidR="00324956" w:rsidRPr="00324956" w:rsidRDefault="00324956" w:rsidP="00324956">
            <w:pPr>
              <w:jc w:val="center"/>
              <w:rPr>
                <w:i/>
              </w:rPr>
            </w:pPr>
            <w:r w:rsidRPr="00324956">
              <w:rPr>
                <w:i/>
              </w:rPr>
              <w:t>BaseConsumers</w:t>
            </w:r>
          </w:p>
        </w:tc>
        <w:tc>
          <w:tcPr>
            <w:tcW w:w="4563" w:type="dxa"/>
          </w:tcPr>
          <w:p w:rsidR="00324956" w:rsidRDefault="00324956" w:rsidP="00FA048A">
            <w:r>
              <w:t>The number of consumers upon which the SAM data is based</w:t>
            </w:r>
          </w:p>
        </w:tc>
        <w:tc>
          <w:tcPr>
            <w:tcW w:w="1557" w:type="dxa"/>
          </w:tcPr>
          <w:p w:rsidR="00324956" w:rsidRDefault="00324956" w:rsidP="00FA048A">
            <w:r>
              <w:t>N/A</w:t>
            </w:r>
          </w:p>
        </w:tc>
      </w:tr>
      <w:tr w:rsidR="000701F8" w:rsidTr="000701F8">
        <w:tc>
          <w:tcPr>
            <w:tcW w:w="1908" w:type="dxa"/>
          </w:tcPr>
          <w:p w:rsidR="000701F8" w:rsidRDefault="000701F8" w:rsidP="00FA048A">
            <w:r>
              <w:t>Base Unemployment Rate</w:t>
            </w:r>
          </w:p>
        </w:tc>
        <w:tc>
          <w:tcPr>
            <w:tcW w:w="1980" w:type="dxa"/>
          </w:tcPr>
          <w:p w:rsidR="000701F8" w:rsidRPr="00324956" w:rsidRDefault="000701F8" w:rsidP="00324956">
            <w:pPr>
              <w:jc w:val="center"/>
              <w:rPr>
                <w:i/>
              </w:rPr>
            </w:pPr>
            <w:r>
              <w:rPr>
                <w:i/>
              </w:rPr>
              <w:t>BaseUR</w:t>
            </w:r>
          </w:p>
        </w:tc>
        <w:tc>
          <w:tcPr>
            <w:tcW w:w="4563" w:type="dxa"/>
          </w:tcPr>
          <w:p w:rsidR="000701F8" w:rsidRDefault="000701F8" w:rsidP="0094219E">
            <w:r>
              <w:t>The base unemployment rate to which the economy is calibrated</w:t>
            </w:r>
          </w:p>
        </w:tc>
        <w:tc>
          <w:tcPr>
            <w:tcW w:w="1557" w:type="dxa"/>
          </w:tcPr>
          <w:p w:rsidR="000701F8" w:rsidRDefault="000701F8" w:rsidP="00FA048A">
            <w:r>
              <w:t>%</w:t>
            </w:r>
          </w:p>
        </w:tc>
      </w:tr>
      <w:tr w:rsidR="000701F8" w:rsidTr="000701F8">
        <w:tc>
          <w:tcPr>
            <w:tcW w:w="1908" w:type="dxa"/>
          </w:tcPr>
          <w:p w:rsidR="000701F8" w:rsidRDefault="000701F8" w:rsidP="00FA048A">
            <w:r>
              <w:t>Base Subsisters</w:t>
            </w:r>
          </w:p>
        </w:tc>
        <w:tc>
          <w:tcPr>
            <w:tcW w:w="1980" w:type="dxa"/>
          </w:tcPr>
          <w:p w:rsidR="000701F8" w:rsidRPr="00324956" w:rsidRDefault="000701F8" w:rsidP="00324956">
            <w:pPr>
              <w:jc w:val="center"/>
              <w:rPr>
                <w:i/>
              </w:rPr>
            </w:pPr>
            <w:r>
              <w:rPr>
                <w:i/>
              </w:rPr>
              <w:t>BaseSubsisters</w:t>
            </w:r>
          </w:p>
        </w:tc>
        <w:tc>
          <w:tcPr>
            <w:tcW w:w="4563" w:type="dxa"/>
          </w:tcPr>
          <w:p w:rsidR="000701F8" w:rsidRDefault="000701F8" w:rsidP="0094219E">
            <w:r>
              <w:t>The number of people engaged in subsistence agriculture in the base case</w:t>
            </w:r>
          </w:p>
        </w:tc>
        <w:tc>
          <w:tcPr>
            <w:tcW w:w="1557" w:type="dxa"/>
          </w:tcPr>
          <w:p w:rsidR="000701F8" w:rsidRDefault="000701F8" w:rsidP="00FA048A"/>
        </w:tc>
      </w:tr>
      <w:tr w:rsidR="00324956" w:rsidTr="000701F8">
        <w:tc>
          <w:tcPr>
            <w:tcW w:w="1908" w:type="dxa"/>
          </w:tcPr>
          <w:p w:rsidR="00324956" w:rsidRDefault="00324956" w:rsidP="00FA048A">
            <w:r>
              <w:t>Subsistence Wage</w:t>
            </w:r>
          </w:p>
        </w:tc>
        <w:tc>
          <w:tcPr>
            <w:tcW w:w="1980" w:type="dxa"/>
          </w:tcPr>
          <w:p w:rsidR="00324956" w:rsidRPr="00324956" w:rsidRDefault="00324956" w:rsidP="00324956">
            <w:pPr>
              <w:jc w:val="center"/>
              <w:rPr>
                <w:i/>
              </w:rPr>
            </w:pPr>
            <w:r w:rsidRPr="00324956">
              <w:rPr>
                <w:i/>
              </w:rPr>
              <w:t>BaseSubWage</w:t>
            </w:r>
          </w:p>
        </w:tc>
        <w:tc>
          <w:tcPr>
            <w:tcW w:w="456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r w:rsidR="000701F8" w:rsidTr="000701F8">
        <w:tc>
          <w:tcPr>
            <w:tcW w:w="1908" w:type="dxa"/>
          </w:tcPr>
          <w:p w:rsidR="000701F8" w:rsidRDefault="000701F8" w:rsidP="00FA048A">
            <w:r>
              <w:t>REM Change Rate</w:t>
            </w:r>
          </w:p>
        </w:tc>
        <w:tc>
          <w:tcPr>
            <w:tcW w:w="1980" w:type="dxa"/>
          </w:tcPr>
          <w:p w:rsidR="000701F8" w:rsidRPr="00324956" w:rsidRDefault="000701F8" w:rsidP="00324956">
            <w:pPr>
              <w:jc w:val="center"/>
              <w:rPr>
                <w:i/>
              </w:rPr>
            </w:pPr>
            <w:r>
              <w:rPr>
                <w:i/>
              </w:rPr>
              <w:t>REMChangeRate</w:t>
            </w:r>
          </w:p>
        </w:tc>
        <w:tc>
          <w:tcPr>
            <w:tcW w:w="4563" w:type="dxa"/>
          </w:tcPr>
          <w:p w:rsidR="000701F8" w:rsidRDefault="000701F8" w:rsidP="0094219E">
            <w:r>
              <w:t>The percentage per annum that remittances change up or down</w:t>
            </w:r>
          </w:p>
        </w:tc>
        <w:tc>
          <w:tcPr>
            <w:tcW w:w="1557" w:type="dxa"/>
          </w:tcPr>
          <w:p w:rsidR="000701F8" w:rsidRDefault="000701F8" w:rsidP="00FA048A">
            <w:r>
              <w:t>%/year</w:t>
            </w:r>
          </w:p>
        </w:tc>
      </w:tr>
    </w:tbl>
    <w:p w:rsidR="00054723" w:rsidRDefault="00054723" w:rsidP="00FA048A"/>
    <w:p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rsidR="00DA4D2F" w:rsidRDefault="00DA4D2F" w:rsidP="00DA4D2F"/>
    <w:p w:rsidR="00DA4D2F" w:rsidRDefault="000701F8" w:rsidP="00DA4D2F">
      <w:r>
        <w:br w:type="page"/>
      </w:r>
    </w:p>
    <w:p w:rsidR="00DA4D2F" w:rsidRDefault="009000CE" w:rsidP="00DA4D2F">
      <w:pPr>
        <w:pStyle w:val="Heading4"/>
      </w:pPr>
      <w:bookmarkStart w:id="335" w:name="_Toc364076571"/>
      <w:r>
        <w:lastRenderedPageBreak/>
        <w:t>Balancing Flows M</w:t>
      </w:r>
      <w:r w:rsidR="00DA4D2F">
        <w:t>atrix (T-matrix)</w:t>
      </w:r>
      <w:bookmarkEnd w:id="335"/>
    </w:p>
    <w:p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rsidR="00DA4D2F" w:rsidRDefault="00DA4D2F" w:rsidP="00DA4D2F"/>
    <w:tbl>
      <w:tblPr>
        <w:tblW w:w="6580" w:type="dxa"/>
        <w:tblInd w:w="45" w:type="dxa"/>
        <w:tblLayout w:type="fixed"/>
        <w:tblCellMar>
          <w:left w:w="10" w:type="dxa"/>
          <w:right w:w="10" w:type="dxa"/>
        </w:tblCellMar>
        <w:tblLook w:val="0000"/>
      </w:tblPr>
      <w:tblGrid>
        <w:gridCol w:w="1090"/>
        <w:gridCol w:w="990"/>
        <w:gridCol w:w="900"/>
        <w:gridCol w:w="904"/>
        <w:gridCol w:w="896"/>
        <w:gridCol w:w="900"/>
        <w:gridCol w:w="900"/>
      </w:tblGrid>
      <w:tr w:rsidR="00DA4D2F" w:rsidTr="00BF1701">
        <w:tc>
          <w:tcPr>
            <w:tcW w:w="1090" w:type="dxa"/>
            <w:tcBorders>
              <w:bottom w:val="single" w:sz="2" w:space="0" w:color="000000"/>
            </w:tcBorders>
            <w:tcMar>
              <w:top w:w="55" w:type="dxa"/>
              <w:left w:w="55" w:type="dxa"/>
              <w:bottom w:w="55" w:type="dxa"/>
              <w:right w:w="55" w:type="dxa"/>
            </w:tcMar>
          </w:tcPr>
          <w:p w:rsidR="00DA4D2F" w:rsidRPr="001342B4" w:rsidRDefault="00DA4D2F" w:rsidP="00BF1701">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DA4D2F" w:rsidRPr="001342B4" w:rsidRDefault="00DA4D2F" w:rsidP="00BF1701">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DA4D2F" w:rsidRPr="001342B4" w:rsidRDefault="00DA4D2F" w:rsidP="00BF1701">
            <w:pPr>
              <w:pStyle w:val="TableContents"/>
              <w:jc w:val="center"/>
              <w:rPr>
                <w:rFonts w:asciiTheme="minorHAnsi" w:hAnsiTheme="minorHAnsi"/>
                <w:b/>
                <w:bCs/>
              </w:rPr>
            </w:pPr>
            <w:r>
              <w:rPr>
                <w:rFonts w:asciiTheme="minorHAnsi" w:hAnsiTheme="minorHAnsi"/>
                <w:b/>
                <w:bCs/>
              </w:rPr>
              <w:t>world</w:t>
            </w:r>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r w:rsidR="00DA4D2F" w:rsidTr="00BF1701">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9F5549"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pw</m:t>
                    </m:r>
                  </m:sub>
                </m:sSub>
              </m:oMath>
            </m:oMathPara>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9F5549"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9F5549"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rsidTr="00BF1701">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9F5549"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rsidTr="00BF1701">
        <w:tc>
          <w:tcPr>
            <w:tcW w:w="1090" w:type="dxa"/>
            <w:tcBorders>
              <w:left w:val="single" w:sz="2" w:space="0" w:color="000000"/>
              <w:bottom w:val="single" w:sz="2" w:space="0" w:color="000000"/>
            </w:tcBorders>
            <w:tcMar>
              <w:top w:w="55" w:type="dxa"/>
              <w:left w:w="55" w:type="dxa"/>
              <w:bottom w:w="55" w:type="dxa"/>
              <w:right w:w="55" w:type="dxa"/>
            </w:tcMar>
            <w:vAlign w:val="center"/>
          </w:tcPr>
          <w:p w:rsidR="00DA4D2F" w:rsidRPr="001342B4" w:rsidRDefault="00DA4D2F" w:rsidP="00BF1701">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rsidR="00DA4D2F" w:rsidRDefault="009F5549" w:rsidP="00BF1701">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DA4D2F" w:rsidRDefault="00DA4D2F" w:rsidP="00BF1701">
            <w:pPr>
              <w:jc w:val="center"/>
            </w:pPr>
            <w:r>
              <w:t>0.0</w:t>
            </w:r>
          </w:p>
        </w:tc>
        <w:tc>
          <w:tcPr>
            <w:tcW w:w="896"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c>
          <w:tcPr>
            <w:tcW w:w="900" w:type="dxa"/>
            <w:tcBorders>
              <w:left w:val="single" w:sz="2" w:space="0" w:color="000000"/>
              <w:bottom w:val="single" w:sz="2" w:space="0" w:color="000000"/>
              <w:right w:val="single" w:sz="2" w:space="0" w:color="000000"/>
            </w:tcBorders>
          </w:tcPr>
          <w:p w:rsidR="00DA4D2F" w:rsidRDefault="00DA4D2F" w:rsidP="00BF1701">
            <w:pPr>
              <w:jc w:val="center"/>
            </w:pPr>
            <w:r>
              <w:t>0.0</w:t>
            </w:r>
          </w:p>
        </w:tc>
      </w:tr>
    </w:tbl>
    <w:p w:rsidR="00DA4D2F" w:rsidRDefault="00DA4D2F" w:rsidP="00DA4D2F"/>
    <w:p w:rsidR="00DA4D2F" w:rsidRDefault="00DA4D2F" w:rsidP="00DA4D2F">
      <w:r>
        <w:t>where</w:t>
      </w:r>
    </w:p>
    <w:p w:rsidR="00DA4D2F" w:rsidRDefault="00DA4D2F" w:rsidP="00DA4D2F"/>
    <w:p w:rsidR="00DA4D2F" w:rsidRDefault="009F554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rsidR="00DA4D2F" w:rsidRDefault="009F554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t>Black market feedstock price plus black market profits if no actors receive them</w:t>
      </w:r>
    </w:p>
    <w:p w:rsidR="00DA4D2F" w:rsidRDefault="009F554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pw</m:t>
            </m:r>
          </m:sub>
        </m:sSub>
      </m:oMath>
      <w:r w:rsidR="00DA4D2F">
        <w:tab/>
        <w:t>=</w:t>
      </w:r>
      <w:r w:rsidR="00DA4D2F">
        <w:tab/>
      </w: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w:r w:rsidR="00DA4D2F">
        <w:t xml:space="preserve"> aka remittances</w:t>
      </w:r>
    </w:p>
    <w:p w:rsidR="00DA4D2F" w:rsidRDefault="009F554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rsidR="00DA4D2F" w:rsidRDefault="009F5549"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rsidR="007240E6" w:rsidRDefault="00AD22FB" w:rsidP="00DA4D2F">
      <w:pPr>
        <w:pStyle w:val="Heading4"/>
      </w:pPr>
      <w:r>
        <w:br w:type="page"/>
      </w:r>
    </w:p>
    <w:p w:rsidR="007240E6" w:rsidRDefault="007240E6" w:rsidP="00DA4D2F">
      <w:pPr>
        <w:pStyle w:val="Heading4"/>
      </w:pPr>
      <w:bookmarkStart w:id="336" w:name="_Toc364076572"/>
      <w:r>
        <w:lastRenderedPageBreak/>
        <w:t>SAM Outputs</w:t>
      </w:r>
      <w:bookmarkEnd w:id="336"/>
    </w:p>
    <w:p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r>
              <w:rPr>
                <w:i/>
              </w:rPr>
              <w:t>f</w:t>
            </w:r>
            <w:r w:rsidRPr="00EB5313">
              <w:rPr>
                <w:i/>
                <w:vertAlign w:val="subscript"/>
              </w:rPr>
              <w:t>gg</w:t>
            </w:r>
          </w:p>
        </w:tc>
        <w:tc>
          <w:tcPr>
            <w:tcW w:w="1419" w:type="dxa"/>
          </w:tcPr>
          <w:p w:rsidR="00AD22FB" w:rsidRPr="00EB5313" w:rsidRDefault="00EB5313" w:rsidP="00EB5313">
            <w:pPr>
              <w:jc w:val="center"/>
              <w:rPr>
                <w:i/>
              </w:rPr>
            </w:pPr>
            <w:r>
              <w:rPr>
                <w:i/>
              </w:rPr>
              <w:t>A</w:t>
            </w:r>
            <w:r w:rsidRPr="00EB5313">
              <w:rPr>
                <w:i/>
                <w:vertAlign w:val="subscript"/>
              </w:rPr>
              <w:t>gb</w:t>
            </w:r>
          </w:p>
        </w:tc>
        <w:tc>
          <w:tcPr>
            <w:tcW w:w="1419" w:type="dxa"/>
          </w:tcPr>
          <w:p w:rsidR="00AD22FB" w:rsidRPr="00EB5313" w:rsidRDefault="00EB5313" w:rsidP="00EB5313">
            <w:pPr>
              <w:jc w:val="center"/>
              <w:rPr>
                <w:i/>
              </w:rPr>
            </w:pPr>
            <w:r>
              <w:rPr>
                <w:i/>
              </w:rPr>
              <w:t>f</w:t>
            </w:r>
            <w:r w:rsidRPr="00EB5313">
              <w:rPr>
                <w:i/>
                <w:vertAlign w:val="subscript"/>
              </w:rPr>
              <w:t>gp</w:t>
            </w:r>
          </w:p>
        </w:tc>
        <w:tc>
          <w:tcPr>
            <w:tcW w:w="1420" w:type="dxa"/>
          </w:tcPr>
          <w:p w:rsidR="00AD22FB" w:rsidRPr="00EB5313" w:rsidRDefault="00EB5313" w:rsidP="00EB5313">
            <w:pPr>
              <w:jc w:val="center"/>
              <w:rPr>
                <w:i/>
              </w:rPr>
            </w:pPr>
            <w:r>
              <w:rPr>
                <w:i/>
              </w:rPr>
              <w:t>f</w:t>
            </w:r>
            <w:r w:rsidRPr="00EB5313">
              <w:rPr>
                <w:i/>
                <w:vertAlign w:val="subscript"/>
              </w:rPr>
              <w:t>ga</w:t>
            </w:r>
          </w:p>
        </w:tc>
        <w:tc>
          <w:tcPr>
            <w:tcW w:w="1420" w:type="dxa"/>
          </w:tcPr>
          <w:p w:rsidR="00AD22FB" w:rsidRPr="00EB5313" w:rsidRDefault="00EB5313" w:rsidP="00EB5313">
            <w:pPr>
              <w:jc w:val="center"/>
              <w:rPr>
                <w:i/>
              </w:rPr>
            </w:pPr>
            <w:r>
              <w:rPr>
                <w:i/>
              </w:rPr>
              <w:t>f</w:t>
            </w:r>
            <w:r w:rsidRPr="00EB5313">
              <w:rPr>
                <w:i/>
                <w:vertAlign w:val="subscript"/>
              </w:rPr>
              <w:t>gr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r>
              <w:rPr>
                <w:i/>
              </w:rPr>
              <w:t>f</w:t>
            </w:r>
            <w:r w:rsidRPr="00EB5313">
              <w:rPr>
                <w:i/>
                <w:vertAlign w:val="subscript"/>
              </w:rPr>
              <w:t>bg</w:t>
            </w:r>
          </w:p>
        </w:tc>
        <w:tc>
          <w:tcPr>
            <w:tcW w:w="1419" w:type="dxa"/>
          </w:tcPr>
          <w:p w:rsidR="00AD22FB" w:rsidRPr="00EB5313" w:rsidRDefault="00EB5313" w:rsidP="00EB5313">
            <w:pPr>
              <w:jc w:val="center"/>
              <w:rPr>
                <w:i/>
              </w:rPr>
            </w:pPr>
            <w:r>
              <w:rPr>
                <w:i/>
              </w:rPr>
              <w:t>A</w:t>
            </w:r>
            <w:r w:rsidRPr="00EB5313">
              <w:rPr>
                <w:i/>
                <w:vertAlign w:val="subscript"/>
              </w:rPr>
              <w:t>bb</w:t>
            </w:r>
          </w:p>
        </w:tc>
        <w:tc>
          <w:tcPr>
            <w:tcW w:w="1419" w:type="dxa"/>
          </w:tcPr>
          <w:p w:rsidR="00AD22FB" w:rsidRPr="00EB5313" w:rsidRDefault="00EB5313" w:rsidP="00EB5313">
            <w:pPr>
              <w:jc w:val="center"/>
              <w:rPr>
                <w:i/>
              </w:rPr>
            </w:pPr>
            <w:r>
              <w:rPr>
                <w:i/>
              </w:rPr>
              <w:t>f</w:t>
            </w:r>
            <w:r w:rsidRPr="00EB5313">
              <w:rPr>
                <w:i/>
                <w:vertAlign w:val="subscript"/>
              </w:rPr>
              <w:t>bp</w:t>
            </w:r>
          </w:p>
        </w:tc>
        <w:tc>
          <w:tcPr>
            <w:tcW w:w="1420" w:type="dxa"/>
          </w:tcPr>
          <w:p w:rsidR="00AD22FB" w:rsidRPr="00EB5313" w:rsidRDefault="00EB5313" w:rsidP="00EB5313">
            <w:pPr>
              <w:jc w:val="center"/>
              <w:rPr>
                <w:i/>
              </w:rPr>
            </w:pPr>
            <w:r>
              <w:rPr>
                <w:i/>
              </w:rPr>
              <w:t>f</w:t>
            </w:r>
            <w:r w:rsidRPr="00EB5313">
              <w:rPr>
                <w:i/>
                <w:vertAlign w:val="subscript"/>
              </w:rPr>
              <w:t>ba</w:t>
            </w:r>
          </w:p>
        </w:tc>
        <w:tc>
          <w:tcPr>
            <w:tcW w:w="1420" w:type="dxa"/>
          </w:tcPr>
          <w:p w:rsidR="00AD22FB" w:rsidRPr="00EB5313" w:rsidRDefault="00EB5313" w:rsidP="00EB5313">
            <w:pPr>
              <w:jc w:val="center"/>
              <w:rPr>
                <w:i/>
              </w:rPr>
            </w:pPr>
            <w:r>
              <w:rPr>
                <w:i/>
              </w:rPr>
              <w:t>f</w:t>
            </w:r>
            <w:r w:rsidRPr="00EB5313">
              <w:rPr>
                <w:i/>
                <w:vertAlign w:val="subscript"/>
              </w:rPr>
              <w:t>br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r>
              <w:rPr>
                <w:i/>
              </w:rPr>
              <w:t>f</w:t>
            </w:r>
            <w:r w:rsidRPr="00EB5313">
              <w:rPr>
                <w:i/>
                <w:vertAlign w:val="subscript"/>
              </w:rPr>
              <w:t>pg</w:t>
            </w:r>
          </w:p>
        </w:tc>
        <w:tc>
          <w:tcPr>
            <w:tcW w:w="1419" w:type="dxa"/>
          </w:tcPr>
          <w:p w:rsidR="00AD22FB" w:rsidRPr="00EB5313" w:rsidRDefault="00EB5313" w:rsidP="00EB5313">
            <w:pPr>
              <w:jc w:val="center"/>
              <w:rPr>
                <w:i/>
              </w:rPr>
            </w:pPr>
            <w:r>
              <w:rPr>
                <w:i/>
              </w:rPr>
              <w:t>A</w:t>
            </w:r>
            <w:r w:rsidRPr="00EB5313">
              <w:rPr>
                <w:i/>
                <w:vertAlign w:val="subscript"/>
              </w:rPr>
              <w:t>pb</w:t>
            </w:r>
          </w:p>
        </w:tc>
        <w:tc>
          <w:tcPr>
            <w:tcW w:w="1419" w:type="dxa"/>
          </w:tcPr>
          <w:p w:rsidR="00AD22FB" w:rsidRPr="00EB5313" w:rsidRDefault="00EB5313" w:rsidP="00EB5313">
            <w:pPr>
              <w:jc w:val="center"/>
              <w:rPr>
                <w:i/>
              </w:rPr>
            </w:pPr>
            <w:r>
              <w:rPr>
                <w:i/>
              </w:rPr>
              <w:t>f</w:t>
            </w:r>
            <w:r w:rsidRPr="00EB5313">
              <w:rPr>
                <w:i/>
                <w:vertAlign w:val="subscript"/>
              </w:rPr>
              <w:t>pp</w:t>
            </w:r>
          </w:p>
        </w:tc>
        <w:tc>
          <w:tcPr>
            <w:tcW w:w="1420" w:type="dxa"/>
          </w:tcPr>
          <w:p w:rsidR="00AD22FB" w:rsidRPr="00EB5313" w:rsidRDefault="00EB5313" w:rsidP="00EB5313">
            <w:pPr>
              <w:jc w:val="center"/>
              <w:rPr>
                <w:i/>
              </w:rPr>
            </w:pPr>
            <w:r>
              <w:rPr>
                <w:i/>
              </w:rPr>
              <w:t>f</w:t>
            </w:r>
            <w:r w:rsidRPr="00EB5313">
              <w:rPr>
                <w:i/>
                <w:vertAlign w:val="subscript"/>
              </w:rPr>
              <w:t>pa</w:t>
            </w:r>
          </w:p>
        </w:tc>
        <w:tc>
          <w:tcPr>
            <w:tcW w:w="1420" w:type="dxa"/>
          </w:tcPr>
          <w:p w:rsidR="00AD22FB" w:rsidRPr="00EB5313" w:rsidRDefault="00EB5313" w:rsidP="00EB5313">
            <w:pPr>
              <w:jc w:val="center"/>
              <w:rPr>
                <w:i/>
              </w:rPr>
            </w:pPr>
            <w:r>
              <w:rPr>
                <w:i/>
              </w:rPr>
              <w:t>f</w:t>
            </w:r>
            <w:r w:rsidRPr="00EB5313">
              <w:rPr>
                <w:i/>
                <w:vertAlign w:val="subscript"/>
              </w:rPr>
              <w:t>pr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r>
              <w:rPr>
                <w:i/>
              </w:rPr>
              <w:t>f</w:t>
            </w:r>
            <w:r w:rsidRPr="00EB5313">
              <w:rPr>
                <w:i/>
                <w:vertAlign w:val="subscript"/>
              </w:rPr>
              <w:t>aa</w:t>
            </w:r>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r>
              <w:rPr>
                <w:i/>
              </w:rPr>
              <w:t>t</w:t>
            </w:r>
            <w:r w:rsidRPr="00EB5313">
              <w:rPr>
                <w:i/>
                <w:vertAlign w:val="subscript"/>
              </w:rPr>
              <w:t>rg</w:t>
            </w:r>
          </w:p>
        </w:tc>
        <w:tc>
          <w:tcPr>
            <w:tcW w:w="1419" w:type="dxa"/>
          </w:tcPr>
          <w:p w:rsidR="00AD22FB" w:rsidRPr="00EB5313" w:rsidRDefault="00EB5313" w:rsidP="00EB5313">
            <w:pPr>
              <w:jc w:val="center"/>
              <w:rPr>
                <w:i/>
              </w:rPr>
            </w:pPr>
            <w:r>
              <w:rPr>
                <w:i/>
              </w:rPr>
              <w:t>t</w:t>
            </w:r>
            <w:r w:rsidRPr="00EB5313">
              <w:rPr>
                <w:i/>
                <w:vertAlign w:val="subscript"/>
              </w:rPr>
              <w:t>rb</w:t>
            </w:r>
          </w:p>
        </w:tc>
        <w:tc>
          <w:tcPr>
            <w:tcW w:w="1419" w:type="dxa"/>
          </w:tcPr>
          <w:p w:rsidR="00AD22FB" w:rsidRPr="00EB5313" w:rsidRDefault="00EB5313" w:rsidP="00EB5313">
            <w:pPr>
              <w:jc w:val="center"/>
              <w:rPr>
                <w:i/>
              </w:rPr>
            </w:pPr>
            <w:r>
              <w:rPr>
                <w:i/>
              </w:rPr>
              <w:t>t</w:t>
            </w:r>
            <w:r w:rsidRPr="00EB5313">
              <w:rPr>
                <w:i/>
                <w:vertAlign w:val="subscript"/>
              </w:rPr>
              <w:t>rp</w:t>
            </w:r>
          </w:p>
        </w:tc>
        <w:tc>
          <w:tcPr>
            <w:tcW w:w="1420" w:type="dxa"/>
          </w:tcPr>
          <w:p w:rsidR="00AD22FB" w:rsidRPr="00EB5313" w:rsidRDefault="00EB5313" w:rsidP="00EB5313">
            <w:pPr>
              <w:jc w:val="center"/>
              <w:rPr>
                <w:i/>
              </w:rPr>
            </w:pPr>
            <w:r>
              <w:rPr>
                <w:i/>
              </w:rPr>
              <w:t>f</w:t>
            </w:r>
            <w:r w:rsidRPr="00EB5313">
              <w:rPr>
                <w:i/>
                <w:vertAlign w:val="subscript"/>
              </w:rPr>
              <w:t>ra</w:t>
            </w:r>
          </w:p>
        </w:tc>
        <w:tc>
          <w:tcPr>
            <w:tcW w:w="1420" w:type="dxa"/>
          </w:tcPr>
          <w:p w:rsidR="00AD22FB" w:rsidRPr="00EB5313" w:rsidRDefault="00EB5313" w:rsidP="00EB5313">
            <w:pPr>
              <w:jc w:val="center"/>
              <w:rPr>
                <w:i/>
              </w:rPr>
            </w:pPr>
            <w:r>
              <w:rPr>
                <w:i/>
              </w:rPr>
              <w:t>f</w:t>
            </w:r>
            <w:r w:rsidRPr="00EB5313">
              <w:rPr>
                <w:i/>
                <w:vertAlign w:val="subscript"/>
              </w:rPr>
              <w:t>rr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r>
              <w:rPr>
                <w:i/>
              </w:rPr>
              <w:t>t</w:t>
            </w:r>
            <w:r w:rsidRPr="00EB5313">
              <w:rPr>
                <w:i/>
                <w:vertAlign w:val="subscript"/>
              </w:rPr>
              <w:t>wg</w:t>
            </w:r>
          </w:p>
        </w:tc>
        <w:tc>
          <w:tcPr>
            <w:tcW w:w="1419" w:type="dxa"/>
          </w:tcPr>
          <w:p w:rsidR="00AD22FB" w:rsidRPr="00EB5313" w:rsidRDefault="00EB5313" w:rsidP="00EB5313">
            <w:pPr>
              <w:jc w:val="center"/>
              <w:rPr>
                <w:i/>
              </w:rPr>
            </w:pPr>
            <w:r>
              <w:rPr>
                <w:i/>
              </w:rPr>
              <w:t>t</w:t>
            </w:r>
            <w:r w:rsidRPr="00EB5313">
              <w:rPr>
                <w:i/>
                <w:vertAlign w:val="subscript"/>
              </w:rPr>
              <w:t>wb</w:t>
            </w:r>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r>
              <w:rPr>
                <w:i/>
              </w:rPr>
              <w:t>f</w:t>
            </w:r>
            <w:r w:rsidRPr="00EB5313">
              <w:rPr>
                <w:i/>
                <w:vertAlign w:val="subscript"/>
              </w:rPr>
              <w:t>wa</w:t>
            </w:r>
          </w:p>
        </w:tc>
        <w:tc>
          <w:tcPr>
            <w:tcW w:w="1420" w:type="dxa"/>
          </w:tcPr>
          <w:p w:rsidR="00AD22FB" w:rsidRPr="00EB5313" w:rsidRDefault="00EB5313" w:rsidP="00EB5313">
            <w:pPr>
              <w:jc w:val="center"/>
              <w:rPr>
                <w:i/>
              </w:rPr>
            </w:pPr>
            <w:r>
              <w:rPr>
                <w:i/>
              </w:rPr>
              <w:t>f</w:t>
            </w:r>
            <w:r w:rsidRPr="00EB5313">
              <w:rPr>
                <w:i/>
                <w:vertAlign w:val="subscript"/>
              </w:rPr>
              <w:t>wr</w:t>
            </w:r>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r>
        <w:t>where</w:t>
      </w:r>
    </w:p>
    <w:p w:rsidR="000F1391" w:rsidRDefault="000F1391" w:rsidP="001342B4">
      <w:pPr>
        <w:ind w:left="360"/>
      </w:pPr>
    </w:p>
    <w:p w:rsidR="000F1391" w:rsidRDefault="009F5549"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i to sector j.</w:t>
      </w:r>
    </w:p>
    <w:p w:rsidR="000F1391" w:rsidRDefault="009F5549"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i to sector </w:t>
      </w:r>
      <w:r w:rsidR="000F1391" w:rsidRPr="001342B4">
        <w:rPr>
          <w:i/>
        </w:rPr>
        <w:t>j</w:t>
      </w:r>
      <w:r w:rsidR="000F1391">
        <w:t>.</w:t>
      </w:r>
    </w:p>
    <w:p w:rsidR="000F1391" w:rsidRDefault="009F5549"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sector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9F554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rsidR="007056DA" w:rsidRDefault="007056DA" w:rsidP="007056DA">
      <w:pPr>
        <w:ind w:left="360"/>
      </w:pPr>
    </w:p>
    <w:p w:rsidR="00FE70BE" w:rsidRDefault="009F554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rsidR="00840649" w:rsidRDefault="00840649" w:rsidP="007056DA">
      <w:pPr>
        <w:ind w:left="360"/>
      </w:pPr>
    </w:p>
    <w:p w:rsidR="00840649" w:rsidRDefault="009F5549"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9F5549"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rsidR="007056DA" w:rsidRPr="001342B4" w:rsidRDefault="007056DA" w:rsidP="007056DA">
      <w:pPr>
        <w:ind w:left="360"/>
      </w:pPr>
    </w:p>
    <w:p w:rsidR="007056DA" w:rsidRPr="001342B4" w:rsidRDefault="009F5549"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rsidR="007056DA" w:rsidRDefault="007056DA" w:rsidP="000F1391"/>
    <w:p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rsidR="00EB110D" w:rsidRPr="00EB110D" w:rsidRDefault="00EB110D" w:rsidP="000F1391"/>
    <w:p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7"/>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r>
              <w:rPr>
                <w:i/>
              </w:rPr>
              <w:t>BEXPORTS</w:t>
            </w:r>
            <w:r w:rsidRPr="00D2387F">
              <w:rPr>
                <w:i/>
                <w:vertAlign w:val="subscript"/>
              </w:rPr>
              <w:t>g</w:t>
            </w:r>
          </w:p>
        </w:tc>
        <w:tc>
          <w:tcPr>
            <w:tcW w:w="4733" w:type="dxa"/>
          </w:tcPr>
          <w:p w:rsidR="000F1391" w:rsidRDefault="00D2387F" w:rsidP="007047AE">
            <w:r>
              <w:t>The amount of exports from the goods sector to the world sector</w:t>
            </w:r>
          </w:p>
        </w:tc>
        <w:tc>
          <w:tcPr>
            <w:tcW w:w="1557" w:type="dxa"/>
          </w:tcPr>
          <w:p w:rsidR="000F1391" w:rsidRDefault="00D2387F" w:rsidP="007047AE">
            <w:r>
              <w:t>GBasket/yr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r>
              <w:rPr>
                <w:i/>
              </w:rPr>
              <w:t>BEXPORTS</w:t>
            </w:r>
            <w:r w:rsidRPr="00D2387F">
              <w:rPr>
                <w:i/>
                <w:vertAlign w:val="subscript"/>
              </w:rPr>
              <w:t>b</w:t>
            </w:r>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r>
              <w:t>tonnes/yr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r>
              <w:rPr>
                <w:i/>
              </w:rPr>
              <w:t>BEXPORTS</w:t>
            </w:r>
            <w:r w:rsidRPr="00D2387F">
              <w:rPr>
                <w:i/>
                <w:vertAlign w:val="subscript"/>
              </w:rPr>
              <w:t>p</w:t>
            </w:r>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EB110D" w:rsidTr="007047AE">
        <w:tc>
          <w:tcPr>
            <w:tcW w:w="1940" w:type="dxa"/>
          </w:tcPr>
          <w:p w:rsidR="00EB110D" w:rsidRDefault="00EB110D" w:rsidP="007047AE">
            <w:r>
              <w:t>Base GDP</w:t>
            </w:r>
          </w:p>
        </w:tc>
        <w:tc>
          <w:tcPr>
            <w:tcW w:w="1778" w:type="dxa"/>
          </w:tcPr>
          <w:p w:rsidR="00EB110D" w:rsidRDefault="00EB110D" w:rsidP="007047AE">
            <w:pPr>
              <w:jc w:val="center"/>
              <w:rPr>
                <w:i/>
              </w:rPr>
            </w:pPr>
            <w:r>
              <w:rPr>
                <w:i/>
              </w:rPr>
              <w:t>BaseGDP</w:t>
            </w:r>
          </w:p>
        </w:tc>
        <w:tc>
          <w:tcPr>
            <w:tcW w:w="4733" w:type="dxa"/>
          </w:tcPr>
          <w:p w:rsidR="00EB110D" w:rsidRDefault="00EB110D" w:rsidP="007047AE">
            <w:r>
              <w:t>The base GDP to which the economy is calibrated, this results in the computation of the base wage.</w:t>
            </w:r>
          </w:p>
        </w:tc>
        <w:tc>
          <w:tcPr>
            <w:tcW w:w="1557" w:type="dxa"/>
          </w:tcPr>
          <w:p w:rsidR="00EB110D" w:rsidRDefault="00EB110D" w:rsidP="007047AE"/>
        </w:tc>
      </w:tr>
      <w:tr w:rsidR="00EB110D" w:rsidTr="00BF1701">
        <w:tc>
          <w:tcPr>
            <w:tcW w:w="1940" w:type="dxa"/>
          </w:tcPr>
          <w:p w:rsidR="00EB110D" w:rsidRDefault="00EB110D" w:rsidP="00BF1701">
            <w:r>
              <w:t>Per cap. Demand for Goods</w:t>
            </w:r>
          </w:p>
        </w:tc>
        <w:tc>
          <w:tcPr>
            <w:tcW w:w="1778" w:type="dxa"/>
          </w:tcPr>
          <w:p w:rsidR="00EB110D" w:rsidRPr="00324956" w:rsidRDefault="00EB110D" w:rsidP="00BF1701">
            <w:pPr>
              <w:jc w:val="center"/>
              <w:rPr>
                <w:i/>
              </w:rPr>
            </w:pPr>
            <w:r>
              <w:rPr>
                <w:i/>
              </w:rPr>
              <w:t>BA</w:t>
            </w:r>
            <w:r w:rsidRPr="000F1391">
              <w:rPr>
                <w:i/>
                <w:vertAlign w:val="subscript"/>
              </w:rPr>
              <w:t>gp</w:t>
            </w:r>
          </w:p>
        </w:tc>
        <w:tc>
          <w:tcPr>
            <w:tcW w:w="4733" w:type="dxa"/>
          </w:tcPr>
          <w:p w:rsidR="00EB110D" w:rsidRDefault="00EB110D" w:rsidP="00BF1701">
            <w:r>
              <w:t>The average per capita demand for goods</w:t>
            </w:r>
          </w:p>
        </w:tc>
        <w:tc>
          <w:tcPr>
            <w:tcW w:w="1557" w:type="dxa"/>
          </w:tcPr>
          <w:p w:rsidR="00EB110D" w:rsidRDefault="00EB110D" w:rsidP="00BF1701">
            <w:r>
              <w:t>GBasket/yr</w:t>
            </w:r>
          </w:p>
        </w:tc>
      </w:tr>
      <w:tr w:rsidR="00EB110D" w:rsidTr="00BF1701">
        <w:tc>
          <w:tcPr>
            <w:tcW w:w="1940" w:type="dxa"/>
          </w:tcPr>
          <w:p w:rsidR="00EB110D" w:rsidRDefault="00EB110D" w:rsidP="00BF1701">
            <w:r>
              <w:t>Base Sub. Agriculture</w:t>
            </w:r>
          </w:p>
        </w:tc>
        <w:tc>
          <w:tcPr>
            <w:tcW w:w="1778" w:type="dxa"/>
          </w:tcPr>
          <w:p w:rsidR="00EB110D" w:rsidRDefault="00EB110D" w:rsidP="00BF1701">
            <w:pPr>
              <w:jc w:val="center"/>
              <w:rPr>
                <w:i/>
              </w:rPr>
            </w:pPr>
            <w:r>
              <w:rPr>
                <w:i/>
              </w:rPr>
              <w:t>BaseSA</w:t>
            </w:r>
          </w:p>
        </w:tc>
        <w:tc>
          <w:tcPr>
            <w:tcW w:w="4733" w:type="dxa"/>
          </w:tcPr>
          <w:p w:rsidR="00EB110D" w:rsidRDefault="00EB110D" w:rsidP="00EB110D">
            <w:r>
              <w:t>The product of the number of subsisters and the subsistence wage</w:t>
            </w:r>
          </w:p>
        </w:tc>
        <w:tc>
          <w:tcPr>
            <w:tcW w:w="1557" w:type="dxa"/>
          </w:tcPr>
          <w:p w:rsidR="00EB110D" w:rsidRDefault="00EB110D" w:rsidP="00BF1701">
            <w:r>
              <w:t>$/year</w:t>
            </w:r>
          </w:p>
        </w:tc>
      </w:tr>
      <w:tr w:rsidR="00EB110D" w:rsidTr="007047AE">
        <w:tc>
          <w:tcPr>
            <w:tcW w:w="1940" w:type="dxa"/>
          </w:tcPr>
          <w:p w:rsidR="00EB110D" w:rsidRDefault="00EB110D" w:rsidP="00EB110D">
            <w:r>
              <w:t>Remittances</w:t>
            </w:r>
          </w:p>
        </w:tc>
        <w:tc>
          <w:tcPr>
            <w:tcW w:w="1778" w:type="dxa"/>
          </w:tcPr>
          <w:p w:rsidR="00EB110D" w:rsidRDefault="00EB110D" w:rsidP="007047AE">
            <w:pPr>
              <w:jc w:val="center"/>
              <w:rPr>
                <w:i/>
              </w:rPr>
            </w:pPr>
            <w:r>
              <w:rPr>
                <w:i/>
              </w:rPr>
              <w:t>BREM</w:t>
            </w:r>
          </w:p>
        </w:tc>
        <w:tc>
          <w:tcPr>
            <w:tcW w:w="4733" w:type="dxa"/>
          </w:tcPr>
          <w:p w:rsidR="00EB110D" w:rsidRDefault="00EB110D" w:rsidP="007047AE">
            <w:r>
              <w:t>The difference between expenditures in the pop sector and revenue assuming the population spends more than it receives in wages</w:t>
            </w:r>
          </w:p>
        </w:tc>
        <w:tc>
          <w:tcPr>
            <w:tcW w:w="1557" w:type="dxa"/>
          </w:tcPr>
          <w:p w:rsidR="00EB110D" w:rsidRDefault="006B607A" w:rsidP="007047AE">
            <w:r>
              <w:t>$/year</w:t>
            </w:r>
          </w:p>
        </w:tc>
      </w:tr>
      <w:tr w:rsidR="00D2387F" w:rsidTr="007047AE">
        <w:tc>
          <w:tcPr>
            <w:tcW w:w="1940" w:type="dxa"/>
          </w:tcPr>
          <w:p w:rsidR="00D2387F" w:rsidRDefault="00D2387F" w:rsidP="00EB110D">
            <w:r>
              <w:t xml:space="preserve">Black Market </w:t>
            </w:r>
            <w:r w:rsidR="00EB110D">
              <w:t>Profit</w:t>
            </w:r>
          </w:p>
        </w:tc>
        <w:tc>
          <w:tcPr>
            <w:tcW w:w="1778" w:type="dxa"/>
          </w:tcPr>
          <w:p w:rsidR="00D2387F" w:rsidRDefault="00D2387F" w:rsidP="007047AE">
            <w:pPr>
              <w:jc w:val="center"/>
              <w:rPr>
                <w:i/>
              </w:rPr>
            </w:pPr>
            <w:r>
              <w:rPr>
                <w:i/>
              </w:rPr>
              <w:t>BNR</w:t>
            </w:r>
            <w:r w:rsidRPr="007056DA">
              <w:rPr>
                <w:i/>
                <w:vertAlign w:val="subscript"/>
              </w:rPr>
              <w:t>b</w:t>
            </w:r>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r w:rsidR="00EB110D" w:rsidTr="007047AE">
        <w:tc>
          <w:tcPr>
            <w:tcW w:w="1940" w:type="dxa"/>
          </w:tcPr>
          <w:p w:rsidR="00EB110D" w:rsidRDefault="00EB110D" w:rsidP="00EB110D">
            <w:r>
              <w:t>Black Feedstock</w:t>
            </w:r>
          </w:p>
        </w:tc>
        <w:tc>
          <w:tcPr>
            <w:tcW w:w="1778" w:type="dxa"/>
          </w:tcPr>
          <w:p w:rsidR="00EB110D" w:rsidRDefault="00EB110D" w:rsidP="007047AE">
            <w:pPr>
              <w:jc w:val="center"/>
              <w:rPr>
                <w:i/>
              </w:rPr>
            </w:pPr>
            <w:r>
              <w:rPr>
                <w:i/>
              </w:rPr>
              <w:t>FEED</w:t>
            </w:r>
            <w:r w:rsidRPr="007056DA">
              <w:rPr>
                <w:i/>
                <w:vertAlign w:val="subscript"/>
              </w:rPr>
              <w:t>b</w:t>
            </w:r>
          </w:p>
        </w:tc>
        <w:tc>
          <w:tcPr>
            <w:tcW w:w="4733" w:type="dxa"/>
          </w:tcPr>
          <w:p w:rsidR="00EB110D" w:rsidRDefault="00EB110D" w:rsidP="007047AE">
            <w:r>
              <w:t>The total cost of feedstock for the black market</w:t>
            </w:r>
          </w:p>
        </w:tc>
        <w:tc>
          <w:tcPr>
            <w:tcW w:w="1557" w:type="dxa"/>
          </w:tcPr>
          <w:p w:rsidR="00EB110D" w:rsidRDefault="00EB110D"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rsidR="00D2387F" w:rsidRPr="001342B4" w:rsidRDefault="00D2387F" w:rsidP="00D2387F">
      <w:pPr>
        <w:ind w:left="360"/>
      </w:pPr>
    </w:p>
    <w:p w:rsidR="00D2387F" w:rsidRPr="007056DA" w:rsidRDefault="009F5549"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9F5549"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9F5549"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Default="009F5549"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6B607A" w:rsidRDefault="006B607A" w:rsidP="007056DA">
      <w:pPr>
        <w:ind w:left="360"/>
      </w:pPr>
    </w:p>
    <w:p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rsidR="00D2387F" w:rsidRDefault="00D2387F" w:rsidP="00965466"/>
    <w:p w:rsidR="007056DA" w:rsidRDefault="009F5549"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BE55E6" w:rsidRDefault="00BE55E6" w:rsidP="007056DA">
      <w:pPr>
        <w:ind w:left="360"/>
      </w:pPr>
    </w:p>
    <w:p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on"/>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m:t>
                  </m:r>
                  <m:r>
                    <w:rPr>
                      <w:rFonts w:ascii="Cambria Math" w:hAnsi="Cambria Math"/>
                    </w:rPr>
                    <m:t>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rsidR="00BE55E6" w:rsidRPr="001342B4" w:rsidRDefault="00BE55E6" w:rsidP="007056DA">
      <w:pPr>
        <w:ind w:left="360"/>
      </w:pPr>
    </w:p>
    <w:p w:rsidR="000F1391" w:rsidRDefault="000F1391" w:rsidP="00965466"/>
    <w:p w:rsidR="004F6A40" w:rsidRDefault="004F6A40" w:rsidP="004F6A40">
      <w:pPr>
        <w:pStyle w:val="Definitions"/>
      </w:pPr>
    </w:p>
    <w:p w:rsidR="004231AA" w:rsidRDefault="004231AA" w:rsidP="004231AA">
      <w:pPr>
        <w:pStyle w:val="Heading3"/>
      </w:pPr>
      <w:bookmarkStart w:id="337" w:name="_Ref341700214"/>
      <w:bookmarkStart w:id="338" w:name="_Toc364076573"/>
      <w:r>
        <w:t>Computing the Actors Sector</w:t>
      </w:r>
      <w:bookmarkEnd w:id="337"/>
      <w:bookmarkEnd w:id="338"/>
    </w:p>
    <w:p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rsidR="000A2595" w:rsidRDefault="000A2595" w:rsidP="004231AA">
      <w:r>
        <w:br w:type="page"/>
      </w:r>
    </w:p>
    <w:p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rsidR="000A2595" w:rsidRDefault="000A2595" w:rsidP="004231AA"/>
    <w:p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39" w:name="_Toc364076574"/>
      <w:r>
        <w:t>Computing Actor’s Expenditures</w:t>
      </w:r>
      <w:bookmarkEnd w:id="339"/>
    </w:p>
    <w:p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88"/>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9F5549"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r>
        <w:t>where</w:t>
      </w:r>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9F5549"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89"/>
      </w:r>
      <w:r>
        <w:t>.</w:t>
      </w:r>
    </w:p>
    <w:p w:rsidR="005B409B" w:rsidRDefault="005B409B" w:rsidP="005B409B">
      <w:pPr>
        <w:pStyle w:val="Definitions"/>
      </w:pPr>
      <w:r>
        <w:rPr>
          <w:i/>
        </w:rPr>
        <w:t>totshares</w:t>
      </w:r>
      <w:r>
        <w:tab/>
        <w:t>=</w:t>
      </w:r>
      <w:r>
        <w:tab/>
        <w:t>Total number of shares given an expenditure class.</w:t>
      </w:r>
    </w:p>
    <w:p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F967A7" w:rsidP="004231AA">
      <w:r>
        <w:t xml:space="preserve">As Athena advances simulated time, actors will expend money as their strategies are executed (Section </w:t>
      </w:r>
      <w:r w:rsidR="009F5549">
        <w:fldChar w:fldCharType="begin"/>
      </w:r>
      <w:r>
        <w:instrText xml:space="preserve"> REF _Ref341685118 \r \h </w:instrText>
      </w:r>
      <w:r w:rsidR="009F5549">
        <w:fldChar w:fldCharType="separate"/>
      </w:r>
      <w:r>
        <w:t>3</w:t>
      </w:r>
      <w:r w:rsidR="009F5549">
        <w:fldChar w:fldCharType="end"/>
      </w:r>
      <w:r>
        <w:t>) and expenditures in the actors sector are computed again and again using the same equations.</w:t>
      </w:r>
    </w:p>
    <w:p w:rsidR="00C449C5" w:rsidRDefault="00C449C5" w:rsidP="00C449C5">
      <w:pPr>
        <w:pStyle w:val="Heading4"/>
      </w:pPr>
      <w:bookmarkStart w:id="340" w:name="_Ref340133761"/>
      <w:bookmarkStart w:id="341" w:name="_Toc364076575"/>
      <w:r>
        <w:t>Computing Actor’s Income</w:t>
      </w:r>
      <w:bookmarkEnd w:id="340"/>
      <w:bookmarkEnd w:id="341"/>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9F5549"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rsidR="00021725" w:rsidRDefault="00021725" w:rsidP="004C3FC0">
      <w:pPr>
        <w:ind w:left="630"/>
      </w:pPr>
    </w:p>
    <w:p w:rsidR="00021725" w:rsidRDefault="009F5549"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rsidR="00066061" w:rsidRDefault="00066061" w:rsidP="00C449C5"/>
    <w:p w:rsidR="00021725" w:rsidRDefault="00021725" w:rsidP="00C449C5">
      <w:r>
        <w:t>where</w:t>
      </w:r>
    </w:p>
    <w:p w:rsidR="00021725" w:rsidRDefault="00021725" w:rsidP="00C449C5"/>
    <w:p w:rsidR="00021725" w:rsidRDefault="009F5549"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9F5549"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rsidR="00021725" w:rsidRDefault="00021725" w:rsidP="00021725">
      <w:pPr>
        <w:pStyle w:val="Definitions"/>
      </w:pPr>
      <w:r w:rsidRPr="00021725">
        <w:rPr>
          <w:i/>
        </w:rPr>
        <w:t>BaseConsumers</w:t>
      </w:r>
      <w:r>
        <w:tab/>
        <w:t>=</w:t>
      </w:r>
      <w:r>
        <w:tab/>
      </w:r>
      <w:r w:rsidR="004C3FC0">
        <w:t>The base number of consumers from SAM inputs</w:t>
      </w:r>
      <w:r>
        <w:t>.</w:t>
      </w:r>
    </w:p>
    <w:p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rsidR="00021725" w:rsidRDefault="009F5549"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9F5549"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rsidR="00C8216B" w:rsidRDefault="00C8216B" w:rsidP="00C8216B">
      <w:pPr>
        <w:ind w:left="630"/>
      </w:pPr>
    </w:p>
    <w:p w:rsidR="00C8216B" w:rsidRDefault="009F5549"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9F5549"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9F5549"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r>
        <w:t>where</w:t>
      </w:r>
    </w:p>
    <w:p w:rsidR="00366541" w:rsidRDefault="00366541" w:rsidP="00C449C5"/>
    <w:p w:rsidR="00366541" w:rsidRDefault="009F5549"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rsidR="00234896" w:rsidRDefault="00234896" w:rsidP="00234896">
      <w:pPr>
        <w:pStyle w:val="Definitions"/>
      </w:pPr>
      <w:r>
        <w:rPr>
          <w:i/>
        </w:rPr>
        <w:t>I</w:t>
      </w:r>
      <w:r>
        <w:rPr>
          <w:i/>
          <w:vertAlign w:val="subscript"/>
        </w:rPr>
        <w:t>αgraft</w:t>
      </w:r>
      <w:r>
        <w:tab/>
        <w:t>=</w:t>
      </w:r>
      <w:r>
        <w:tab/>
        <w:t>Weekly income of actor α from graft.</w:t>
      </w:r>
    </w:p>
    <w:p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rsidR="00366541" w:rsidRDefault="009F5549"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9F5549"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rsidR="00234896" w:rsidRDefault="009F5549"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9F5549"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rsidR="00496FB2" w:rsidRDefault="00496FB2" w:rsidP="00496FB2"/>
    <w:p w:rsidR="00496FB2" w:rsidRDefault="009F5549"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9F5549"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r>
        <w:t>where</w:t>
      </w:r>
    </w:p>
    <w:p w:rsidR="00D97E16" w:rsidRDefault="00D97E16" w:rsidP="00D97E16"/>
    <w:p w:rsidR="00462029" w:rsidRDefault="009F5549"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rsidR="00462029" w:rsidRDefault="009F5549"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rsidR="00D97E16" w:rsidRDefault="00D97E16" w:rsidP="00D97E16">
      <w:pPr>
        <w:pStyle w:val="Definitions"/>
      </w:pPr>
      <w:r>
        <w:rPr>
          <w:i/>
        </w:rPr>
        <w:t>I</w:t>
      </w:r>
      <w:r>
        <w:rPr>
          <w:i/>
          <w:vertAlign w:val="subscript"/>
        </w:rPr>
        <w:t>αgraft</w:t>
      </w:r>
      <w:r>
        <w:tab/>
        <w:t>=</w:t>
      </w:r>
      <w:r>
        <w:tab/>
        <w:t>Weekly income of actor α from graft.</w:t>
      </w:r>
    </w:p>
    <w:p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42" w:name="_Toc310421871"/>
      <w:bookmarkStart w:id="343" w:name="_Toc364076576"/>
      <w:r>
        <w:t>Text Notation</w:t>
      </w:r>
      <w:bookmarkEnd w:id="342"/>
      <w:bookmarkEnd w:id="343"/>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9F554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rsidR="004F6A40" w:rsidRDefault="009F554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rsidR="004F6A40" w:rsidRDefault="009F554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rsidR="004F6A40" w:rsidRDefault="009F554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rsidR="004F6A40" w:rsidRDefault="009F554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rsidR="004F6A40" w:rsidRDefault="004F6A40" w:rsidP="004F6A40">
      <w:pPr>
        <w:pStyle w:val="Definitions"/>
      </w:pPr>
    </w:p>
    <w:p w:rsidR="004F6A40" w:rsidRDefault="004F6A40" w:rsidP="001342B4">
      <w:r>
        <w:t>When we are referring to a particular sector or sectors, the sector names are spelled out in full in the plain text form:</w:t>
      </w:r>
    </w:p>
    <w:p w:rsidR="001342B4" w:rsidRDefault="001342B4" w:rsidP="001342B4"/>
    <w:p w:rsidR="004F6A40" w:rsidRDefault="009F5549"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rsidR="00E94451" w:rsidRDefault="00E94451" w:rsidP="004F6A40">
      <w:pPr>
        <w:pStyle w:val="Definitions"/>
      </w:pPr>
    </w:p>
    <w:p w:rsidR="004F6A40" w:rsidRDefault="004F6A40" w:rsidP="004F6A40">
      <w:pPr>
        <w:pStyle w:val="Heading3"/>
      </w:pPr>
      <w:bookmarkStart w:id="344" w:name="_Toc310421872"/>
      <w:bookmarkStart w:id="345" w:name="_Toc364076577"/>
      <w:r>
        <w:t>Shape vs. Size</w:t>
      </w:r>
      <w:bookmarkEnd w:id="344"/>
      <w:bookmarkEnd w:id="345"/>
    </w:p>
    <w:p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9F5549">
        <w:fldChar w:fldCharType="begin"/>
      </w:r>
      <w:r w:rsidR="00A201E5">
        <w:instrText xml:space="preserve"> REF _Ref341686785 \r \h </w:instrText>
      </w:r>
      <w:r w:rsidR="009F5549">
        <w:fldChar w:fldCharType="separate"/>
      </w:r>
      <w:r w:rsidR="00D217C6">
        <w:t>11.2</w:t>
      </w:r>
      <w:r w:rsidR="009F5549">
        <w:fldChar w:fldCharType="end"/>
      </w:r>
      <w:r>
        <w:t>.</w:t>
      </w:r>
    </w:p>
    <w:p w:rsidR="004F6A40" w:rsidRDefault="004F6A40" w:rsidP="004F6A40">
      <w:pPr>
        <w:pStyle w:val="Heading3"/>
      </w:pPr>
      <w:bookmarkStart w:id="346" w:name="_Toc310421873"/>
      <w:bookmarkStart w:id="347" w:name="_Toc364076578"/>
      <w:r>
        <w:t>Production Functions</w:t>
      </w:r>
      <w:bookmarkEnd w:id="346"/>
      <w:bookmarkEnd w:id="347"/>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90"/>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48" w:name="__RefHeading__1421_2040446466"/>
      <w:bookmarkStart w:id="349" w:name="_Toc310421874"/>
      <w:bookmarkStart w:id="350" w:name="_Toc364076579"/>
      <w:r>
        <w:t>Calibrating the CGE</w:t>
      </w:r>
      <w:bookmarkEnd w:id="348"/>
      <w:bookmarkEnd w:id="349"/>
      <w:bookmarkEnd w:id="350"/>
    </w:p>
    <w:p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the number of jobs and goods needed to completely fill all demand, there are no shortages. The capacity constrained economy takes into account that not everyone is working and that there is not a completely unconstrained capacity to manufacture goods. The capacity constrained with security factors takes into account consumer security and labor security factors, these further reduce the size of the economy because some people are either too afraid to go out and shop or go to work.  Athena takes the base GDP and base unemployment rate inputs and calibrates the CGE to the capacity constrained case arriving at a wage that will size the </w:t>
      </w:r>
      <w:r w:rsidR="00424E9D">
        <w:lastRenderedPageBreak/>
        <w:t xml:space="preserve">economy to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rsidR="00424E9D" w:rsidRDefault="00424E9D" w:rsidP="001342B4"/>
    <w:p w:rsidR="00AE32B6" w:rsidRPr="00AE32B6" w:rsidRDefault="00424E9D" w:rsidP="00EA4D0B">
      <w:pPr>
        <w:pStyle w:val="ListParagraph"/>
        <w:numPr>
          <w:ilvl w:val="0"/>
          <w:numId w:val="49"/>
        </w:numPr>
      </w:pPr>
      <w:r>
        <w:rPr>
          <w:rFonts w:ascii="Courier New" w:hAnsi="Courier New" w:cs="Courier New"/>
        </w:rPr>
        <w:t>T</w:t>
      </w:r>
      <w:r w:rsidR="00AE32B6">
        <w:rPr>
          <w:rFonts w:ascii="Courier New" w:hAnsi="Courier New" w:cs="Courier New"/>
        </w:rPr>
        <w:t>X.i.j</w:t>
      </w:r>
      <w:r w:rsidR="00AE32B6">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r w:rsidRPr="001342B4">
        <w:rPr>
          <w:rFonts w:ascii="Courier New" w:hAnsi="Courier New" w:cs="Courier New"/>
        </w:rPr>
        <w:t>f.i.j</w:t>
      </w:r>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r>
        <w:rPr>
          <w:rFonts w:ascii="Courier New" w:hAnsi="Courier New" w:cs="Courier New"/>
        </w:rPr>
        <w:t>A.i.j</w:t>
      </w:r>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r>
        <w:rPr>
          <w:rFonts w:ascii="Courier New" w:hAnsi="Courier New" w:cs="Courier New"/>
        </w:rPr>
        <w:t>PF.world.black</w:t>
      </w:r>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AF.world.black</w:t>
      </w:r>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MF.world.black</w:t>
      </w:r>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rsidR="00F967A7" w:rsidRDefault="00F967A7" w:rsidP="00F967A7"/>
    <w:p w:rsidR="00F967A7" w:rsidRDefault="00F967A7" w:rsidP="00F967A7">
      <w:pPr>
        <w:pStyle w:val="ListParagraph"/>
        <w:numPr>
          <w:ilvl w:val="0"/>
          <w:numId w:val="49"/>
        </w:numPr>
      </w:pPr>
      <w:r>
        <w:rPr>
          <w:rFonts w:ascii="Courier New" w:hAnsi="Courier New" w:cs="Courier New"/>
        </w:rPr>
        <w:t>BaseUR</w:t>
      </w:r>
      <w:r w:rsidRPr="00CC4B3D">
        <w:t xml:space="preserve">, </w:t>
      </w:r>
      <w:r>
        <w:t>the unemployment rate at time 0.</w:t>
      </w:r>
    </w:p>
    <w:p w:rsidR="00F967A7" w:rsidRDefault="00F967A7" w:rsidP="00F967A7">
      <w:pPr>
        <w:pStyle w:val="ListParagraph"/>
      </w:pPr>
    </w:p>
    <w:p w:rsidR="00F967A7" w:rsidRDefault="00F967A7" w:rsidP="00F967A7">
      <w:pPr>
        <w:pStyle w:val="ListParagraph"/>
        <w:numPr>
          <w:ilvl w:val="0"/>
          <w:numId w:val="49"/>
        </w:numPr>
      </w:pPr>
      <w:r>
        <w:rPr>
          <w:rFonts w:ascii="Courier New" w:hAnsi="Courier New" w:cs="Courier New"/>
        </w:rPr>
        <w:t>BaseGDP</w:t>
      </w:r>
      <w:r>
        <w:rPr>
          <w:rFonts w:cs="Courier New"/>
        </w:rPr>
        <w:t>, the GDP based upon base flows of money in all sectors.</w:t>
      </w:r>
    </w:p>
    <w:p w:rsidR="00AE32B6" w:rsidRDefault="00AE32B6" w:rsidP="00AE32B6">
      <w:pPr>
        <w:pStyle w:val="ListParagraph"/>
      </w:pPr>
    </w:p>
    <w:p w:rsidR="00AE32B6" w:rsidRDefault="00AE32B6" w:rsidP="00AE32B6">
      <w:pPr>
        <w:pStyle w:val="ListParagraph"/>
        <w:numPr>
          <w:ilvl w:val="0"/>
          <w:numId w:val="49"/>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In theory we should also</w:t>
      </w:r>
      <w:r w:rsidR="00424E9D">
        <w:t xml:space="preserve"> be able to</w:t>
      </w:r>
      <w:r>
        <w:t xml:space="preserve"> set the base prices for the </w:t>
      </w:r>
      <w:r>
        <w:rPr>
          <w:b/>
          <w:bCs/>
        </w:rPr>
        <w:t>goods</w:t>
      </w:r>
      <w:r>
        <w:t xml:space="preserve"> and </w:t>
      </w:r>
      <w:r w:rsidR="0025180D">
        <w:rPr>
          <w:b/>
          <w:bCs/>
        </w:rPr>
        <w:t>pop</w:t>
      </w:r>
      <w:r w:rsidR="0025180D">
        <w:t xml:space="preserve"> sectors; but with the goods basket being the only product</w:t>
      </w:r>
      <w:r w:rsidR="00424E9D">
        <w:t xml:space="preserve"> it’s best to leave it at $1</w:t>
      </w:r>
      <w:r w:rsidR="0025180D">
        <w:t xml:space="preserve">, and </w:t>
      </w:r>
      <w:r w:rsidR="00424E9D">
        <w:t xml:space="preserve">then </w:t>
      </w:r>
      <w:r w:rsidR="0025180D">
        <w:t xml:space="preserve">the wage </w:t>
      </w:r>
      <w:r w:rsidR="00424E9D">
        <w:t xml:space="preserve">is </w:t>
      </w:r>
      <w:r w:rsidR="0025180D">
        <w:t>adjust</w:t>
      </w:r>
      <w:r w:rsidR="00424E9D">
        <w:t xml:space="preserve">ed up or down to calibrate for the given </w:t>
      </w:r>
      <w:r w:rsidR="0025180D">
        <w:t>unemployment rate</w:t>
      </w:r>
      <w:r w:rsidR="00424E9D">
        <w:t xml:space="preserve"> and GDP</w:t>
      </w:r>
      <w:r w:rsidR="0025180D">
        <w:t>.</w:t>
      </w:r>
      <w:r w:rsidR="00424E9D">
        <w:t xml:space="preserve"> If the money flows and unemployment rate in the base SAM are truly representative of the economy being modeled, then the computed wage should be reasonably close to the actual wage.</w:t>
      </w:r>
    </w:p>
    <w:p w:rsidR="0090325C" w:rsidRDefault="0090325C" w:rsidP="001342B4"/>
    <w:p w:rsidR="004F6A40" w:rsidRDefault="004F6A40" w:rsidP="004F6A40">
      <w:pPr>
        <w:pStyle w:val="Heading4"/>
      </w:pPr>
      <w:bookmarkStart w:id="351" w:name="_Toc310421877"/>
      <w:bookmarkStart w:id="352" w:name="_Toc364076580"/>
      <w:r>
        <w:t>Set the Base Consumption</w:t>
      </w:r>
      <w:bookmarkEnd w:id="351"/>
      <w:bookmarkEnd w:id="352"/>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r w:rsidR="007E6EA8">
        <w:rPr>
          <w:rFonts w:ascii="Courier New" w:hAnsi="Courier New" w:cs="Courier New"/>
        </w:rPr>
        <w:t>T</w:t>
      </w:r>
      <w:r>
        <w:rPr>
          <w:rFonts w:ascii="Courier New" w:hAnsi="Courier New" w:cs="Courier New"/>
        </w:rPr>
        <w:t>X.goods.pop, BREM</w:t>
      </w:r>
      <w:r>
        <w:rPr>
          <w:rFonts w:cs="Courier New"/>
        </w:rPr>
        <w:t xml:space="preserve"> and </w:t>
      </w:r>
      <w:r>
        <w:rPr>
          <w:rFonts w:ascii="Courier New" w:hAnsi="Courier New" w:cs="Courier New"/>
        </w:rPr>
        <w:t>BaseConsumers</w:t>
      </w:r>
      <w:r>
        <w:rPr>
          <w:rFonts w:cs="Courier New"/>
        </w:rPr>
        <w:t xml:space="preserve">. Adjusting any of these inputs in the SAM will cause that demand to go up or down.  The actual demand, however, is determined when the scenario is locked which causes </w:t>
      </w:r>
      <w:r>
        <w:rPr>
          <w:rFonts w:cs="Courier New"/>
        </w:rPr>
        <w:lastRenderedPageBreak/>
        <w:t>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53" w:name="_Toc310421878"/>
      <w:bookmarkStart w:id="354" w:name="_Toc364076581"/>
      <w:r>
        <w:t>Scenario Inputs</w:t>
      </w:r>
      <w:bookmarkEnd w:id="353"/>
      <w:bookmarkEnd w:id="354"/>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Default="00980E0B" w:rsidP="00832ED4">
            <w:pPr>
              <w:pStyle w:val="TableContents"/>
              <w:rPr>
                <w:rFonts w:ascii="Courier New" w:hAnsi="Courier New" w:cs="Courier New"/>
              </w:rPr>
            </w:pPr>
            <w:r>
              <w:rPr>
                <w:rFonts w:ascii="Courier New" w:hAnsi="Courier New" w:cs="Courier New"/>
              </w:rPr>
              <w:t>Bgraft</w:t>
            </w:r>
          </w:p>
          <w:p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rsidTr="00832ED4">
        <w:tc>
          <w:tcPr>
            <w:tcW w:w="2215" w:type="dxa"/>
            <w:tcBorders>
              <w:left w:val="single" w:sz="2" w:space="0" w:color="000000"/>
              <w:bottom w:val="single" w:sz="2" w:space="0" w:color="000000"/>
            </w:tcBorders>
            <w:tcMar>
              <w:top w:w="55" w:type="dxa"/>
              <w:left w:w="55" w:type="dxa"/>
              <w:bottom w:w="55" w:type="dxa"/>
              <w:right w:w="55" w:type="dxa"/>
            </w:tcMar>
          </w:tcPr>
          <w:p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7E6EA8" w:rsidRDefault="007E6EA8" w:rsidP="00980E0B">
            <w:pPr>
              <w:pStyle w:val="TableContents"/>
              <w:rPr>
                <w:rFonts w:asciiTheme="minorHAnsi" w:hAnsiTheme="minorHAnsi"/>
              </w:rPr>
            </w:pPr>
            <w:r>
              <w:rPr>
                <w:rFonts w:asciiTheme="minorHAnsi" w:hAnsiTheme="minorHAnsi"/>
              </w:rPr>
              <w:t>Base unemployment rate.</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55" w:name="__RefHeading__1469_2040446466"/>
      <w:bookmarkStart w:id="356" w:name="_Toc310421879"/>
      <w:bookmarkStart w:id="357" w:name="_Toc364076582"/>
      <w:r>
        <w:lastRenderedPageBreak/>
        <w:t>Run-time Inputs</w:t>
      </w:r>
      <w:bookmarkEnd w:id="355"/>
      <w:bookmarkEnd w:id="356"/>
      <w:bookmarkEnd w:id="357"/>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In::X.world.actors,</w:t>
            </w:r>
          </w:p>
          <w:p w:rsidR="00211BCC" w:rsidRDefault="00211BCC" w:rsidP="00832ED4">
            <w:pPr>
              <w:pStyle w:val="TableContents"/>
              <w:rPr>
                <w:rFonts w:ascii="Courier New" w:hAnsi="Courier New" w:cs="Courier New"/>
              </w:rPr>
            </w:pPr>
            <w:r>
              <w:rPr>
                <w:rFonts w:ascii="Courier New" w:hAnsi="Courier New" w:cs="Courier New"/>
              </w:rPr>
              <w:t>In::X.region.actors,</w:t>
            </w:r>
          </w:p>
          <w:p w:rsidR="00211BCC" w:rsidRDefault="00211BCC" w:rsidP="00832ED4">
            <w:pPr>
              <w:pStyle w:val="TableContents"/>
              <w:rPr>
                <w:rFonts w:ascii="Courier New" w:hAnsi="Courier New" w:cs="Courier New"/>
              </w:rPr>
            </w:pPr>
            <w:r>
              <w:rPr>
                <w:rFonts w:ascii="Courier New" w:hAnsi="Courier New" w:cs="Courier New"/>
              </w:rPr>
              <w:t>In::X.goods.actors,</w:t>
            </w:r>
          </w:p>
          <w:p w:rsidR="00211BCC" w:rsidRDefault="00211BCC" w:rsidP="00832ED4">
            <w:pPr>
              <w:pStyle w:val="TableContents"/>
              <w:rPr>
                <w:rFonts w:ascii="Courier New" w:hAnsi="Courier New" w:cs="Courier New"/>
              </w:rPr>
            </w:pPr>
            <w:r>
              <w:rPr>
                <w:rFonts w:ascii="Courier New" w:hAnsi="Courier New" w:cs="Courier New"/>
              </w:rPr>
              <w:t>In::X.black.actors,</w:t>
            </w:r>
          </w:p>
          <w:p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58" w:name="_Toc310421880"/>
      <w:bookmarkStart w:id="359" w:name="_Toc364076583"/>
      <w:r>
        <w:lastRenderedPageBreak/>
        <w:t>Outputs</w:t>
      </w:r>
      <w:bookmarkEnd w:id="358"/>
      <w:bookmarkEnd w:id="359"/>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r>
              <w:rPr>
                <w:rFonts w:asciiTheme="minorHAnsi" w:hAnsiTheme="minorHAnsi"/>
                <w:i/>
              </w:rPr>
              <w:t>i.</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60" w:name="_Toc310421881"/>
      <w:bookmarkStart w:id="361" w:name="_Toc364076584"/>
      <w:r>
        <w:t>Ways to Affect the Economy</w:t>
      </w:r>
      <w:bookmarkEnd w:id="360"/>
      <w:bookmarkEnd w:id="361"/>
    </w:p>
    <w:p w:rsidR="004F6A40" w:rsidRDefault="004F6A40" w:rsidP="001F5946">
      <w:r>
        <w:t>The Economy is affected at each economic tock by the inputs listed in Section</w:t>
      </w:r>
      <w:r w:rsidR="00211BCC">
        <w:t xml:space="preserve"> </w:t>
      </w:r>
      <w:r w:rsidR="009F5549">
        <w:fldChar w:fldCharType="begin"/>
      </w:r>
      <w:r w:rsidR="00211BCC">
        <w:instrText xml:space="preserve"> REF __RefHeading__1469_2040446466 \r \h </w:instrText>
      </w:r>
      <w:r w:rsidR="009F5549">
        <w:fldChar w:fldCharType="separate"/>
      </w:r>
      <w:r w:rsidR="00D217C6">
        <w:t>11.9</w:t>
      </w:r>
      <w:r w:rsidR="009F5549">
        <w:fldChar w:fldCharType="end"/>
      </w:r>
      <w:r>
        <w:t>.  Consequently, the following things taking place in Athena as a whole will affect the economy:</w:t>
      </w:r>
    </w:p>
    <w:p w:rsidR="001F5946" w:rsidRDefault="001F5946" w:rsidP="001F5946"/>
    <w:p w:rsidR="007E6EA8" w:rsidRDefault="004F6A40" w:rsidP="007E6EA8">
      <w:pPr>
        <w:pStyle w:val="ListParagraph"/>
        <w:numPr>
          <w:ilvl w:val="0"/>
          <w:numId w:val="50"/>
        </w:numPr>
      </w:pPr>
      <w:r>
        <w:t>Civilian casualties can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Population growth or reduction can increase or decrease the number of consumers and workers.</w:t>
      </w:r>
    </w:p>
    <w:p w:rsidR="007E6EA8" w:rsidRDefault="007E6EA8" w:rsidP="007E6EA8">
      <w:pPr>
        <w:pStyle w:val="ListParagraph"/>
      </w:pPr>
    </w:p>
    <w:p w:rsidR="007E6EA8" w:rsidRDefault="007E6EA8" w:rsidP="007E6EA8">
      <w:pPr>
        <w:pStyle w:val="ListParagraph"/>
        <w:numPr>
          <w:ilvl w:val="0"/>
          <w:numId w:val="50"/>
        </w:numPr>
      </w:pPr>
      <w:r>
        <w:t>Remittance growth or reduction over time causes the amount of money the population spends to increase or decrease changing the size of the economy.</w:t>
      </w:r>
    </w:p>
    <w:p w:rsidR="001F5946" w:rsidRDefault="001F5946" w:rsidP="001F5946"/>
    <w:p w:rsidR="004F6A40" w:rsidRDefault="004F6A40" w:rsidP="00EA4D0B">
      <w:pPr>
        <w:pStyle w:val="ListParagraph"/>
        <w:numPr>
          <w:ilvl w:val="0"/>
          <w:numId w:val="50"/>
        </w:numPr>
      </w:pPr>
      <w:r>
        <w:t xml:space="preserve">Subsistence population, when displaced from their land, willy-nilly become consumers; they might not be able to contribute to the work force, depending on </w:t>
      </w:r>
      <w:r w:rsidR="0016444E">
        <w:t>the manner of their displacement.</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62" w:name="_Toc310421882"/>
      <w:bookmarkStart w:id="363" w:name="_Toc364076585"/>
      <w:r>
        <w:t>Ways the Economy Affects Athena</w:t>
      </w:r>
      <w:bookmarkEnd w:id="362"/>
      <w:bookmarkEnd w:id="363"/>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9F5549">
        <w:fldChar w:fldCharType="begin"/>
      </w:r>
      <w:r w:rsidR="004F6A40">
        <w:instrText xml:space="preserve"> REF __RefHeading__11631_1190374725 \r \h </w:instrText>
      </w:r>
      <w:r w:rsidR="009F5549">
        <w:fldChar w:fldCharType="separate"/>
      </w:r>
      <w:r w:rsidR="00D217C6">
        <w:t>10</w:t>
      </w:r>
      <w:r w:rsidR="009F5549">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64" w:name="_Toc364076586"/>
      <w:r>
        <w:lastRenderedPageBreak/>
        <w:t>Communications Infrastructure</w:t>
      </w:r>
      <w:bookmarkEnd w:id="364"/>
    </w:p>
    <w:p w:rsidR="00415184" w:rsidRDefault="00415184" w:rsidP="00415184">
      <w:r>
        <w:t xml:space="preserve">Athena contains a simple model of broadcast communications infrastructure, as an adjunct to the information operations model (Section </w:t>
      </w:r>
      <w:r w:rsidR="009F5549">
        <w:fldChar w:fldCharType="begin"/>
      </w:r>
      <w:r>
        <w:instrText xml:space="preserve"> REF _Ref339608710 \r \h </w:instrText>
      </w:r>
      <w:r w:rsidR="009F5549">
        <w:fldChar w:fldCharType="separate"/>
      </w:r>
      <w:r w:rsidR="00D217C6">
        <w:t>13</w:t>
      </w:r>
      <w:r w:rsidR="009F554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65" w:name="_Toc364076587"/>
      <w:r>
        <w:t>Communications Asset Packages</w:t>
      </w:r>
      <w:bookmarkEnd w:id="365"/>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66" w:name="_Toc364076588"/>
      <w:r>
        <w:t>CAP Capacity</w:t>
      </w:r>
      <w:bookmarkEnd w:id="366"/>
    </w:p>
    <w:p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9F5549"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9F5549"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91"/>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67" w:name="_Toc364076589"/>
      <w:r>
        <w:t>CAP Neighborhood Coverage</w:t>
      </w:r>
      <w:bookmarkEnd w:id="367"/>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m:t>
            </m:r>
            <m:r>
              <w:rPr>
                <w:rFonts w:ascii="Cambria Math" w:hAnsi="Cambria Math"/>
              </w:rPr>
              <m:t>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9F5549"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rsidR="00A03411" w:rsidRDefault="00A03411" w:rsidP="00A03411">
      <w:pPr>
        <w:pStyle w:val="Heading3"/>
      </w:pPr>
      <w:bookmarkStart w:id="368" w:name="_Toc364076590"/>
      <w:r>
        <w:t>CAP Group Penetration</w:t>
      </w:r>
      <w:bookmarkEnd w:id="368"/>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9F5549"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rsidR="00A03411" w:rsidRDefault="00A03411" w:rsidP="00A03411">
      <w:pPr>
        <w:pStyle w:val="Heading3"/>
      </w:pPr>
      <w:bookmarkStart w:id="369" w:name="_Ref339611268"/>
      <w:bookmarkStart w:id="370" w:name="_Toc364076591"/>
      <w:r>
        <w:t>CAP Audience</w:t>
      </w:r>
      <w:bookmarkEnd w:id="369"/>
      <w:bookmarkEnd w:id="370"/>
    </w:p>
    <w:p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rsidR="00A03411" w:rsidRDefault="00A03411" w:rsidP="00A03411"/>
    <w:p w:rsidR="00A03411" w:rsidRPr="00303ABF" w:rsidRDefault="009F5549"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71" w:name="_Toc364076592"/>
      <w:r>
        <w:t>Broadcast Cost</w:t>
      </w:r>
      <w:bookmarkEnd w:id="371"/>
    </w:p>
    <w:p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92"/>
      </w:r>
    </w:p>
    <w:p w:rsidR="00A03411" w:rsidRPr="00A03411" w:rsidRDefault="00A03411" w:rsidP="00A03411"/>
    <w:p w:rsidR="00A03411" w:rsidRDefault="005068B6" w:rsidP="005068B6">
      <w:pPr>
        <w:pStyle w:val="Heading3"/>
      </w:pPr>
      <w:bookmarkStart w:id="372" w:name="_Toc364076593"/>
      <w:r>
        <w:lastRenderedPageBreak/>
        <w:t>CAP Ownership and Access Control</w:t>
      </w:r>
      <w:bookmarkEnd w:id="372"/>
    </w:p>
    <w:p w:rsidR="005068B6" w:rsidRDefault="005068B6" w:rsidP="005068B6">
      <w:r>
        <w:t xml:space="preserve">Each CAP is owned by some actor in the scenario, and of course the owning actor may use his CAPs to broadcast his information operations campaigns (Section </w:t>
      </w:r>
      <w:r w:rsidR="009F5549">
        <w:fldChar w:fldCharType="begin"/>
      </w:r>
      <w:r>
        <w:instrText xml:space="preserve"> REF _Ref339608710 \r \h </w:instrText>
      </w:r>
      <w:r w:rsidR="009F5549">
        <w:fldChar w:fldCharType="separate"/>
      </w:r>
      <w:r w:rsidR="00D217C6">
        <w:t>13</w:t>
      </w:r>
      <w:r w:rsidR="009F5549">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93"/>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73" w:name="_Ref339608710"/>
      <w:bookmarkStart w:id="374" w:name="_Toc364076594"/>
      <w:r>
        <w:lastRenderedPageBreak/>
        <w:t>Information Operations</w:t>
      </w:r>
      <w:bookmarkEnd w:id="373"/>
      <w:bookmarkEnd w:id="374"/>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9F5549">
        <w:fldChar w:fldCharType="begin"/>
      </w:r>
      <w:r>
        <w:instrText xml:space="preserve"> REF _Ref339611268 \r \h </w:instrText>
      </w:r>
      <w:r w:rsidR="009F5549">
        <w:fldChar w:fldCharType="separate"/>
      </w:r>
      <w:r w:rsidR="00D217C6">
        <w:t>12.5</w:t>
      </w:r>
      <w:r w:rsidR="009F5549">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75" w:name="_Toc364076595"/>
      <w:r>
        <w:t>Semantic Hooks</w:t>
      </w:r>
      <w:r w:rsidR="005B747B">
        <w:t xml:space="preserve">, </w:t>
      </w:r>
      <w:r>
        <w:t>Congruence</w:t>
      </w:r>
      <w:r w:rsidR="005B747B">
        <w:t>, and Resonance</w:t>
      </w:r>
      <w:bookmarkEnd w:id="375"/>
    </w:p>
    <w:p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94"/>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9F5549">
        <w:fldChar w:fldCharType="begin"/>
      </w:r>
      <w:r>
        <w:instrText xml:space="preserve"> REF _Ref339611827 \r \h </w:instrText>
      </w:r>
      <w:r w:rsidR="009F5549">
        <w:fldChar w:fldCharType="separate"/>
      </w:r>
      <w:r w:rsidR="00D217C6">
        <w:t>4.1</w:t>
      </w:r>
      <w:r w:rsidR="009F554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9F5549">
        <w:fldChar w:fldCharType="begin"/>
      </w:r>
      <w:r w:rsidR="00D45F22">
        <w:instrText xml:space="preserve"> REF _Ref339612168 \r \h </w:instrText>
      </w:r>
      <w:r w:rsidR="009F5549">
        <w:fldChar w:fldCharType="separate"/>
      </w:r>
      <w:r w:rsidR="00D217C6">
        <w:t>13.3</w:t>
      </w:r>
      <w:r w:rsidR="009F5549">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9F5549">
        <w:fldChar w:fldCharType="begin"/>
      </w:r>
      <w:r>
        <w:instrText xml:space="preserve"> REF _Ref339614530 \r \h </w:instrText>
      </w:r>
      <w:r w:rsidR="009F5549">
        <w:fldChar w:fldCharType="separate"/>
      </w:r>
      <w:r w:rsidR="00D217C6">
        <w:t>13.3.2</w:t>
      </w:r>
      <w:r w:rsidR="009F5549">
        <w:fldChar w:fldCharType="end"/>
      </w:r>
      <w:r>
        <w:t>.</w:t>
      </w:r>
    </w:p>
    <w:p w:rsidR="007F4B46" w:rsidRDefault="007F4B46" w:rsidP="007F4B46">
      <w:pPr>
        <w:pStyle w:val="Heading3"/>
      </w:pPr>
      <w:bookmarkStart w:id="376" w:name="_Toc364076596"/>
      <w:r>
        <w:t>Payloads</w:t>
      </w:r>
      <w:bookmarkEnd w:id="376"/>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rsidR="007F4B46" w:rsidRDefault="007F4B46" w:rsidP="007F4B46"/>
    <w:p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9F5549">
        <w:fldChar w:fldCharType="begin"/>
      </w:r>
      <w:r>
        <w:instrText xml:space="preserve"> REF _Ref339608710 \r \h </w:instrText>
      </w:r>
      <w:r w:rsidR="009F5549">
        <w:fldChar w:fldCharType="separate"/>
      </w:r>
      <w:r w:rsidR="00D217C6">
        <w:t>13</w:t>
      </w:r>
      <w:r w:rsidR="009F554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9F5549">
        <w:fldChar w:fldCharType="begin"/>
      </w:r>
      <w:r w:rsidR="00D45F22">
        <w:instrText xml:space="preserve"> REF _Ref339612168 \r \h </w:instrText>
      </w:r>
      <w:r w:rsidR="009F5549">
        <w:fldChar w:fldCharType="separate"/>
      </w:r>
      <w:r w:rsidR="00D217C6">
        <w:t>13.3</w:t>
      </w:r>
      <w:r w:rsidR="009F5549">
        <w:fldChar w:fldCharType="end"/>
      </w:r>
      <w:r w:rsidR="0042329A">
        <w:t>,</w:t>
      </w:r>
      <w:r>
        <w:t xml:space="preserve"> before it is given to URAM.</w:t>
      </w:r>
    </w:p>
    <w:p w:rsidR="00D45F22" w:rsidRPr="00D65825" w:rsidRDefault="00D45F22" w:rsidP="00D45F22">
      <w:pPr>
        <w:pStyle w:val="Heading3"/>
      </w:pPr>
      <w:bookmarkStart w:id="377" w:name="_Ref339612168"/>
      <w:bookmarkStart w:id="378" w:name="_Toc364076597"/>
      <w:r>
        <w:t>Broadcasting an IOM</w:t>
      </w:r>
      <w:bookmarkEnd w:id="377"/>
      <w:bookmarkEnd w:id="378"/>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79" w:name="_Toc364076598"/>
      <w:r>
        <w:lastRenderedPageBreak/>
        <w:t>Access to the Broadcast CAP</w:t>
      </w:r>
      <w:bookmarkEnd w:id="379"/>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80" w:name="_Ref339614530"/>
      <w:bookmarkStart w:id="381" w:name="_Toc364076599"/>
      <w:r>
        <w:t>IOM Acceptability</w:t>
      </w:r>
      <w:bookmarkEnd w:id="380"/>
      <w:bookmarkEnd w:id="381"/>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9F5549"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r>
        <w:t>where</w:t>
      </w:r>
    </w:p>
    <w:p w:rsidR="009A392F" w:rsidRDefault="009A392F" w:rsidP="009A392F"/>
    <w:p w:rsidR="001450F9" w:rsidRPr="001450F9" w:rsidRDefault="001450F9" w:rsidP="009A392F">
      <w:pPr>
        <w:pStyle w:val="Definitions"/>
      </w:pPr>
      <w:r>
        <w:rPr>
          <w:i/>
        </w:rPr>
        <w:t>m</w:t>
      </w:r>
      <w:r>
        <w:rPr>
          <w:i/>
        </w:rPr>
        <w:tab/>
      </w:r>
      <w:r>
        <w:t>=</w:t>
      </w:r>
      <w:r>
        <w:tab/>
        <w:t>The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t>The actor perceived to have sent the IOM</w:t>
      </w:r>
    </w:p>
    <w:p w:rsidR="009A392F" w:rsidRDefault="009F5549"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9F5549"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9F5549"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95"/>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9F5549" w:rsidP="004A7164">
      <w:pPr>
        <w:jc w:val="center"/>
      </w:pPr>
      <w:r w:rsidRPr="009F5549">
        <w:rPr>
          <w:i/>
          <w:noProof/>
        </w:rPr>
      </w:r>
      <w:r w:rsidRPr="009F5549">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4A0845" w:rsidRDefault="004A084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4A0845" w:rsidRDefault="004A084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9F5549"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82" w:name="_Toc364076600"/>
      <w:r>
        <w:t>Payload Magnitudes</w:t>
      </w:r>
      <w:bookmarkEnd w:id="382"/>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9F5549"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96"/>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83" w:name="_Toc364076601"/>
      <w:r>
        <w:t>Summary</w:t>
      </w:r>
      <w:bookmarkEnd w:id="383"/>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r>
        <w:rPr>
          <w:i/>
        </w:rPr>
        <w:t>k</w:t>
      </w:r>
      <w:r>
        <w:t>'s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84" w:name="_Toc364076602"/>
      <w:r>
        <w:t>IOM Example</w:t>
      </w:r>
      <w:bookmarkEnd w:id="384"/>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rsidR="00832977" w:rsidRDefault="00832977" w:rsidP="00832977"/>
    <w:p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rsidR="00832977" w:rsidRDefault="00832977" w:rsidP="00832977"/>
    <w:p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r>
        <w:rPr>
          <w:b/>
        </w:rPr>
        <w:t>Gov’t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Thus, the above payloads will have a strong effect on the rural Elitians, a weak effect on the urban Elitians,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r>
        <w:rPr>
          <w:b/>
        </w:rPr>
        <w:t>Gov’t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(The Peons, naturally, reject the government and its anti-cat message; and expecting nothing better from these evil tyrants, are not affected at all.)</w:t>
      </w:r>
    </w:p>
    <w:p w:rsidR="00832977" w:rsidRPr="001450F9" w:rsidRDefault="00832977" w:rsidP="001450F9">
      <w:pPr>
        <w:rPr>
          <w:i/>
        </w:rPr>
      </w:pPr>
    </w:p>
    <w:p w:rsidR="001F5946" w:rsidRDefault="001F5946" w:rsidP="001F5946">
      <w:pPr>
        <w:pStyle w:val="Heading1"/>
      </w:pPr>
      <w:bookmarkStart w:id="385" w:name="_Toc364076603"/>
      <w:r>
        <w:lastRenderedPageBreak/>
        <w:t>Appendices</w:t>
      </w:r>
      <w:bookmarkEnd w:id="385"/>
    </w:p>
    <w:p w:rsidR="001F5946" w:rsidRDefault="001F5946" w:rsidP="001F5946"/>
    <w:p w:rsidR="001F5946" w:rsidRDefault="001F5946" w:rsidP="001F5946"/>
    <w:p w:rsidR="00AE0A41" w:rsidRDefault="00AE0A41" w:rsidP="000F64E9">
      <w:pPr>
        <w:pStyle w:val="Heading2"/>
        <w:numPr>
          <w:ilvl w:val="1"/>
          <w:numId w:val="64"/>
        </w:numPr>
      </w:pPr>
      <w:bookmarkStart w:id="386" w:name="_Toc310421885"/>
      <w:bookmarkStart w:id="387" w:name="_Toc364076604"/>
      <w:r>
        <w:lastRenderedPageBreak/>
        <w:t>Acronyms</w:t>
      </w:r>
      <w:bookmarkEnd w:id="386"/>
      <w:bookmarkEnd w:id="387"/>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D29" w:rsidRDefault="00231D29">
      <w:r>
        <w:separator/>
      </w:r>
    </w:p>
    <w:p w:rsidR="00231D29" w:rsidRDefault="00231D29"/>
    <w:p w:rsidR="00231D29" w:rsidRDefault="00231D29" w:rsidP="00D7666B"/>
  </w:endnote>
  <w:endnote w:type="continuationSeparator" w:id="0">
    <w:p w:rsidR="00231D29" w:rsidRDefault="00231D29">
      <w:r>
        <w:continuationSeparator/>
      </w:r>
    </w:p>
    <w:p w:rsidR="00231D29" w:rsidRDefault="00231D29"/>
    <w:p w:rsidR="00231D29" w:rsidRDefault="00231D29"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845" w:rsidRDefault="009F5549" w:rsidP="004D07B9">
    <w:pPr>
      <w:pStyle w:val="Header"/>
      <w:tabs>
        <w:tab w:val="clear" w:pos="4320"/>
        <w:tab w:val="clear" w:pos="8640"/>
        <w:tab w:val="center" w:pos="6840"/>
        <w:tab w:val="right" w:pos="13500"/>
      </w:tabs>
      <w:jc w:val="center"/>
    </w:pPr>
    <w:r>
      <w:rPr>
        <w:rStyle w:val="PageNumber"/>
      </w:rPr>
      <w:fldChar w:fldCharType="begin"/>
    </w:r>
    <w:r w:rsidR="004A0845">
      <w:rPr>
        <w:rStyle w:val="PageNumber"/>
      </w:rPr>
      <w:instrText xml:space="preserve"> PAGE </w:instrText>
    </w:r>
    <w:r>
      <w:rPr>
        <w:rStyle w:val="PageNumber"/>
      </w:rPr>
      <w:fldChar w:fldCharType="separate"/>
    </w:r>
    <w:r w:rsidR="00BD4BB5">
      <w:rPr>
        <w:rStyle w:val="PageNumber"/>
        <w:noProof/>
      </w:rPr>
      <w:t>5</w:t>
    </w:r>
    <w:r>
      <w:rPr>
        <w:rStyle w:val="PageNumber"/>
      </w:rPr>
      <w:fldChar w:fldCharType="end"/>
    </w:r>
  </w:p>
  <w:p w:rsidR="004A0845" w:rsidRDefault="004A0845"/>
  <w:p w:rsidR="004A0845" w:rsidRDefault="004A0845"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D29" w:rsidRDefault="00231D29">
      <w:r>
        <w:separator/>
      </w:r>
    </w:p>
    <w:p w:rsidR="00231D29" w:rsidRDefault="00231D29"/>
    <w:p w:rsidR="00231D29" w:rsidRDefault="00231D29" w:rsidP="00D7666B"/>
  </w:footnote>
  <w:footnote w:type="continuationSeparator" w:id="0">
    <w:p w:rsidR="00231D29" w:rsidRDefault="00231D29">
      <w:r>
        <w:continuationSeparator/>
      </w:r>
    </w:p>
    <w:p w:rsidR="00231D29" w:rsidRDefault="00231D29"/>
    <w:p w:rsidR="00231D29" w:rsidRDefault="00231D29" w:rsidP="00D7666B"/>
  </w:footnote>
  <w:footnote w:id="1">
    <w:p w:rsidR="004A0845" w:rsidRDefault="004A0845">
      <w:pPr>
        <w:pStyle w:val="FootnoteText"/>
      </w:pPr>
      <w:r>
        <w:rPr>
          <w:rStyle w:val="FootnoteReference"/>
        </w:rPr>
        <w:footnoteRef/>
      </w:r>
      <w:r>
        <w:t xml:space="preserve"> I.e., knowledgeable about both the problem domain and Athena’s models.</w:t>
      </w:r>
    </w:p>
  </w:footnote>
  <w:footnote w:id="2">
    <w:p w:rsidR="004A0845" w:rsidRDefault="004A084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4A0845" w:rsidRDefault="004A084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4A0845" w:rsidRDefault="004A084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4A0845" w:rsidRDefault="004A0845">
      <w:pPr>
        <w:pStyle w:val="FootnoteText"/>
      </w:pPr>
      <w:r>
        <w:rPr>
          <w:rStyle w:val="FootnoteReference"/>
        </w:rPr>
        <w:footnoteRef/>
      </w:r>
      <w:r>
        <w:t xml:space="preserve"> Or models!  Stability has social, economic, and political dimensions.</w:t>
      </w:r>
    </w:p>
  </w:footnote>
  <w:footnote w:id="6">
    <w:p w:rsidR="004A0845" w:rsidRDefault="004A0845"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rsidR="004A0845" w:rsidRDefault="004A0845">
      <w:pPr>
        <w:pStyle w:val="FootnoteText"/>
      </w:pPr>
      <w:r>
        <w:rPr>
          <w:rStyle w:val="FootnoteReference"/>
        </w:rPr>
        <w:footnoteRef/>
      </w:r>
      <w:r>
        <w:t xml:space="preserve"> Static, that is, unless magic attitude drivers (MADs) are used to change them.</w:t>
      </w:r>
    </w:p>
  </w:footnote>
  <w:footnote w:id="8">
    <w:p w:rsidR="004A0845" w:rsidRPr="005D6ECD"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rsidR="004A0845"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rsidR="004A0845" w:rsidRPr="00D2373B" w:rsidRDefault="004A084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4A0845" w:rsidRDefault="004A084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rsidR="004A0845" w:rsidRDefault="004A0845" w:rsidP="00502610">
      <w:pPr>
        <w:pStyle w:val="FootnoteText"/>
      </w:pPr>
      <w:r>
        <w:rPr>
          <w:rStyle w:val="FootnoteReference"/>
          <w:rFonts w:eastAsia="Wingdings"/>
        </w:rPr>
        <w:footnoteRef/>
      </w:r>
      <w:r>
        <w:t xml:space="preserve"> We will make this notion more precise below.</w:t>
      </w:r>
    </w:p>
  </w:footnote>
  <w:footnote w:id="13">
    <w:p w:rsidR="004A0845" w:rsidRPr="008E5602" w:rsidRDefault="004A084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rsidR="004A0845" w:rsidRDefault="004A084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rsidR="004A0845" w:rsidRDefault="004A084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rsidR="004A0845" w:rsidRDefault="004A084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rsidR="004A0845" w:rsidRDefault="004A084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4A0845" w:rsidRDefault="004A084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rsidR="004A0845" w:rsidRDefault="004A084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rsidR="004A0845" w:rsidRPr="005758BA" w:rsidRDefault="004A0845" w:rsidP="00F72DE2">
      <w:pPr>
        <w:pStyle w:val="FootnoteText"/>
      </w:pPr>
      <w:r>
        <w:rPr>
          <w:rStyle w:val="FootnoteReference"/>
        </w:rPr>
        <w:footnoteRef/>
      </w:r>
      <w:r>
        <w:t xml:space="preserve"> See Section </w:t>
      </w:r>
      <w:r w:rsidR="009F5549">
        <w:fldChar w:fldCharType="begin"/>
      </w:r>
      <w:r>
        <w:instrText xml:space="preserve"> REF __RefHeading__30424212 \r \h </w:instrText>
      </w:r>
      <w:r w:rsidR="009F5549">
        <w:fldChar w:fldCharType="separate"/>
      </w:r>
      <w:r>
        <w:t>6</w:t>
      </w:r>
      <w:r w:rsidR="009F5549">
        <w:fldChar w:fldCharType="end"/>
      </w:r>
      <w:r>
        <w:t xml:space="preserve"> for more on coverage functions.</w:t>
      </w:r>
    </w:p>
  </w:footnote>
  <w:footnote w:id="21">
    <w:p w:rsidR="004A0845" w:rsidRDefault="004A084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rsidR="004A0845" w:rsidRDefault="004A084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rsidR="004A0845" w:rsidRDefault="004A084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rsidR="004A0845" w:rsidRDefault="004A084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rsidR="004A0845" w:rsidRDefault="004A084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rsidR="004A0845" w:rsidRPr="00853A0E" w:rsidRDefault="004A084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4A0845" w:rsidRDefault="004A084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rsidR="004A0845" w:rsidRDefault="004A084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rsidR="004A0845" w:rsidRDefault="004A084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rsidR="004A0845" w:rsidRDefault="004A084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rsidR="004A0845" w:rsidRDefault="004A084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rsidR="004A0845" w:rsidRDefault="004A084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rsidR="004A0845" w:rsidRDefault="004A084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4A0845" w:rsidRDefault="004A084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rsidR="004A0845" w:rsidRDefault="004A084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4A0845" w:rsidRDefault="004A0845">
      <w:pPr>
        <w:pStyle w:val="FootnoteText"/>
      </w:pPr>
      <w:r>
        <w:rPr>
          <w:rStyle w:val="FootnoteReference"/>
        </w:rPr>
        <w:footnoteRef/>
      </w:r>
      <w:r>
        <w:t xml:space="preserve"> In future versions, actors may also be able to interfere with the provision of a service.</w:t>
      </w:r>
    </w:p>
  </w:footnote>
  <w:footnote w:id="37">
    <w:p w:rsidR="004A0845" w:rsidRDefault="004A084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8">
    <w:p w:rsidR="004A0845" w:rsidRPr="008D4F12" w:rsidRDefault="004A084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39">
    <w:p w:rsidR="004A0845" w:rsidRDefault="004A084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0">
    <w:p w:rsidR="004A0845" w:rsidRDefault="004A084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1">
    <w:p w:rsidR="004A0845" w:rsidRDefault="004A084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2">
    <w:p w:rsidR="004A0845" w:rsidRDefault="004A084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3">
    <w:p w:rsidR="004A0845" w:rsidRDefault="004A084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4">
    <w:p w:rsidR="004A0845" w:rsidRDefault="004A084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5">
    <w:p w:rsidR="004A0845" w:rsidRDefault="004A084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6">
    <w:p w:rsidR="004A0845" w:rsidRDefault="004A084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7">
    <w:p w:rsidR="004A0845" w:rsidRDefault="004A0845" w:rsidP="002520B8">
      <w:pPr>
        <w:pStyle w:val="Footnote"/>
      </w:pPr>
      <w:r>
        <w:rPr>
          <w:rStyle w:val="FootnoteReference"/>
        </w:rPr>
        <w:footnoteRef/>
      </w:r>
      <w:r>
        <w:t>At Athena's timescale, most crowd-related phenomena are events rather than situations.</w:t>
      </w:r>
    </w:p>
  </w:footnote>
  <w:footnote w:id="48">
    <w:p w:rsidR="004A0845" w:rsidRDefault="004A0845" w:rsidP="002520B8">
      <w:pPr>
        <w:pStyle w:val="Footnote"/>
      </w:pPr>
      <w:r>
        <w:rPr>
          <w:rStyle w:val="FootnoteReference"/>
        </w:rPr>
        <w:footnoteRef/>
      </w:r>
      <w:r>
        <w:t>We are ignoring civilian and organization group "forces" for the time being.</w:t>
      </w:r>
    </w:p>
  </w:footnote>
  <w:footnote w:id="49">
    <w:p w:rsidR="004A0845" w:rsidRDefault="004A0845"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0">
    <w:p w:rsidR="004A0845" w:rsidRDefault="004A084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1">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2">
    <w:p w:rsidR="004A0845" w:rsidRDefault="004A084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3">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4">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5">
    <w:p w:rsidR="004A0845" w:rsidRDefault="004A0845"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6">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7">
    <w:p w:rsidR="004A0845" w:rsidRDefault="004A0845"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8">
    <w:p w:rsidR="004A0845" w:rsidRDefault="004A0845"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59">
    <w:p w:rsidR="004A0845" w:rsidRDefault="004A0845"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0">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1">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2">
    <w:p w:rsidR="004A0845" w:rsidRDefault="004A0845"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3">
    <w:p w:rsidR="004A0845" w:rsidRDefault="004A084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4">
    <w:p w:rsidR="004A0845" w:rsidRDefault="004A084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5">
    <w:p w:rsidR="004A0845" w:rsidRDefault="004A0845"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6">
    <w:p w:rsidR="004A0845" w:rsidRDefault="004A0845"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7">
    <w:p w:rsidR="004A0845" w:rsidRDefault="004A0845"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8">
    <w:p w:rsidR="004A0845" w:rsidRDefault="004A084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69">
    <w:p w:rsidR="004A0845" w:rsidRDefault="004A084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0">
    <w:p w:rsidR="004A0845" w:rsidRPr="00730406" w:rsidRDefault="004A084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1">
    <w:p w:rsidR="004A0845" w:rsidRDefault="004A0845" w:rsidP="00753E07">
      <w:pPr>
        <w:pStyle w:val="Footnote"/>
      </w:pPr>
      <w:r>
        <w:rPr>
          <w:rStyle w:val="FootnoteReference"/>
        </w:rPr>
        <w:footnoteRef/>
      </w:r>
      <w:r>
        <w:t>By "labor force" we mean that portion of the population that seeks to be employed, whether they are in fact employed or not.</w:t>
      </w:r>
    </w:p>
  </w:footnote>
  <w:footnote w:id="72">
    <w:p w:rsidR="004A0845" w:rsidRPr="00777296" w:rsidRDefault="004A084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3">
    <w:p w:rsidR="004A0845" w:rsidRPr="00777296" w:rsidRDefault="004A084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rsidR="004A0845" w:rsidRDefault="004A0845">
      <w:pPr>
        <w:pStyle w:val="FootnoteText"/>
      </w:pPr>
      <w:r>
        <w:rPr>
          <w:rStyle w:val="FootnoteReference"/>
        </w:rPr>
        <w:footnoteRef/>
      </w:r>
      <w:r>
        <w:t xml:space="preserve"> Athena 5 also computes the UAF for each individual civilian group; however, this is no longer used.</w:t>
      </w:r>
    </w:p>
  </w:footnote>
  <w:footnote w:id="75">
    <w:p w:rsidR="004A0845" w:rsidRDefault="004A084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6">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7">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78">
    <w:p w:rsidR="004A0845" w:rsidRDefault="004A084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79">
    <w:p w:rsidR="004A0845" w:rsidRDefault="004A084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0">
    <w:p w:rsidR="004A0845" w:rsidRDefault="004A0845">
      <w:pPr>
        <w:pStyle w:val="FootnoteText"/>
      </w:pPr>
      <w:r>
        <w:rPr>
          <w:rStyle w:val="FootnoteReference"/>
        </w:rPr>
        <w:footnoteRef/>
      </w:r>
      <w:r>
        <w:t xml:space="preserve"> See "Wage Distributions and Survival", by  Rebecca Lawler.</w:t>
      </w:r>
    </w:p>
  </w:footnote>
  <w:footnote w:id="81">
    <w:p w:rsidR="004A0845" w:rsidRPr="00301755" w:rsidRDefault="004A084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2">
    <w:p w:rsidR="004A0845" w:rsidRDefault="004A084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3">
    <w:p w:rsidR="004A0845" w:rsidRPr="003D7B9B" w:rsidRDefault="004A084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4">
    <w:p w:rsidR="004A0845" w:rsidRDefault="004A0845">
      <w:pPr>
        <w:pStyle w:val="FootnoteText"/>
      </w:pPr>
      <w:r>
        <w:rPr>
          <w:rStyle w:val="FootnoteReference"/>
        </w:rPr>
        <w:footnoteRef/>
      </w:r>
      <w:r>
        <w:t xml:space="preserve"> Actors may have up to two forms of income from the black market: a tax-like rate on gross revenue and shares of net revenue.  </w:t>
      </w:r>
    </w:p>
  </w:footnote>
  <w:footnote w:id="85">
    <w:p w:rsidR="004A0845" w:rsidRDefault="004A0845">
      <w:pPr>
        <w:pStyle w:val="FootnoteText"/>
      </w:pPr>
      <w:r>
        <w:rPr>
          <w:rStyle w:val="FootnoteReference"/>
        </w:rPr>
        <w:footnoteRef/>
      </w:r>
      <w:r>
        <w:t xml:space="preserve"> See “Athena’s CGE Model” by Chamberlain, Duquette and Kahovec included with the Athena documentation.</w:t>
      </w:r>
    </w:p>
  </w:footnote>
  <w:footnote w:id="86">
    <w:p w:rsidR="004A0845" w:rsidRDefault="004A084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7">
    <w:p w:rsidR="004A0845" w:rsidRDefault="004A0845">
      <w:pPr>
        <w:pStyle w:val="FootnoteText"/>
      </w:pPr>
      <w:r>
        <w:rPr>
          <w:rStyle w:val="FootnoteReference"/>
        </w:rPr>
        <w:footnoteRef/>
      </w:r>
      <w:r>
        <w:t xml:space="preserve"> See “Athena’s CGE Model” by Chamberlain, Duquette and Kahovec included with the Athena documentation.</w:t>
      </w:r>
    </w:p>
  </w:footnote>
  <w:footnote w:id="88">
    <w:p w:rsidR="004A0845" w:rsidRPr="002F4FF1" w:rsidRDefault="004A084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sidR="00F967A7">
        <w:rPr>
          <w:rFonts w:cstheme="majorHAnsi"/>
        </w:rPr>
        <w:t xml:space="preserve"> is tactic type or </w:t>
      </w:r>
      <w:r>
        <w:rPr>
          <w:rFonts w:cstheme="majorHAnsi"/>
        </w:rPr>
        <w:t xml:space="preserve">and </w:t>
      </w:r>
      <w:r>
        <w:rPr>
          <w:rFonts w:cstheme="majorHAnsi"/>
          <w:i/>
        </w:rPr>
        <w:t>i</w:t>
      </w:r>
      <w:r>
        <w:rPr>
          <w:rFonts w:cstheme="majorHAnsi"/>
        </w:rPr>
        <w:t xml:space="preserve"> is the sector.</w:t>
      </w:r>
    </w:p>
  </w:footnote>
  <w:footnote w:id="89">
    <w:p w:rsidR="004A0845" w:rsidRPr="006468F2" w:rsidRDefault="004A084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0">
    <w:p w:rsidR="004A0845" w:rsidRDefault="004A0845">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91">
    <w:p w:rsidR="004A0845" w:rsidRPr="00415184" w:rsidRDefault="004A0845">
      <w:pPr>
        <w:pStyle w:val="FootnoteText"/>
      </w:pPr>
      <w:r>
        <w:rPr>
          <w:rStyle w:val="FootnoteReference"/>
        </w:rPr>
        <w:footnoteRef/>
      </w:r>
      <w:r>
        <w:t xml:space="preserve"> See the </w:t>
      </w:r>
      <w:r>
        <w:rPr>
          <w:i/>
        </w:rPr>
        <w:t>Athena User's Guide</w:t>
      </w:r>
      <w:r>
        <w:t xml:space="preserve"> and on-line help for details on orders and tactics.</w:t>
      </w:r>
    </w:p>
  </w:footnote>
  <w:footnote w:id="92">
    <w:p w:rsidR="004A0845" w:rsidRDefault="004A084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93">
    <w:p w:rsidR="004A0845" w:rsidRDefault="004A084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94">
    <w:p w:rsidR="004A0845" w:rsidRPr="007B388E" w:rsidRDefault="004A084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95">
    <w:p w:rsidR="004A0845" w:rsidRDefault="004A084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96">
    <w:p w:rsidR="004A0845" w:rsidRDefault="004A084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845" w:rsidRPr="004D07B9" w:rsidRDefault="004A0845">
    <w:pPr>
      <w:pStyle w:val="Header"/>
      <w:rPr>
        <w:rFonts w:ascii="Arial" w:hAnsi="Arial" w:cs="Arial"/>
      </w:rPr>
    </w:pPr>
    <w:r w:rsidRPr="004D07B9">
      <w:rPr>
        <w:rFonts w:ascii="Arial" w:hAnsi="Arial" w:cs="Arial"/>
      </w:rPr>
      <w:t xml:space="preserve">Athena </w:t>
    </w:r>
    <w:r>
      <w:rPr>
        <w:rFonts w:ascii="Arial" w:hAnsi="Arial" w:cs="Arial"/>
      </w:rPr>
      <w:t>Analyst’s Guide, V5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August, 2013</w:t>
    </w:r>
  </w:p>
  <w:p w:rsidR="004A0845" w:rsidRDefault="004A0845"/>
  <w:p w:rsidR="004A0845" w:rsidRDefault="004A0845"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1">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3">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5">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9">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5">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2833FD2"/>
    <w:multiLevelType w:val="hybridMultilevel"/>
    <w:tmpl w:val="344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9">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3">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6">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4"/>
  </w:num>
  <w:num w:numId="3">
    <w:abstractNumId w:val="38"/>
  </w:num>
  <w:num w:numId="4">
    <w:abstractNumId w:val="65"/>
  </w:num>
  <w:num w:numId="5">
    <w:abstractNumId w:val="22"/>
  </w:num>
  <w:num w:numId="6">
    <w:abstractNumId w:val="20"/>
  </w:num>
  <w:num w:numId="7">
    <w:abstractNumId w:val="10"/>
  </w:num>
  <w:num w:numId="8">
    <w:abstractNumId w:val="58"/>
  </w:num>
  <w:num w:numId="9">
    <w:abstractNumId w:val="57"/>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0"/>
  </w:num>
  <w:num w:numId="13">
    <w:abstractNumId w:val="40"/>
  </w:num>
  <w:num w:numId="14">
    <w:abstractNumId w:val="29"/>
  </w:num>
  <w:num w:numId="15">
    <w:abstractNumId w:val="19"/>
  </w:num>
  <w:num w:numId="16">
    <w:abstractNumId w:val="46"/>
  </w:num>
  <w:num w:numId="17">
    <w:abstractNumId w:val="34"/>
  </w:num>
  <w:num w:numId="18">
    <w:abstractNumId w:val="14"/>
  </w:num>
  <w:num w:numId="19">
    <w:abstractNumId w:val="61"/>
  </w:num>
  <w:num w:numId="20">
    <w:abstractNumId w:val="59"/>
  </w:num>
  <w:num w:numId="21">
    <w:abstractNumId w:val="54"/>
  </w:num>
  <w:num w:numId="22">
    <w:abstractNumId w:val="64"/>
  </w:num>
  <w:num w:numId="23">
    <w:abstractNumId w:val="1"/>
  </w:num>
  <w:num w:numId="24">
    <w:abstractNumId w:val="42"/>
  </w:num>
  <w:num w:numId="25">
    <w:abstractNumId w:val="33"/>
  </w:num>
  <w:num w:numId="26">
    <w:abstractNumId w:val="53"/>
  </w:num>
  <w:num w:numId="27">
    <w:abstractNumId w:val="47"/>
  </w:num>
  <w:num w:numId="28">
    <w:abstractNumId w:val="43"/>
  </w:num>
  <w:num w:numId="29">
    <w:abstractNumId w:val="55"/>
  </w:num>
  <w:num w:numId="30">
    <w:abstractNumId w:val="26"/>
  </w:num>
  <w:num w:numId="31">
    <w:abstractNumId w:val="15"/>
  </w:num>
  <w:num w:numId="32">
    <w:abstractNumId w:val="32"/>
  </w:num>
  <w:num w:numId="33">
    <w:abstractNumId w:val="21"/>
  </w:num>
  <w:num w:numId="34">
    <w:abstractNumId w:val="35"/>
  </w:num>
  <w:num w:numId="35">
    <w:abstractNumId w:val="5"/>
  </w:num>
  <w:num w:numId="36">
    <w:abstractNumId w:val="17"/>
  </w:num>
  <w:num w:numId="37">
    <w:abstractNumId w:val="48"/>
  </w:num>
  <w:num w:numId="38">
    <w:abstractNumId w:val="11"/>
  </w:num>
  <w:num w:numId="39">
    <w:abstractNumId w:val="0"/>
  </w:num>
  <w:num w:numId="40">
    <w:abstractNumId w:val="12"/>
  </w:num>
  <w:num w:numId="41">
    <w:abstractNumId w:val="16"/>
  </w:num>
  <w:num w:numId="42">
    <w:abstractNumId w:val="37"/>
  </w:num>
  <w:num w:numId="43">
    <w:abstractNumId w:val="30"/>
  </w:num>
  <w:num w:numId="44">
    <w:abstractNumId w:val="13"/>
  </w:num>
  <w:num w:numId="45">
    <w:abstractNumId w:val="56"/>
  </w:num>
  <w:num w:numId="46">
    <w:abstractNumId w:val="51"/>
  </w:num>
  <w:num w:numId="47">
    <w:abstractNumId w:val="66"/>
  </w:num>
  <w:num w:numId="48">
    <w:abstractNumId w:val="9"/>
  </w:num>
  <w:num w:numId="49">
    <w:abstractNumId w:val="52"/>
  </w:num>
  <w:num w:numId="50">
    <w:abstractNumId w:val="60"/>
  </w:num>
  <w:num w:numId="51">
    <w:abstractNumId w:val="8"/>
  </w:num>
  <w:num w:numId="52">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num>
  <w:num w:numId="54">
    <w:abstractNumId w:val="6"/>
  </w:num>
  <w:num w:numId="55">
    <w:abstractNumId w:val="7"/>
  </w:num>
  <w:num w:numId="56">
    <w:abstractNumId w:val="23"/>
  </w:num>
  <w:num w:numId="57">
    <w:abstractNumId w:val="63"/>
  </w:num>
  <w:num w:numId="58">
    <w:abstractNumId w:val="31"/>
  </w:num>
  <w:num w:numId="59">
    <w:abstractNumId w:val="25"/>
  </w:num>
  <w:num w:numId="60">
    <w:abstractNumId w:val="18"/>
  </w:num>
  <w:num w:numId="61">
    <w:abstractNumId w:val="39"/>
  </w:num>
  <w:num w:numId="62">
    <w:abstractNumId w:val="4"/>
  </w:num>
  <w:num w:numId="63">
    <w:abstractNumId w:val="62"/>
  </w:num>
  <w:num w:numId="64">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6"/>
  </w:num>
  <w:num w:numId="66">
    <w:abstractNumId w:val="45"/>
  </w:num>
  <w:num w:numId="67">
    <w:abstractNumId w:val="2"/>
  </w:num>
  <w:num w:numId="68">
    <w:abstractNumId w:val="27"/>
  </w:num>
  <w:num w:numId="69">
    <w:abstractNumId w:val="49"/>
  </w:num>
  <w:num w:numId="70">
    <w:abstractNumId w:val="41"/>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4"/>
  </w:hdrShapeDefaults>
  <w:footnotePr>
    <w:footnote w:id="-1"/>
    <w:footnote w:id="0"/>
  </w:footnotePr>
  <w:endnotePr>
    <w:endnote w:id="-1"/>
    <w:endnote w:id="0"/>
  </w:endnotePr>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2595"/>
    <w:rsid w:val="000A3F97"/>
    <w:rsid w:val="000A4915"/>
    <w:rsid w:val="000A5EA6"/>
    <w:rsid w:val="000A6638"/>
    <w:rsid w:val="000A7B01"/>
    <w:rsid w:val="000B0AE3"/>
    <w:rsid w:val="000B1400"/>
    <w:rsid w:val="000B2579"/>
    <w:rsid w:val="000B281C"/>
    <w:rsid w:val="000B481E"/>
    <w:rsid w:val="000B60E3"/>
    <w:rsid w:val="000B6EFE"/>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7980"/>
    <w:rsid w:val="00187E27"/>
    <w:rsid w:val="00193714"/>
    <w:rsid w:val="00193BDC"/>
    <w:rsid w:val="00194B52"/>
    <w:rsid w:val="00194B82"/>
    <w:rsid w:val="001962C0"/>
    <w:rsid w:val="00197A19"/>
    <w:rsid w:val="001A0895"/>
    <w:rsid w:val="001A119A"/>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1B56"/>
    <w:rsid w:val="002251D2"/>
    <w:rsid w:val="00226219"/>
    <w:rsid w:val="002272DC"/>
    <w:rsid w:val="0022735F"/>
    <w:rsid w:val="0022749B"/>
    <w:rsid w:val="0023121F"/>
    <w:rsid w:val="00231D29"/>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A6838"/>
    <w:rsid w:val="002B0BC7"/>
    <w:rsid w:val="002B4228"/>
    <w:rsid w:val="002B65DA"/>
    <w:rsid w:val="002B6704"/>
    <w:rsid w:val="002C0249"/>
    <w:rsid w:val="002C5A6A"/>
    <w:rsid w:val="002C6245"/>
    <w:rsid w:val="002C7D2F"/>
    <w:rsid w:val="002D13AA"/>
    <w:rsid w:val="002D708E"/>
    <w:rsid w:val="002E0D55"/>
    <w:rsid w:val="002E1BA8"/>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3F4D"/>
    <w:rsid w:val="0033439A"/>
    <w:rsid w:val="00340FF7"/>
    <w:rsid w:val="00341CFE"/>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B34C3"/>
    <w:rsid w:val="003B4040"/>
    <w:rsid w:val="003B78A6"/>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13CFA"/>
    <w:rsid w:val="00415184"/>
    <w:rsid w:val="00417020"/>
    <w:rsid w:val="00422548"/>
    <w:rsid w:val="0042313B"/>
    <w:rsid w:val="004231AA"/>
    <w:rsid w:val="0042329A"/>
    <w:rsid w:val="00424B43"/>
    <w:rsid w:val="00424E9D"/>
    <w:rsid w:val="004266DE"/>
    <w:rsid w:val="0042684E"/>
    <w:rsid w:val="00433AD6"/>
    <w:rsid w:val="004378B3"/>
    <w:rsid w:val="00437EAD"/>
    <w:rsid w:val="00441409"/>
    <w:rsid w:val="00441B7E"/>
    <w:rsid w:val="00441FE3"/>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20D31"/>
    <w:rsid w:val="005211A3"/>
    <w:rsid w:val="00521973"/>
    <w:rsid w:val="005241DD"/>
    <w:rsid w:val="00524893"/>
    <w:rsid w:val="00525213"/>
    <w:rsid w:val="00525AD8"/>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879D2"/>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25D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2DF"/>
    <w:rsid w:val="006B268A"/>
    <w:rsid w:val="006B607A"/>
    <w:rsid w:val="006C13AD"/>
    <w:rsid w:val="006C3425"/>
    <w:rsid w:val="006C420A"/>
    <w:rsid w:val="006C4ADB"/>
    <w:rsid w:val="006C5401"/>
    <w:rsid w:val="006C77A6"/>
    <w:rsid w:val="006E1871"/>
    <w:rsid w:val="006E5FAD"/>
    <w:rsid w:val="006E700E"/>
    <w:rsid w:val="006F00A2"/>
    <w:rsid w:val="006F1187"/>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7F9"/>
    <w:rsid w:val="00771818"/>
    <w:rsid w:val="007729D7"/>
    <w:rsid w:val="007734D6"/>
    <w:rsid w:val="007753E4"/>
    <w:rsid w:val="00777296"/>
    <w:rsid w:val="00777760"/>
    <w:rsid w:val="00784C80"/>
    <w:rsid w:val="007853DF"/>
    <w:rsid w:val="00786F3A"/>
    <w:rsid w:val="007912CF"/>
    <w:rsid w:val="00794481"/>
    <w:rsid w:val="007A42EC"/>
    <w:rsid w:val="007A7EB7"/>
    <w:rsid w:val="007B340C"/>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F1C14"/>
    <w:rsid w:val="007F3D4A"/>
    <w:rsid w:val="007F4B46"/>
    <w:rsid w:val="007F58B5"/>
    <w:rsid w:val="007F6EF2"/>
    <w:rsid w:val="007F72B8"/>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32977"/>
    <w:rsid w:val="00832ED4"/>
    <w:rsid w:val="008334B3"/>
    <w:rsid w:val="00835DEE"/>
    <w:rsid w:val="00835EBB"/>
    <w:rsid w:val="00836DA5"/>
    <w:rsid w:val="00836ED9"/>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7139E"/>
    <w:rsid w:val="00971C20"/>
    <w:rsid w:val="009731AD"/>
    <w:rsid w:val="009742AA"/>
    <w:rsid w:val="00980751"/>
    <w:rsid w:val="00980E0B"/>
    <w:rsid w:val="0098160F"/>
    <w:rsid w:val="00982F2E"/>
    <w:rsid w:val="0098356A"/>
    <w:rsid w:val="00983FD1"/>
    <w:rsid w:val="00984FAF"/>
    <w:rsid w:val="00985DC1"/>
    <w:rsid w:val="00986507"/>
    <w:rsid w:val="009875C8"/>
    <w:rsid w:val="009916A7"/>
    <w:rsid w:val="00997D0E"/>
    <w:rsid w:val="009A1493"/>
    <w:rsid w:val="009A2EBD"/>
    <w:rsid w:val="009A3336"/>
    <w:rsid w:val="009A392F"/>
    <w:rsid w:val="009A63DD"/>
    <w:rsid w:val="009A781A"/>
    <w:rsid w:val="009B012F"/>
    <w:rsid w:val="009B2CC5"/>
    <w:rsid w:val="009C0821"/>
    <w:rsid w:val="009C2DB2"/>
    <w:rsid w:val="009C3B10"/>
    <w:rsid w:val="009C5AB5"/>
    <w:rsid w:val="009C610A"/>
    <w:rsid w:val="009C6CBB"/>
    <w:rsid w:val="009D739D"/>
    <w:rsid w:val="009D743E"/>
    <w:rsid w:val="009D79DD"/>
    <w:rsid w:val="009D7F95"/>
    <w:rsid w:val="009E1203"/>
    <w:rsid w:val="009E18FB"/>
    <w:rsid w:val="009E5C44"/>
    <w:rsid w:val="009E6225"/>
    <w:rsid w:val="009E790F"/>
    <w:rsid w:val="009F251D"/>
    <w:rsid w:val="009F4E0C"/>
    <w:rsid w:val="009F5549"/>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2FC5"/>
    <w:rsid w:val="00A85EBC"/>
    <w:rsid w:val="00A93051"/>
    <w:rsid w:val="00A93EB5"/>
    <w:rsid w:val="00A953F7"/>
    <w:rsid w:val="00A95586"/>
    <w:rsid w:val="00A97918"/>
    <w:rsid w:val="00AA1D86"/>
    <w:rsid w:val="00AA1E81"/>
    <w:rsid w:val="00AA291A"/>
    <w:rsid w:val="00AA7885"/>
    <w:rsid w:val="00AB1BC6"/>
    <w:rsid w:val="00AB1FA5"/>
    <w:rsid w:val="00AB39B0"/>
    <w:rsid w:val="00AB418D"/>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882"/>
    <w:rsid w:val="00B40BD9"/>
    <w:rsid w:val="00B417D7"/>
    <w:rsid w:val="00B433ED"/>
    <w:rsid w:val="00B438FE"/>
    <w:rsid w:val="00B439C9"/>
    <w:rsid w:val="00B442DE"/>
    <w:rsid w:val="00B46C8D"/>
    <w:rsid w:val="00B46E92"/>
    <w:rsid w:val="00B505B9"/>
    <w:rsid w:val="00B52594"/>
    <w:rsid w:val="00B61112"/>
    <w:rsid w:val="00B65D0B"/>
    <w:rsid w:val="00B661B7"/>
    <w:rsid w:val="00B66E21"/>
    <w:rsid w:val="00B741B1"/>
    <w:rsid w:val="00B74D42"/>
    <w:rsid w:val="00B75001"/>
    <w:rsid w:val="00B75B8F"/>
    <w:rsid w:val="00B80934"/>
    <w:rsid w:val="00B80D7B"/>
    <w:rsid w:val="00B844AD"/>
    <w:rsid w:val="00B8554E"/>
    <w:rsid w:val="00B8735B"/>
    <w:rsid w:val="00B943E6"/>
    <w:rsid w:val="00BA2AE0"/>
    <w:rsid w:val="00BA6D3C"/>
    <w:rsid w:val="00BB0A87"/>
    <w:rsid w:val="00BB3615"/>
    <w:rsid w:val="00BB56FD"/>
    <w:rsid w:val="00BB6FC7"/>
    <w:rsid w:val="00BB73E9"/>
    <w:rsid w:val="00BC0823"/>
    <w:rsid w:val="00BC1F92"/>
    <w:rsid w:val="00BC67F0"/>
    <w:rsid w:val="00BC6C27"/>
    <w:rsid w:val="00BD28DE"/>
    <w:rsid w:val="00BD4B37"/>
    <w:rsid w:val="00BD4BB5"/>
    <w:rsid w:val="00BD60F4"/>
    <w:rsid w:val="00BD7DCF"/>
    <w:rsid w:val="00BD7EB6"/>
    <w:rsid w:val="00BE03DA"/>
    <w:rsid w:val="00BE1090"/>
    <w:rsid w:val="00BE4FB6"/>
    <w:rsid w:val="00BE55E6"/>
    <w:rsid w:val="00BE6A0E"/>
    <w:rsid w:val="00BF263F"/>
    <w:rsid w:val="00BF3126"/>
    <w:rsid w:val="00BF6A5E"/>
    <w:rsid w:val="00C00A51"/>
    <w:rsid w:val="00C065CB"/>
    <w:rsid w:val="00C07716"/>
    <w:rsid w:val="00C13848"/>
    <w:rsid w:val="00C14A5F"/>
    <w:rsid w:val="00C17981"/>
    <w:rsid w:val="00C2148A"/>
    <w:rsid w:val="00C21BE4"/>
    <w:rsid w:val="00C244A4"/>
    <w:rsid w:val="00C27347"/>
    <w:rsid w:val="00C304EB"/>
    <w:rsid w:val="00C41A13"/>
    <w:rsid w:val="00C41ED0"/>
    <w:rsid w:val="00C433B0"/>
    <w:rsid w:val="00C43429"/>
    <w:rsid w:val="00C449C5"/>
    <w:rsid w:val="00C50011"/>
    <w:rsid w:val="00C55DF5"/>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578D"/>
    <w:rsid w:val="00CD0C51"/>
    <w:rsid w:val="00CD4845"/>
    <w:rsid w:val="00CD7D24"/>
    <w:rsid w:val="00CE5F34"/>
    <w:rsid w:val="00CF3C4A"/>
    <w:rsid w:val="00CF48BE"/>
    <w:rsid w:val="00CF5407"/>
    <w:rsid w:val="00D000F8"/>
    <w:rsid w:val="00D0709E"/>
    <w:rsid w:val="00D10A70"/>
    <w:rsid w:val="00D14C05"/>
    <w:rsid w:val="00D20E72"/>
    <w:rsid w:val="00D217C6"/>
    <w:rsid w:val="00D2387F"/>
    <w:rsid w:val="00D248ED"/>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4D2F"/>
    <w:rsid w:val="00DA609D"/>
    <w:rsid w:val="00DA7346"/>
    <w:rsid w:val="00DB15C0"/>
    <w:rsid w:val="00DB2FA1"/>
    <w:rsid w:val="00DC20E2"/>
    <w:rsid w:val="00DC38FC"/>
    <w:rsid w:val="00DC54A7"/>
    <w:rsid w:val="00DC5775"/>
    <w:rsid w:val="00DD49E8"/>
    <w:rsid w:val="00DD4C78"/>
    <w:rsid w:val="00DE0B74"/>
    <w:rsid w:val="00DE1B7F"/>
    <w:rsid w:val="00DE1EBB"/>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561EC"/>
    <w:rsid w:val="00E6351E"/>
    <w:rsid w:val="00E670F8"/>
    <w:rsid w:val="00E672FD"/>
    <w:rsid w:val="00E714F3"/>
    <w:rsid w:val="00E718BE"/>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34AD"/>
    <w:rsid w:val="00EC3EAC"/>
    <w:rsid w:val="00EC4880"/>
    <w:rsid w:val="00EC5CD4"/>
    <w:rsid w:val="00EC5F3C"/>
    <w:rsid w:val="00EC6A88"/>
    <w:rsid w:val="00EC7C03"/>
    <w:rsid w:val="00ED436B"/>
    <w:rsid w:val="00ED5807"/>
    <w:rsid w:val="00EE138F"/>
    <w:rsid w:val="00EE3FE6"/>
    <w:rsid w:val="00EF220C"/>
    <w:rsid w:val="00EF2F53"/>
    <w:rsid w:val="00F00985"/>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2361"/>
    <w:rsid w:val="00F45187"/>
    <w:rsid w:val="00F62105"/>
    <w:rsid w:val="00F62BE1"/>
    <w:rsid w:val="00F6603C"/>
    <w:rsid w:val="00F70FC7"/>
    <w:rsid w:val="00F7118A"/>
    <w:rsid w:val="00F7146F"/>
    <w:rsid w:val="00F71E72"/>
    <w:rsid w:val="00F72DE2"/>
    <w:rsid w:val="00F73DC8"/>
    <w:rsid w:val="00F75CF0"/>
    <w:rsid w:val="00F77775"/>
    <w:rsid w:val="00F824E9"/>
    <w:rsid w:val="00F82AC6"/>
    <w:rsid w:val="00F863ED"/>
    <w:rsid w:val="00F86DA4"/>
    <w:rsid w:val="00F8747D"/>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E013C"/>
    <w:rsid w:val="00FE03F4"/>
    <w:rsid w:val="00FE0D68"/>
    <w:rsid w:val="00FE4604"/>
    <w:rsid w:val="00FE5D64"/>
    <w:rsid w:val="00FE635C"/>
    <w:rsid w:val="00FE70BE"/>
    <w:rsid w:val="00FE7EBC"/>
    <w:rsid w:val="00FF0D58"/>
    <w:rsid w:val="00FF1E4C"/>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63206912"/>
        <c:axId val="63208448"/>
      </c:lineChart>
      <c:catAx>
        <c:axId val="63206912"/>
        <c:scaling>
          <c:orientation val="minMax"/>
        </c:scaling>
        <c:axPos val="b"/>
        <c:numFmt formatCode="General" sourceLinked="1"/>
        <c:tickLblPos val="nextTo"/>
        <c:crossAx val="63208448"/>
        <c:crosses val="autoZero"/>
        <c:auto val="1"/>
        <c:lblAlgn val="ctr"/>
        <c:lblOffset val="100"/>
      </c:catAx>
      <c:valAx>
        <c:axId val="63208448"/>
        <c:scaling>
          <c:orientation val="minMax"/>
        </c:scaling>
        <c:axPos val="l"/>
        <c:majorGridlines/>
        <c:numFmt formatCode="General" sourceLinked="1"/>
        <c:tickLblPos val="nextTo"/>
        <c:crossAx val="63206912"/>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Lorenz curves for United States, 2008</a:t>
            </a:r>
          </a:p>
        </c:rich>
      </c:tx>
    </c:title>
    <c:plotArea>
      <c:layout/>
      <c:scatterChart>
        <c:scatterStyle val="lineMarker"/>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Sheet1!$C$4:$C$9</c:f>
              <c:numCache>
                <c:formatCode>General</c:formatCode>
                <c:ptCount val="6"/>
                <c:pt idx="0">
                  <c:v>0</c:v>
                </c:pt>
                <c:pt idx="1">
                  <c:v>3.4000000000000002E-2</c:v>
                </c:pt>
                <c:pt idx="2">
                  <c:v>0.12000000000000002</c:v>
                </c:pt>
                <c:pt idx="3">
                  <c:v>0.26700000000000002</c:v>
                </c:pt>
                <c:pt idx="4">
                  <c:v>0.5</c:v>
                </c:pt>
                <c:pt idx="5">
                  <c:v>1</c:v>
                </c:pt>
              </c:numCache>
            </c:numRef>
          </c:yVal>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Sheet1!$D$4:$D$9</c:f>
              <c:numCache>
                <c:formatCode>General</c:formatCode>
                <c:ptCount val="6"/>
                <c:pt idx="0">
                  <c:v>0</c:v>
                </c:pt>
                <c:pt idx="1">
                  <c:v>1.7139774672827904E-2</c:v>
                </c:pt>
                <c:pt idx="2">
                  <c:v>9.8759233315599271E-2</c:v>
                </c:pt>
                <c:pt idx="3">
                  <c:v>0.27509592724537801</c:v>
                </c:pt>
                <c:pt idx="4">
                  <c:v>0.5690498475774759</c:v>
                </c:pt>
                <c:pt idx="5">
                  <c:v>1</c:v>
                </c:pt>
              </c:numCache>
            </c:numRef>
          </c:yVal>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0.60000000000000042</c:v>
                </c:pt>
                <c:pt idx="4">
                  <c:v>0.8</c:v>
                </c:pt>
                <c:pt idx="5">
                  <c:v>1</c:v>
                </c:pt>
              </c:numCache>
            </c:numRef>
          </c:xVal>
          <c:yVal>
            <c:numRef>
              <c:f>Sheet1!$E$4:$E$9</c:f>
              <c:numCache>
                <c:formatCode>General</c:formatCode>
                <c:ptCount val="6"/>
                <c:pt idx="0">
                  <c:v>0</c:v>
                </c:pt>
                <c:pt idx="1">
                  <c:v>0.2</c:v>
                </c:pt>
                <c:pt idx="2">
                  <c:v>0.4</c:v>
                </c:pt>
                <c:pt idx="3">
                  <c:v>0.60000000000000042</c:v>
                </c:pt>
                <c:pt idx="4">
                  <c:v>0.8</c:v>
                </c:pt>
                <c:pt idx="5">
                  <c:v>1</c:v>
                </c:pt>
              </c:numCache>
            </c:numRef>
          </c:yVal>
        </c:ser>
        <c:axId val="142883840"/>
        <c:axId val="142886016"/>
      </c:scatterChart>
      <c:valAx>
        <c:axId val="142883840"/>
        <c:scaling>
          <c:orientation val="minMax"/>
          <c:max val="1"/>
        </c:scaling>
        <c:axPos val="b"/>
        <c:title>
          <c:tx>
            <c:rich>
              <a:bodyPr/>
              <a:lstStyle/>
              <a:p>
                <a:pPr>
                  <a:defRPr/>
                </a:pPr>
                <a:r>
                  <a:rPr lang="en-US"/>
                  <a:t>proportion of population</a:t>
                </a:r>
              </a:p>
            </c:rich>
          </c:tx>
        </c:title>
        <c:numFmt formatCode="General" sourceLinked="1"/>
        <c:minorTickMark val="in"/>
        <c:tickLblPos val="nextTo"/>
        <c:crossAx val="142886016"/>
        <c:crosses val="autoZero"/>
        <c:crossBetween val="midCat"/>
        <c:minorUnit val="0.05"/>
      </c:valAx>
      <c:valAx>
        <c:axId val="142886016"/>
        <c:scaling>
          <c:orientation val="minMax"/>
          <c:max val="1"/>
          <c:min val="0"/>
        </c:scaling>
        <c:axPos val="l"/>
        <c:majorGridlines/>
        <c:title>
          <c:tx>
            <c:rich>
              <a:bodyPr/>
              <a:lstStyle/>
              <a:p>
                <a:pPr>
                  <a:defRPr/>
                </a:pPr>
                <a:r>
                  <a:rPr lang="en-US"/>
                  <a:t>proportion of Income</a:t>
                </a:r>
              </a:p>
            </c:rich>
          </c:tx>
        </c:title>
        <c:numFmt formatCode="General" sourceLinked="1"/>
        <c:minorTickMark val="in"/>
        <c:tickLblPos val="nextTo"/>
        <c:crossAx val="142883840"/>
        <c:crosses val="autoZero"/>
        <c:crossBetween val="midCat"/>
        <c:majorUnit val="0.2"/>
        <c:minorUnit val="0.05"/>
      </c:valAx>
    </c:plotArea>
    <c:legend>
      <c:legendPos val="r"/>
    </c:legend>
    <c:plotVisOnly val="1"/>
    <c:dispBlanksAs val="gap"/>
  </c:chart>
  <c:spPr>
    <a:ln>
      <a:solidFill>
        <a:sysClr val="windowText" lastClr="000000">
          <a:tint val="75000"/>
          <a:shade val="95000"/>
          <a:satMod val="105000"/>
          <a:alpha val="0"/>
        </a:sys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AAEEA-4D44-4968-A27E-AF6189E6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14661</TotalTime>
  <Pages>1</Pages>
  <Words>34820</Words>
  <Characters>198479</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232834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309</cp:revision>
  <cp:lastPrinted>2013-08-08T19:56:00Z</cp:lastPrinted>
  <dcterms:created xsi:type="dcterms:W3CDTF">2012-02-10T18:28:00Z</dcterms:created>
  <dcterms:modified xsi:type="dcterms:W3CDTF">2013-08-12T20:09:00Z</dcterms:modified>
</cp:coreProperties>
</file>