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3431144"/>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3431145"/>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3431146"/>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E27B80">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3431147"/>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3431148"/>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3431149"/>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3431150"/>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3431151"/>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3431152"/>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3431153"/>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3431154"/>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3431155"/>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3431156"/>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3431157"/>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3431158"/>
      <w:r>
        <w:t>Local vs. Non-Local Neighborhoods</w:t>
      </w:r>
      <w:bookmarkEnd w:id="18"/>
      <w:bookmarkEnd w:id="19"/>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3431159"/>
      <w:r>
        <w:t>Production Capacity</w:t>
      </w:r>
      <w:bookmarkEnd w:id="20"/>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3431160"/>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3431161"/>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3431162"/>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3431163"/>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3431164"/>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3431165"/>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3431166"/>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3431167"/>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3431168"/>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3431169"/>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2820E3">
      <w:pPr>
        <w:pStyle w:val="Heading3"/>
      </w:pPr>
      <w:bookmarkStart w:id="36" w:name="_Ref312068898"/>
      <w:bookmarkStart w:id="37" w:name="_Toc313431170"/>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8" w:name="_Ref185646748"/>
      <w:bookmarkStart w:id="39" w:name="_Toc313431171"/>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0" w:name="_Ref185647255"/>
      <w:bookmarkStart w:id="41" w:name="_Toc313431172"/>
      <w:r>
        <w:lastRenderedPageBreak/>
        <w:t>Athena Attrition Model</w:t>
      </w:r>
      <w:bookmarkEnd w:id="40"/>
      <w:bookmarkEnd w:id="4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2" w:name="_Ref312049570"/>
      <w:bookmarkStart w:id="43" w:name="_Toc313431173"/>
      <w:r>
        <w:t>Rules of Engagement</w:t>
      </w:r>
      <w:bookmarkEnd w:id="42"/>
      <w:bookmarkEnd w:id="4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4" w:name="_Toc313431174"/>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5" w:name="_Ref312068878"/>
      <w:bookmarkStart w:id="46" w:name="_Toc313431175"/>
      <w:r>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7" w:name="_Toc313431176"/>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8" w:name="_Ref185650440"/>
      <w:bookmarkStart w:id="49" w:name="_Toc313431177"/>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0" w:name="_Toc313431178"/>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1" w:name="_Toc313431179"/>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2" w:name="_Toc313431180"/>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3" w:name="_Toc313431181"/>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4" w:name="_Toc313431182"/>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5" w:name="_Toc313431183"/>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6" w:name="_Ref311700038"/>
      <w:bookmarkStart w:id="57" w:name="_Toc313431184"/>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8" w:name="_Toc313431185"/>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59" w:name="_Toc313431186"/>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0" w:name="_Ref313365271"/>
      <w:bookmarkStart w:id="61" w:name="_Toc313431187"/>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2" w:name="_Toc313431188"/>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3" w:name="_Ref313365317"/>
      <w:bookmarkStart w:id="64" w:name="_Toc313431189"/>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5" w:name="_Ref311700044"/>
      <w:bookmarkStart w:id="66" w:name="_Toc313431190"/>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7" w:name="_Ref312048277"/>
      <w:bookmarkStart w:id="68" w:name="_Toc313431191"/>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69" w:name="_Toc313431192"/>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0" w:name="_Toc313431193"/>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1" w:name="_Toc313431194"/>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2" w:name="_Toc313431195"/>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3" w:name="_Toc313431196"/>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4" w:name="_Toc313431197"/>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5" w:name="_Ref185658921"/>
      <w:bookmarkStart w:id="76" w:name="_Toc313431198"/>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7" w:name="_Toc313431199"/>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8" w:name="_Toc313431200"/>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79" w:name="_Ref312048473"/>
      <w:bookmarkStart w:id="80" w:name="_Ref312048496"/>
      <w:bookmarkStart w:id="81" w:name="_Ref312063253"/>
      <w:bookmarkStart w:id="82" w:name="_Toc313431201"/>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3" w:name="_Toc313431202"/>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4" w:name="_Toc313431203"/>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5" w:name="_Toc313431204"/>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6" w:name="_Ref185651673"/>
      <w:bookmarkStart w:id="87" w:name="_Toc313431205"/>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8" w:name="_Toc313431206"/>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89" w:name="_Ref185646626"/>
      <w:bookmarkStart w:id="90" w:name="_Toc313431207"/>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1" w:name="_Toc313431208"/>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2" w:name="_Toc313431209"/>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3" w:name="_Ref185652359"/>
      <w:bookmarkStart w:id="94" w:name="_Toc313431210"/>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5" w:name="_Ref311700050"/>
      <w:bookmarkStart w:id="96" w:name="_Toc313431211"/>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7" w:name="_Toc313431212"/>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8" w:name="_Toc313431213"/>
      <w:bookmarkStart w:id="99" w:name="_Ref313964929"/>
      <w:r>
        <w:t>Assets</w:t>
      </w:r>
      <w:bookmarkEnd w:id="98"/>
      <w:bookmarkEnd w:id="99"/>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0" w:name="_Toc313431214"/>
      <w:r>
        <w:lastRenderedPageBreak/>
        <w:t>Conditions</w:t>
      </w:r>
      <w:bookmarkEnd w:id="100"/>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1" w:name="_Toc313431215"/>
      <w:r>
        <w:t>Goals</w:t>
      </w:r>
      <w:bookmarkEnd w:id="10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2" w:name="_Toc313431216"/>
      <w:r>
        <w:t>Tactics</w:t>
      </w:r>
      <w:bookmarkEnd w:id="10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3" w:name="_Toc313431217"/>
      <w:r>
        <w:t>Strategy Execution</w:t>
      </w:r>
      <w:bookmarkEnd w:id="10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4" w:name="_Toc313431218"/>
      <w:r>
        <w:t>What the Actor Knows, and When He Knows It</w:t>
      </w:r>
      <w:bookmarkEnd w:id="104"/>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5" w:name="_Ref312062919"/>
      <w:bookmarkStart w:id="106" w:name="_Toc313431219"/>
      <w:r>
        <w:t>Support, Influence, and Control</w:t>
      </w:r>
      <w:bookmarkEnd w:id="105"/>
      <w:bookmarkEnd w:id="10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7" w:name="_Toc313431220"/>
      <w:bookmarkStart w:id="108" w:name="_Ref313964587"/>
      <w:r>
        <w:t>Support</w:t>
      </w:r>
      <w:bookmarkEnd w:id="107"/>
      <w:bookmarkEnd w:id="108"/>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9" w:name="_Toc313431221"/>
      <w:r>
        <w:t>Influence</w:t>
      </w:r>
      <w:bookmarkEnd w:id="109"/>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0" w:name="_Toc313431222"/>
      <w:r>
        <w:t>Control</w:t>
      </w:r>
      <w:bookmarkEnd w:id="110"/>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1" w:name="_Toc313431223"/>
      <w:r>
        <w:t>When Control Shifts</w:t>
      </w:r>
      <w:bookmarkEnd w:id="111"/>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2" w:name="_Ref311700057"/>
      <w:bookmarkStart w:id="113" w:name="_Toc313431224"/>
      <w:r>
        <w:lastRenderedPageBreak/>
        <w:t>Economics</w:t>
      </w:r>
      <w:bookmarkEnd w:id="112"/>
      <w:bookmarkEnd w:id="113"/>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4" w:name="_Toc313431225"/>
      <w:r>
        <w:t>Dollars</w:t>
      </w:r>
      <w:bookmarkEnd w:id="114"/>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5" w:name="_Toc313431226"/>
      <w:r>
        <w:t>Sectors</w:t>
      </w:r>
      <w:bookmarkEnd w:id="115"/>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6" w:name="_Toc313431227"/>
      <w:r>
        <w:t>Shape vs. Size</w:t>
      </w:r>
      <w:bookmarkEnd w:id="116"/>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7" w:name="_Toc313431228"/>
      <w:r>
        <w:t>Economic Outputs</w:t>
      </w:r>
      <w:bookmarkEnd w:id="117"/>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18" w:name="_Toc313431229"/>
      <w:r>
        <w:t xml:space="preserve">Neighborhood </w:t>
      </w:r>
      <w:r w:rsidR="00216293">
        <w:t>Aggregation/</w:t>
      </w:r>
      <w:r>
        <w:t>Disaggregation</w:t>
      </w:r>
      <w:bookmarkEnd w:id="118"/>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9" w:name="_Toc313431230"/>
      <w:r>
        <w:t>Neighborhood Aggregation</w:t>
      </w:r>
      <w:bookmarkEnd w:id="119"/>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0" w:name="_Toc313431231"/>
      <w:r>
        <w:t>Neighborhood Disaggregation</w:t>
      </w:r>
      <w:bookmarkEnd w:id="120"/>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820E3">
      <w:pPr>
        <w:pStyle w:val="Heading3"/>
      </w:pPr>
      <w:bookmarkStart w:id="121" w:name="_Toc313431232"/>
      <w:r>
        <w:t>Ways to Affect the Economy</w:t>
      </w:r>
      <w:bookmarkEnd w:id="121"/>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2" w:name="_Toc313431233"/>
      <w:r>
        <w:t>Effects of the Economy</w:t>
      </w:r>
      <w:bookmarkEnd w:id="122"/>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3" w:name="_Ref311636060"/>
      <w:bookmarkStart w:id="124" w:name="_Toc313431234"/>
      <w:r>
        <w:lastRenderedPageBreak/>
        <w:t>Information</w:t>
      </w:r>
      <w:bookmarkEnd w:id="123"/>
      <w:bookmarkEnd w:id="124"/>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5" w:name="_Toc313431235"/>
      <w:r w:rsidRPr="0051708D">
        <w:lastRenderedPageBreak/>
        <w:t>Part II: Using Athena</w:t>
      </w:r>
      <w:bookmarkEnd w:id="125"/>
    </w:p>
    <w:p w14:paraId="47493C29" w14:textId="77777777" w:rsidR="00E00631" w:rsidRDefault="00E00631" w:rsidP="00E00631"/>
    <w:p w14:paraId="5A642A1D" w14:textId="69547553" w:rsidR="00E00631" w:rsidRDefault="00E00631" w:rsidP="00E00631">
      <w:pPr>
        <w:pStyle w:val="Heading2"/>
      </w:pPr>
      <w:r>
        <w:lastRenderedPageBreak/>
        <w:t>Installation</w:t>
      </w:r>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r>
        <w:t>Starting Athena</w:t>
      </w:r>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r>
        <w:t>Athena Documentation</w:t>
      </w:r>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6" w:name="_Ref313435926"/>
      <w:r>
        <w:t>Multiple Versions of Athena</w:t>
      </w:r>
      <w:bookmarkEnd w:id="126"/>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r>
        <w:lastRenderedPageBreak/>
        <w:t xml:space="preserve">Using </w:t>
      </w:r>
      <w:r w:rsidR="007853DF">
        <w:t xml:space="preserve">the </w:t>
      </w:r>
      <w:r>
        <w:t>Athena</w:t>
      </w:r>
      <w:r w:rsidR="007853DF">
        <w:t xml:space="preserve"> Application</w:t>
      </w:r>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r w:rsidRPr="00E00631">
        <w:t>Athena</w:t>
      </w:r>
      <w:r w:rsidR="002820E3">
        <w:t xml:space="preserve"> Scenario Files</w:t>
      </w:r>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t>9.4</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r>
        <w:t>Athena Workflow</w:t>
      </w:r>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r>
        <w:t>Scenario Mode vs. Simulation Mode</w:t>
      </w:r>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r>
        <w:t>Viewing Athena Results</w:t>
      </w:r>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r>
        <w:t>Athena Scripting</w:t>
      </w:r>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r>
        <w:t>Executive Commands</w:t>
      </w:r>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r>
        <w:t>The Athena Command Line</w:t>
      </w:r>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r>
        <w:t>Executive Command Scripts</w:t>
      </w:r>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r>
        <w:t>Scenario Scripts</w:t>
      </w:r>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27" w:name="_Ref313540719"/>
      <w:r>
        <w:t>Batch Mode</w:t>
      </w:r>
      <w:bookmarkEnd w:id="127"/>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r>
        <w:t>Invoking Athena in Batch Mode</w:t>
      </w:r>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r>
        <w:t>Simulation Control</w:t>
      </w:r>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r>
        <w:t>Simulation Results</w:t>
      </w:r>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2B394F3B" w14:textId="77777777" w:rsidR="00D0709E" w:rsidRDefault="00D0709E" w:rsidP="00D0709E"/>
    <w:p w14:paraId="6214C3B6" w14:textId="2A02120A" w:rsidR="00D0709E" w:rsidRDefault="00D0709E" w:rsidP="00D0709E">
      <w:pPr>
        <w:pStyle w:val="Heading2"/>
      </w:pPr>
      <w:r>
        <w:lastRenderedPageBreak/>
        <w:t>The Athena User Interface</w:t>
      </w:r>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28" w:name="_Ref314038989"/>
      <w:r>
        <w:lastRenderedPageBreak/>
        <w:t>Creating an Athena Scenario</w:t>
      </w:r>
      <w:bookmarkEnd w:id="128"/>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r>
        <w:t>The Actors</w:t>
      </w:r>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w:t>
      </w:r>
      <w:proofErr w:type="gramStart"/>
      <w:r>
        <w:t xml:space="preserve">: </w:t>
      </w:r>
      <w:proofErr w:type="gramEnd"/>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r>
        <w:t>The Map</w:t>
      </w:r>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r>
        <w:t>The Neighborhoods</w:t>
      </w:r>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w:t>
      </w:r>
      <w:proofErr w:type="gramStart"/>
      <w:r>
        <w:t xml:space="preserve">: </w:t>
      </w:r>
      <w:proofErr w:type="gramEnd"/>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r>
        <w:lastRenderedPageBreak/>
        <w:t>Neighborhood Proximities</w:t>
      </w:r>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7D6086">
      <w:pPr>
        <w:pStyle w:val="ListParagraph"/>
        <w:numPr>
          <w:ilvl w:val="0"/>
          <w:numId w:val="49"/>
        </w:numPr>
      </w:pPr>
      <w:r>
        <w:t xml:space="preserve">If your neighborhoods are small, then neighborhood will more often be </w:t>
      </w:r>
      <w:r>
        <w:rPr>
          <w:b/>
        </w:rPr>
        <w:t>NEAR</w:t>
      </w:r>
      <w:r>
        <w:t xml:space="preserve"> each other.</w:t>
      </w:r>
    </w:p>
    <w:p w14:paraId="49DDFB81" w14:textId="370790E5" w:rsidR="007D6086" w:rsidRDefault="007D6086" w:rsidP="007D6086">
      <w:pPr>
        <w:pStyle w:val="ListParagraph"/>
        <w:numPr>
          <w:ilvl w:val="0"/>
          <w:numId w:val="49"/>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w:t>
      </w:r>
      <w:proofErr w:type="gramStart"/>
      <w:r>
        <w:t xml:space="preserve">: </w:t>
      </w:r>
      <w:proofErr w:type="gramEnd"/>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r>
        <w:t>Civilian Groups</w:t>
      </w:r>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F11921">
      <w:pPr>
        <w:pStyle w:val="ListParagraph"/>
        <w:numPr>
          <w:ilvl w:val="0"/>
          <w:numId w:val="50"/>
        </w:numPr>
      </w:pPr>
      <w:r>
        <w:t xml:space="preserve">Belief systems are </w:t>
      </w:r>
      <w:proofErr w:type="gramStart"/>
      <w:r>
        <w:t>key</w:t>
      </w:r>
      <w:proofErr w:type="gramEnd"/>
      <w:r>
        <w:t>.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F11921">
      <w:pPr>
        <w:pStyle w:val="ListParagraph"/>
        <w:numPr>
          <w:ilvl w:val="0"/>
          <w:numId w:val="50"/>
        </w:numPr>
      </w:pPr>
      <w:r>
        <w:t xml:space="preserve">Each group resides in a single neighborhood.  If you wish to have the same </w:t>
      </w:r>
      <w:proofErr w:type="gramStart"/>
      <w:r>
        <w:t>group reside</w:t>
      </w:r>
      <w:proofErr w:type="gramEnd"/>
      <w:r>
        <w:t xml:space="preserv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F11921">
      <w:pPr>
        <w:pStyle w:val="ListParagraph"/>
        <w:numPr>
          <w:ilvl w:val="0"/>
          <w:numId w:val="50"/>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w:t>
      </w:r>
      <w:proofErr w:type="gramStart"/>
      <w:r>
        <w:t xml:space="preserve">: </w:t>
      </w:r>
      <w:proofErr w:type="gramEnd"/>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r>
        <w:t>Force Groups</w:t>
      </w:r>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proofErr w:type="gramStart"/>
      <w:r w:rsidR="00642AE2">
        <w:t>:</w:t>
      </w:r>
      <w:r>
        <w:t xml:space="preserve"> </w:t>
      </w:r>
      <w:proofErr w:type="gramEnd"/>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r>
        <w:lastRenderedPageBreak/>
        <w:t>Organization Groups</w:t>
      </w:r>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w:t>
      </w:r>
      <w:proofErr w:type="spellStart"/>
      <w:r>
        <w:rPr>
          <w:b/>
        </w:rPr>
        <w:t>OrgGroups</w:t>
      </w:r>
      <w:proofErr w:type="spellEnd"/>
      <w:r>
        <w:t xml:space="preserve"> tab, and press the Add Organization Group button</w:t>
      </w:r>
      <w:proofErr w:type="gramStart"/>
      <w:r>
        <w:t xml:space="preserve">: </w:t>
      </w:r>
      <w:proofErr w:type="gramEnd"/>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r>
        <w:t>Belief Systems</w:t>
      </w:r>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r>
        <w:t>Define the Topics</w:t>
      </w:r>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r>
        <w:t>Define the Beliefs</w:t>
      </w:r>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 xml:space="preserve">position on a topic, a qualitative variable that ranges from Passionately For to Passionately Against, and an emphasis on </w:t>
      </w:r>
      <w:proofErr w:type="gramStart"/>
      <w:r>
        <w:t>agreement  or</w:t>
      </w:r>
      <w:proofErr w:type="gramEnd"/>
      <w:r>
        <w:t xml:space="preserve">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r>
        <w:t>Compute the Affinities</w:t>
      </w:r>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r>
        <w:t>Adjust the Affinities</w:t>
      </w:r>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F3090D">
      <w:pPr>
        <w:pStyle w:val="ListParagraph"/>
        <w:numPr>
          <w:ilvl w:val="0"/>
          <w:numId w:val="51"/>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F3090D">
      <w:pPr>
        <w:pStyle w:val="ListParagraph"/>
        <w:numPr>
          <w:ilvl w:val="0"/>
          <w:numId w:val="51"/>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F3090D">
      <w:pPr>
        <w:pStyle w:val="ListParagraph"/>
        <w:numPr>
          <w:ilvl w:val="0"/>
          <w:numId w:val="51"/>
        </w:numPr>
      </w:pPr>
      <w:r>
        <w:t xml:space="preserve">Use the </w:t>
      </w:r>
      <w:r>
        <w:rPr>
          <w:b/>
        </w:rPr>
        <w:t>Playbox Commonality</w:t>
      </w:r>
      <w:r>
        <w:t xml:space="preserve"> slider to adjust the degree of cultural </w:t>
      </w:r>
      <w:proofErr w:type="gramStart"/>
      <w:r>
        <w:t>commonality  in</w:t>
      </w:r>
      <w:proofErr w:type="gramEnd"/>
      <w:r>
        <w:t xml:space="preserve">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F3090D">
      <w:pPr>
        <w:pStyle w:val="ListParagraph"/>
        <w:numPr>
          <w:ilvl w:val="0"/>
          <w:numId w:val="51"/>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r>
        <w:t>Horizontal Relationships</w:t>
      </w:r>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w:t>
      </w:r>
      <w:proofErr w:type="gramStart"/>
      <w:r>
        <w:t xml:space="preserve">, </w:t>
      </w:r>
      <w:proofErr w:type="gramEnd"/>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r>
        <w:t>Group Satisfaction</w:t>
      </w:r>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w:t>
      </w:r>
      <w:r>
        <w:t>Edit button</w:t>
      </w:r>
      <w:proofErr w:type="gramStart"/>
      <w:r>
        <w:t xml:space="preserve">, </w:t>
      </w:r>
      <w:proofErr w:type="gramEnd"/>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t>13.6</w:t>
      </w:r>
      <w:r>
        <w:fldChar w:fldCharType="end"/>
      </w:r>
      <w:r>
        <w:t xml:space="preserve"> for a detailed description of the attributes of a satisfaction level.</w:t>
      </w:r>
    </w:p>
    <w:p w14:paraId="24819EFD" w14:textId="67FDDE1A" w:rsidR="00F11921" w:rsidRDefault="00F11921" w:rsidP="00F11921">
      <w:pPr>
        <w:pStyle w:val="Heading3"/>
      </w:pPr>
      <w:r>
        <w:t>Group Cooperation</w:t>
      </w:r>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w:t>
      </w:r>
      <w:r>
        <w:t>cooperation</w:t>
      </w:r>
      <w:r>
        <w:t xml:space="preserve"> level, go to the </w:t>
      </w:r>
      <w:r>
        <w:rPr>
          <w:b/>
        </w:rPr>
        <w:t>Attitudes/</w:t>
      </w:r>
      <w:r>
        <w:rPr>
          <w:b/>
        </w:rPr>
        <w:t>Cooperation</w:t>
      </w:r>
      <w:r>
        <w:t xml:space="preserve"> tab and select the co</w:t>
      </w:r>
      <w:r>
        <w:t xml:space="preserve">operation curve </w:t>
      </w:r>
      <w:r>
        <w:t>in the browser.  Press the Edit button</w:t>
      </w:r>
      <w:proofErr w:type="gramStart"/>
      <w:r>
        <w:t xml:space="preserve">, </w:t>
      </w:r>
      <w:proofErr w:type="gramEnd"/>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6652B2">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r>
        <w:t>Status Quo Deployments</w:t>
      </w:r>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w:t>
      </w:r>
      <w:r>
        <w:t>Press the Edit button</w:t>
      </w:r>
      <w:proofErr w:type="gramStart"/>
      <w:r>
        <w:t xml:space="preserve">, </w:t>
      </w:r>
      <w:proofErr w:type="gramEnd"/>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w:t>
      </w:r>
      <w:r>
        <w:t>number of personnel</w:t>
      </w:r>
      <w:r>
        <w:t xml:space="preserve"> in the resulting dialog.</w:t>
      </w:r>
    </w:p>
    <w:p w14:paraId="2563C94B" w14:textId="77777777" w:rsidR="00F11921" w:rsidRDefault="00F11921" w:rsidP="00F11921"/>
    <w:p w14:paraId="7F46BFB8" w14:textId="7DBCB360" w:rsidR="00F11921" w:rsidRDefault="00F11921" w:rsidP="00F11921">
      <w:pPr>
        <w:pStyle w:val="Heading3"/>
      </w:pPr>
      <w:r>
        <w:t>Status Quo ENI Funding</w:t>
      </w:r>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w:t>
      </w:r>
      <w:r>
        <w:t>Press the Edit button</w:t>
      </w:r>
      <w:proofErr w:type="gramStart"/>
      <w:r>
        <w:t xml:space="preserve">, </w:t>
      </w:r>
      <w:proofErr w:type="gramEnd"/>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w:t>
      </w:r>
      <w:r>
        <w:t>level of funding</w:t>
      </w:r>
      <w:r>
        <w:t xml:space="preserve"> in the resulting dialog.</w:t>
      </w:r>
      <w:r>
        <w:t xml:space="preserve">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r>
        <w:t>Environmental Situations</w:t>
      </w:r>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w:t>
      </w:r>
      <w:proofErr w:type="gramStart"/>
      <w:r>
        <w:t xml:space="preserve">: </w:t>
      </w:r>
      <w:proofErr w:type="gramEnd"/>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7E0F24">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r>
        <w:t>Strategies</w:t>
      </w:r>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3F2067">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3F2067">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r>
        <w:t xml:space="preserve">The Role of </w:t>
      </w:r>
      <w:r w:rsidR="00952064">
        <w:t>an Actor’s</w:t>
      </w:r>
      <w:r>
        <w:t xml:space="preserve"> Strategy</w:t>
      </w:r>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r>
        <w:t>Order Matters</w:t>
      </w:r>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r>
        <w:t>Use of Goals</w:t>
      </w:r>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w:t>
      </w:r>
      <w:bookmarkStart w:id="129" w:name="_GoBack"/>
      <w:bookmarkEnd w:id="129"/>
      <w:r>
        <w:t xml:space="preserve"> </w:t>
      </w:r>
    </w:p>
    <w:p w14:paraId="6D6B9E36" w14:textId="54A1617F" w:rsidR="00E00631" w:rsidRDefault="00E00631" w:rsidP="00E00631">
      <w:pPr>
        <w:pStyle w:val="Heading1"/>
      </w:pPr>
      <w:r>
        <w:lastRenderedPageBreak/>
        <w:t>Part III: Athena Cookbook</w:t>
      </w:r>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proofErr w:type="gramStart"/>
      <w:r>
        <w:t>often</w:t>
      </w:r>
      <w:proofErr w:type="gramEnd"/>
      <w:r>
        <w:t xml:space="preserve"> with step-by-step procedures, </w:t>
      </w:r>
    </w:p>
    <w:p w14:paraId="03B1B433" w14:textId="4C2E15DE" w:rsidR="00E00631" w:rsidRPr="00E00631" w:rsidRDefault="00173821" w:rsidP="00E00631">
      <w:pPr>
        <w:jc w:val="center"/>
      </w:pPr>
      <w:proofErr w:type="gramStart"/>
      <w:r>
        <w:t>for</w:t>
      </w:r>
      <w:proofErr w:type="gramEnd"/>
      <w:r>
        <w:t xml:space="preserve"> how to achieve particular results in Athena.</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r>
        <w:lastRenderedPageBreak/>
        <w:t>Part IV: Reference</w:t>
      </w:r>
    </w:p>
    <w:p w14:paraId="67AA72D6" w14:textId="77777777" w:rsidR="00E00631" w:rsidRDefault="00E00631" w:rsidP="00E00631"/>
    <w:p w14:paraId="14098D6F" w14:textId="4EAD763E" w:rsidR="002E1BA8" w:rsidRDefault="002E1BA8" w:rsidP="00E00631">
      <w:pPr>
        <w:pStyle w:val="Heading2"/>
      </w:pPr>
      <w:r>
        <w:lastRenderedPageBreak/>
        <w:t>Athena Objects</w:t>
      </w:r>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2E1BA8">
      <w:pPr>
        <w:pStyle w:val="Heading3"/>
      </w:pPr>
      <w:bookmarkStart w:id="130" w:name="_Ref314040509"/>
      <w:r>
        <w:t>Neighborhoods</w:t>
      </w:r>
      <w:bookmarkEnd w:id="130"/>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14:paraId="599EAD84" w14:textId="77777777" w:rsidTr="005B7C5B">
        <w:trPr>
          <w:cantSplit/>
          <w:tblHeader/>
        </w:trPr>
        <w:tc>
          <w:tcPr>
            <w:tcW w:w="2718" w:type="dxa"/>
            <w:shd w:val="clear" w:color="auto" w:fill="000000" w:themeFill="text1"/>
          </w:tcPr>
          <w:p w14:paraId="5863C0BB" w14:textId="15AFFAA9" w:rsidR="002E1BA8" w:rsidRDefault="002E1BA8" w:rsidP="002E1BA8">
            <w:r>
              <w:t>Attribute</w:t>
            </w:r>
          </w:p>
        </w:tc>
        <w:tc>
          <w:tcPr>
            <w:tcW w:w="7218" w:type="dxa"/>
            <w:shd w:val="clear" w:color="auto" w:fill="000000" w:themeFill="text1"/>
          </w:tcPr>
          <w:p w14:paraId="05E5BD60" w14:textId="1B2FF39F" w:rsidR="002E1BA8" w:rsidRDefault="002E1BA8" w:rsidP="002E1BA8">
            <w:r>
              <w:t>Description</w:t>
            </w:r>
          </w:p>
        </w:tc>
      </w:tr>
      <w:tr w:rsidR="002E1BA8" w14:paraId="7A00B819" w14:textId="77777777" w:rsidTr="005B7C5B">
        <w:trPr>
          <w:cantSplit/>
        </w:trPr>
        <w:tc>
          <w:tcPr>
            <w:tcW w:w="2718" w:type="dxa"/>
          </w:tcPr>
          <w:p w14:paraId="0CC38859" w14:textId="44526C90" w:rsidR="002E1BA8" w:rsidRDefault="002E1BA8" w:rsidP="002E1BA8">
            <w:r>
              <w:t>Neighborhood ID</w:t>
            </w:r>
          </w:p>
          <w:p w14:paraId="37739026" w14:textId="291BACED" w:rsidR="002E1BA8" w:rsidRDefault="002E1BA8" w:rsidP="002E1BA8">
            <w:r>
              <w:t>(</w:t>
            </w:r>
            <w:r w:rsidRPr="002E1BA8">
              <w:rPr>
                <w:rFonts w:ascii="Courier New" w:hAnsi="Courier New" w:cs="Courier New"/>
              </w:rPr>
              <w:t>n</w:t>
            </w:r>
            <w:r>
              <w:t>)</w:t>
            </w:r>
          </w:p>
        </w:tc>
        <w:tc>
          <w:tcPr>
            <w:tcW w:w="7218" w:type="dxa"/>
          </w:tcPr>
          <w:p w14:paraId="676DCA8F" w14:textId="7A2F9AD1" w:rsidR="002E1BA8" w:rsidRDefault="002E1BA8" w:rsidP="002E1BA8">
            <w:r>
              <w:t>The neighborhood ID, a unique string used to identify this neighborhood.  It should be short, and may consist of capital letters and digits</w:t>
            </w:r>
            <w:r w:rsidR="005B7C5B">
              <w:t>.  It must be distinct from all other entity IDs used in the scenario (e.g., group IDs).</w:t>
            </w:r>
          </w:p>
        </w:tc>
      </w:tr>
      <w:tr w:rsidR="002E1BA8" w14:paraId="1C471326" w14:textId="77777777" w:rsidTr="005B7C5B">
        <w:trPr>
          <w:cantSplit/>
        </w:trPr>
        <w:tc>
          <w:tcPr>
            <w:tcW w:w="2718" w:type="dxa"/>
          </w:tcPr>
          <w:p w14:paraId="0F533EBD" w14:textId="079A810D" w:rsidR="002E1BA8" w:rsidRDefault="005B7C5B" w:rsidP="002E1BA8">
            <w:r>
              <w:t>Long Name</w:t>
            </w:r>
          </w:p>
          <w:p w14:paraId="08A3835B" w14:textId="0077E5E4" w:rsidR="005B7C5B" w:rsidRDefault="005B7C5B" w:rsidP="002E1BA8">
            <w:r>
              <w:t>(</w:t>
            </w:r>
            <w:proofErr w:type="spellStart"/>
            <w:r w:rsidR="00A01BC9">
              <w:rPr>
                <w:rFonts w:ascii="Courier New" w:hAnsi="Courier New" w:cs="Courier New"/>
              </w:rPr>
              <w:t>long</w:t>
            </w:r>
            <w:r w:rsidRPr="005B7C5B">
              <w:rPr>
                <w:rFonts w:ascii="Courier New" w:hAnsi="Courier New" w:cs="Courier New"/>
              </w:rPr>
              <w:t>name</w:t>
            </w:r>
            <w:proofErr w:type="spellEnd"/>
            <w:r>
              <w:t>)</w:t>
            </w:r>
          </w:p>
        </w:tc>
        <w:tc>
          <w:tcPr>
            <w:tcW w:w="7218" w:type="dxa"/>
          </w:tcPr>
          <w:p w14:paraId="03F2FFAC" w14:textId="7439C464" w:rsidR="002E1BA8" w:rsidRDefault="005B7C5B" w:rsidP="002E1BA8">
            <w:r>
              <w:t>A longer, human-readable name for use in reports and other output; it may also be used to document the precise meaning of the neighborhood ID, which might otherwise be cryptic.</w:t>
            </w:r>
          </w:p>
        </w:tc>
      </w:tr>
      <w:tr w:rsidR="002E1BA8" w14:paraId="28E5F1D8" w14:textId="77777777" w:rsidTr="005B7C5B">
        <w:trPr>
          <w:cantSplit/>
        </w:trPr>
        <w:tc>
          <w:tcPr>
            <w:tcW w:w="2718" w:type="dxa"/>
          </w:tcPr>
          <w:p w14:paraId="3AC910EF" w14:textId="77777777" w:rsidR="002E1BA8" w:rsidRDefault="005B7C5B" w:rsidP="002E1BA8">
            <w:r>
              <w:t>Local Neighborhood?</w:t>
            </w:r>
          </w:p>
          <w:p w14:paraId="6DB64BFA" w14:textId="4E9B823B" w:rsidR="005B7C5B" w:rsidRDefault="005B7C5B" w:rsidP="002E1BA8">
            <w:r>
              <w:t>(</w:t>
            </w:r>
            <w:r w:rsidRPr="005B7C5B">
              <w:rPr>
                <w:rFonts w:ascii="Courier New" w:hAnsi="Courier New" w:cs="Courier New"/>
              </w:rPr>
              <w:t>local</w:t>
            </w:r>
            <w:r>
              <w:t>)</w:t>
            </w:r>
          </w:p>
        </w:tc>
        <w:tc>
          <w:tcPr>
            <w:tcW w:w="7218" w:type="dxa"/>
          </w:tcPr>
          <w:p w14:paraId="058DB859" w14:textId="5693EBB1" w:rsidR="002E1BA8" w:rsidRDefault="005B7C5B" w:rsidP="005B7C5B">
            <w:r>
              <w:t xml:space="preserve">A flag that indicates whether or not this neighborhood is part of the local economy described in Section </w:t>
            </w:r>
            <w:r>
              <w:fldChar w:fldCharType="begin"/>
            </w:r>
            <w:r>
              <w:instrText xml:space="preserve"> REF _Ref311700057 \r \h </w:instrText>
            </w:r>
            <w:r>
              <w:fldChar w:fldCharType="separate"/>
            </w:r>
            <w:r>
              <w:t>7</w:t>
            </w:r>
            <w:r>
              <w:fldChar w:fldCharType="end"/>
            </w:r>
            <w:r>
              <w:t>.  Local neighborhoods contribute consumers, workers, and production capacity to the local economy; non-local neighborhoods do not.</w:t>
            </w:r>
          </w:p>
        </w:tc>
      </w:tr>
      <w:tr w:rsidR="002E1BA8" w14:paraId="4E7C6809" w14:textId="77777777" w:rsidTr="005B7C5B">
        <w:trPr>
          <w:cantSplit/>
        </w:trPr>
        <w:tc>
          <w:tcPr>
            <w:tcW w:w="2718" w:type="dxa"/>
          </w:tcPr>
          <w:p w14:paraId="3CAA563D" w14:textId="6DBB2A17" w:rsidR="002E1BA8" w:rsidRDefault="005B7C5B" w:rsidP="002E1BA8">
            <w:r>
              <w:t>Urbanization</w:t>
            </w:r>
          </w:p>
          <w:p w14:paraId="187BB833" w14:textId="0965CD15" w:rsidR="005B7C5B" w:rsidRDefault="005B7C5B" w:rsidP="002E1BA8">
            <w:r>
              <w:t>(</w:t>
            </w:r>
            <w:r w:rsidRPr="005B7C5B">
              <w:rPr>
                <w:rFonts w:ascii="Courier New" w:hAnsi="Courier New" w:cs="Courier New"/>
              </w:rPr>
              <w:t>urbanization</w:t>
            </w:r>
            <w:r>
              <w:t>)</w:t>
            </w:r>
          </w:p>
        </w:tc>
        <w:tc>
          <w:tcPr>
            <w:tcW w:w="7218" w:type="dxa"/>
          </w:tcPr>
          <w:p w14:paraId="5D563000" w14:textId="4A4B20C9" w:rsidR="002E1BA8" w:rsidRPr="005B7C5B" w:rsidRDefault="005B7C5B" w:rsidP="002E1BA8">
            <w:r>
              <w:t xml:space="preserve">The urbanization of the neighborhood: one of </w:t>
            </w:r>
            <w:r>
              <w:rPr>
                <w:b/>
              </w:rPr>
              <w:t>Urban</w:t>
            </w:r>
            <w:r>
              <w:t xml:space="preserve">, </w:t>
            </w:r>
            <w:r>
              <w:rPr>
                <w:b/>
              </w:rPr>
              <w:t>Suburban</w:t>
            </w:r>
            <w:r>
              <w:t xml:space="preserve">, </w:t>
            </w:r>
            <w:r>
              <w:rPr>
                <w:b/>
              </w:rPr>
              <w:t>Rural</w:t>
            </w:r>
            <w:r>
              <w:t xml:space="preserve">, or </w:t>
            </w:r>
            <w:r>
              <w:rPr>
                <w:b/>
              </w:rPr>
              <w:t>Isolated</w:t>
            </w:r>
            <w:r>
              <w:t xml:space="preserve">.  Urbanization affects the attrition model (Section </w:t>
            </w:r>
            <w:r>
              <w:fldChar w:fldCharType="begin"/>
            </w:r>
            <w:r>
              <w:instrText xml:space="preserve"> REF _Ref185647255 \r \h </w:instrText>
            </w:r>
            <w:r>
              <w:fldChar w:fldCharType="separate"/>
            </w:r>
            <w:r>
              <w:t>3.12</w:t>
            </w:r>
            <w:r>
              <w:fldChar w:fldCharType="end"/>
            </w:r>
            <w:r>
              <w:t xml:space="preserve">) and the ENI Services model (Section </w:t>
            </w:r>
            <w:r>
              <w:fldChar w:fldCharType="begin"/>
            </w:r>
            <w:r>
              <w:instrText xml:space="preserve"> REF _Ref185650440 \r \h </w:instrText>
            </w:r>
            <w:r>
              <w:fldChar w:fldCharType="separate"/>
            </w:r>
            <w:r>
              <w:t>3.13</w:t>
            </w:r>
            <w:r>
              <w:fldChar w:fldCharType="end"/>
            </w:r>
            <w:r>
              <w:t>).</w:t>
            </w:r>
          </w:p>
        </w:tc>
      </w:tr>
      <w:tr w:rsidR="005B7C5B" w14:paraId="1C6ADF1F" w14:textId="77777777" w:rsidTr="005B7C5B">
        <w:trPr>
          <w:cantSplit/>
        </w:trPr>
        <w:tc>
          <w:tcPr>
            <w:tcW w:w="2718" w:type="dxa"/>
          </w:tcPr>
          <w:p w14:paraId="7F84832D" w14:textId="19A95FAC" w:rsidR="005B7C5B" w:rsidRDefault="005B7C5B" w:rsidP="002E1BA8">
            <w:r>
              <w:t>Controller</w:t>
            </w:r>
          </w:p>
          <w:p w14:paraId="7A9A7B4A" w14:textId="11C7F95E" w:rsidR="005B7C5B" w:rsidRDefault="005B7C5B" w:rsidP="002E1BA8">
            <w:r>
              <w:t>(</w:t>
            </w:r>
            <w:r w:rsidRPr="005B7C5B">
              <w:rPr>
                <w:rFonts w:ascii="Courier New" w:hAnsi="Courier New" w:cs="Courier New"/>
              </w:rPr>
              <w:t>controller</w:t>
            </w:r>
            <w:r>
              <w:t>)</w:t>
            </w:r>
          </w:p>
        </w:tc>
        <w:tc>
          <w:tcPr>
            <w:tcW w:w="7218" w:type="dxa"/>
          </w:tcPr>
          <w:p w14:paraId="1378CD5B" w14:textId="2336E2EC" w:rsidR="005B7C5B" w:rsidRDefault="005B7C5B" w:rsidP="002E1BA8">
            <w:r>
              <w:t>The ID of the actor in control of this neighborhood prior to the start of the simulation (if any).  As the simulation runs, the actor in control of the neighborhood may change.</w:t>
            </w:r>
          </w:p>
        </w:tc>
      </w:tr>
      <w:tr w:rsidR="005B7C5B" w14:paraId="47DB0F73" w14:textId="77777777" w:rsidTr="005B7C5B">
        <w:trPr>
          <w:cantSplit/>
        </w:trPr>
        <w:tc>
          <w:tcPr>
            <w:tcW w:w="2718" w:type="dxa"/>
          </w:tcPr>
          <w:p w14:paraId="3350C72B" w14:textId="3CF59124" w:rsidR="005B7C5B" w:rsidRDefault="00BC67F0" w:rsidP="002E1BA8">
            <w:r>
              <w:lastRenderedPageBreak/>
              <w:t>Volatility Gain</w:t>
            </w:r>
          </w:p>
          <w:p w14:paraId="7E527B73" w14:textId="33CDE7B9" w:rsidR="00BC67F0" w:rsidRDefault="00BC67F0" w:rsidP="002E1BA8">
            <w:r>
              <w:t>(</w:t>
            </w:r>
            <w:proofErr w:type="spellStart"/>
            <w:r w:rsidRPr="00BC67F0">
              <w:rPr>
                <w:rFonts w:ascii="Courier New" w:hAnsi="Courier New" w:cs="Courier New"/>
              </w:rPr>
              <w:t>vtygain</w:t>
            </w:r>
            <w:proofErr w:type="spellEnd"/>
            <w:r>
              <w:t>)</w:t>
            </w:r>
          </w:p>
        </w:tc>
        <w:tc>
          <w:tcPr>
            <w:tcW w:w="7218" w:type="dxa"/>
          </w:tcPr>
          <w:p w14:paraId="4719F3D3" w14:textId="77777777" w:rsidR="005B7C5B" w:rsidRDefault="00BC67F0" w:rsidP="002E1BA8">
            <w:r>
              <w:t xml:space="preserve">A gain control on the volatility of the </w:t>
            </w:r>
            <w:proofErr w:type="gramStart"/>
            <w:r>
              <w:t>neighborhood,</w:t>
            </w:r>
            <w:proofErr w:type="gramEnd"/>
            <w: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Default="00BC67F0" w:rsidP="002E1BA8"/>
          <w:p w14:paraId="3D56D94C" w14:textId="3F4325B6" w:rsidR="00BC67F0" w:rsidRDefault="00BC67F0" w:rsidP="00BC67F0">
            <w:r>
              <w:t>Thus, this control can be used to tweak the security of neighborhoods that are known to be more or less peaceful than one would expect.</w:t>
            </w:r>
          </w:p>
        </w:tc>
      </w:tr>
      <w:tr w:rsidR="005B7C5B" w14:paraId="31E8094A" w14:textId="77777777" w:rsidTr="005B7C5B">
        <w:trPr>
          <w:cantSplit/>
        </w:trPr>
        <w:tc>
          <w:tcPr>
            <w:tcW w:w="2718" w:type="dxa"/>
          </w:tcPr>
          <w:p w14:paraId="0E0A7EE7" w14:textId="43B317D8" w:rsidR="005B7C5B" w:rsidRDefault="00BC67F0" w:rsidP="002E1BA8">
            <w:r>
              <w:t>Polygon</w:t>
            </w:r>
          </w:p>
          <w:p w14:paraId="78BAE7BC" w14:textId="48A68E96" w:rsidR="00BC67F0" w:rsidRDefault="00BC67F0" w:rsidP="002E1BA8">
            <w:r>
              <w:t>(</w:t>
            </w:r>
            <w:r w:rsidRPr="00BC67F0">
              <w:rPr>
                <w:rFonts w:ascii="Courier New" w:hAnsi="Courier New" w:cs="Courier New"/>
              </w:rPr>
              <w:t>polygon</w:t>
            </w:r>
            <w:r>
              <w:t>)</w:t>
            </w:r>
          </w:p>
        </w:tc>
        <w:tc>
          <w:tcPr>
            <w:tcW w:w="7218" w:type="dxa"/>
          </w:tcPr>
          <w:p w14:paraId="3558FCD3" w14:textId="4887B533" w:rsidR="005B7C5B" w:rsidRDefault="00BC67F0" w:rsidP="00BC67F0">
            <w:r>
              <w:t>The neighborhood’s border, expressed as a list of map coordinates.</w:t>
            </w:r>
          </w:p>
        </w:tc>
      </w:tr>
      <w:tr w:rsidR="005B7C5B" w14:paraId="0225CF0B" w14:textId="77777777" w:rsidTr="005B7C5B">
        <w:trPr>
          <w:cantSplit/>
        </w:trPr>
        <w:tc>
          <w:tcPr>
            <w:tcW w:w="2718" w:type="dxa"/>
          </w:tcPr>
          <w:p w14:paraId="0CB415BC" w14:textId="73B283D8" w:rsidR="005B7C5B" w:rsidRDefault="00BC67F0" w:rsidP="002E1BA8">
            <w:r>
              <w:t>Reference Point</w:t>
            </w:r>
          </w:p>
          <w:p w14:paraId="2DB91F2B" w14:textId="110ECBEE" w:rsidR="00BC67F0" w:rsidRDefault="00BC67F0" w:rsidP="002E1BA8">
            <w:r>
              <w:t>(</w:t>
            </w:r>
            <w:proofErr w:type="spellStart"/>
            <w:r w:rsidRPr="00BC67F0">
              <w:rPr>
                <w:rFonts w:ascii="Courier New" w:hAnsi="Courier New" w:cs="Courier New"/>
              </w:rPr>
              <w:t>refpoint</w:t>
            </w:r>
            <w:proofErr w:type="spellEnd"/>
            <w:r>
              <w:t>)</w:t>
            </w:r>
          </w:p>
        </w:tc>
        <w:tc>
          <w:tcPr>
            <w:tcW w:w="7218" w:type="dxa"/>
          </w:tcPr>
          <w:p w14:paraId="31ED92CF" w14:textId="2D808CEB" w:rsidR="005B7C5B" w:rsidRDefault="00BC67F0" w:rsidP="002E1BA8">
            <w:r>
              <w:t>The neighborhood’s reference point—a point that is known to be within the neighborhood.  The software uses this point to detect improperly overlapping or nested neighborhoods, and also as a safe place to position icons relative to the polygon.</w:t>
            </w:r>
          </w:p>
        </w:tc>
      </w:tr>
      <w:tr w:rsidR="000A6638" w14:paraId="47591287" w14:textId="77777777" w:rsidTr="005B7C5B">
        <w:trPr>
          <w:cantSplit/>
        </w:trPr>
        <w:tc>
          <w:tcPr>
            <w:tcW w:w="2718" w:type="dxa"/>
          </w:tcPr>
          <w:p w14:paraId="17512390" w14:textId="1ECE1365" w:rsidR="000A6638" w:rsidRDefault="000A6638" w:rsidP="002E1BA8">
            <w:r>
              <w:t>Stacking Order</w:t>
            </w:r>
          </w:p>
          <w:p w14:paraId="724EA370" w14:textId="62CAD97D" w:rsidR="000A6638" w:rsidRDefault="000A6638" w:rsidP="002E1BA8">
            <w:r>
              <w:t>(</w:t>
            </w:r>
            <w:proofErr w:type="spellStart"/>
            <w:r w:rsidRPr="000A6638">
              <w:rPr>
                <w:rFonts w:ascii="Courier New" w:hAnsi="Courier New" w:cs="Courier New"/>
              </w:rPr>
              <w:t>stacking_order</w:t>
            </w:r>
            <w:proofErr w:type="spellEnd"/>
            <w:r>
              <w:t>)</w:t>
            </w:r>
          </w:p>
        </w:tc>
        <w:tc>
          <w:tcPr>
            <w:tcW w:w="7218" w:type="dxa"/>
          </w:tcPr>
          <w:p w14:paraId="4DE0E25E" w14:textId="6F6B1EF4" w:rsidR="000A6638" w:rsidRDefault="000A6638" w:rsidP="000A6638">
            <w:r>
              <w:t>Overlapping neighborhood polygons stack like elements in a drawing program.  When a point on the map is contained is two or more neighborhood polygons, it is presumed to be in the neighborhood at the top of the stacking order.</w:t>
            </w:r>
          </w:p>
        </w:tc>
      </w:tr>
      <w:tr w:rsidR="000A6638" w14:paraId="129FCB91" w14:textId="77777777" w:rsidTr="005B7C5B">
        <w:trPr>
          <w:cantSplit/>
        </w:trPr>
        <w:tc>
          <w:tcPr>
            <w:tcW w:w="2718" w:type="dxa"/>
          </w:tcPr>
          <w:p w14:paraId="7B8F6216" w14:textId="46B2D1F7" w:rsidR="000A6638" w:rsidRDefault="000A6638" w:rsidP="002E1BA8">
            <w:r>
              <w:t>Obscured By</w:t>
            </w:r>
          </w:p>
          <w:p w14:paraId="5A3ACCA8" w14:textId="552DC0D4" w:rsidR="000A6638" w:rsidRDefault="000A6638" w:rsidP="002E1BA8">
            <w:r>
              <w:t>(</w:t>
            </w:r>
            <w:proofErr w:type="spellStart"/>
            <w:r w:rsidRPr="000A6638">
              <w:rPr>
                <w:rFonts w:ascii="Courier New" w:hAnsi="Courier New" w:cs="Courier New"/>
              </w:rPr>
              <w:t>obscured_by</w:t>
            </w:r>
            <w:proofErr w:type="spellEnd"/>
            <w:r>
              <w:t>)</w:t>
            </w:r>
          </w:p>
        </w:tc>
        <w:tc>
          <w:tcPr>
            <w:tcW w:w="7218" w:type="dxa"/>
          </w:tcPr>
          <w:p w14:paraId="1CCA2951" w14:textId="4F5B74A0" w:rsidR="000A6638" w:rsidRDefault="000A6638" w:rsidP="002E1BA8">
            <w: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A01BC9">
      <w:pPr>
        <w:pStyle w:val="Heading3"/>
      </w:pPr>
      <w:bookmarkStart w:id="131" w:name="_Ref314041752"/>
      <w:r>
        <w:t>Actors</w:t>
      </w:r>
      <w:bookmarkEnd w:id="131"/>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t>12</w:t>
      </w:r>
      <w:r>
        <w:fldChar w:fldCharType="end"/>
      </w:r>
      <w:r>
        <w:t xml:space="preserve"> and </w:t>
      </w:r>
      <w:r>
        <w:fldChar w:fldCharType="begin"/>
      </w:r>
      <w:r>
        <w:instrText xml:space="preserve"> REF _Ref313964436 \r \h </w:instrText>
      </w:r>
      <w:r>
        <w:fldChar w:fldCharType="separate"/>
      </w:r>
      <w:r>
        <w:t>13</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14:paraId="7BBB23F4" w14:textId="77777777" w:rsidTr="00052915">
        <w:trPr>
          <w:cantSplit/>
          <w:tblHeader/>
        </w:trPr>
        <w:tc>
          <w:tcPr>
            <w:tcW w:w="2718" w:type="dxa"/>
            <w:shd w:val="clear" w:color="auto" w:fill="000000" w:themeFill="text1"/>
          </w:tcPr>
          <w:p w14:paraId="3B114B18" w14:textId="77777777" w:rsidR="00A01BC9" w:rsidRDefault="00A01BC9" w:rsidP="00052915">
            <w:r>
              <w:t>Attribute</w:t>
            </w:r>
          </w:p>
        </w:tc>
        <w:tc>
          <w:tcPr>
            <w:tcW w:w="7218" w:type="dxa"/>
            <w:shd w:val="clear" w:color="auto" w:fill="000000" w:themeFill="text1"/>
          </w:tcPr>
          <w:p w14:paraId="217AB695" w14:textId="77777777" w:rsidR="00A01BC9" w:rsidRDefault="00A01BC9" w:rsidP="00052915">
            <w:r>
              <w:t>Description</w:t>
            </w:r>
          </w:p>
        </w:tc>
      </w:tr>
      <w:tr w:rsidR="00A01BC9" w14:paraId="674CDD1F" w14:textId="77777777" w:rsidTr="00052915">
        <w:trPr>
          <w:cantSplit/>
        </w:trPr>
        <w:tc>
          <w:tcPr>
            <w:tcW w:w="2718" w:type="dxa"/>
          </w:tcPr>
          <w:p w14:paraId="555F3FD3" w14:textId="0400ED6D" w:rsidR="00A01BC9" w:rsidRDefault="00A01BC9" w:rsidP="00052915">
            <w:r>
              <w:t>Actor ID</w:t>
            </w:r>
          </w:p>
          <w:p w14:paraId="422068FB" w14:textId="6A37C97C" w:rsidR="00A01BC9" w:rsidRDefault="00A01BC9" w:rsidP="00A01BC9">
            <w:r>
              <w:t>(</w:t>
            </w:r>
            <w:r>
              <w:rPr>
                <w:rFonts w:ascii="Courier New" w:hAnsi="Courier New" w:cs="Courier New"/>
              </w:rPr>
              <w:t>a</w:t>
            </w:r>
            <w:r>
              <w:t>)</w:t>
            </w:r>
          </w:p>
        </w:tc>
        <w:tc>
          <w:tcPr>
            <w:tcW w:w="7218" w:type="dxa"/>
          </w:tcPr>
          <w:p w14:paraId="70682B2A" w14:textId="4E4A8626" w:rsidR="00A01BC9" w:rsidRDefault="00A01BC9" w:rsidP="00A01BC9">
            <w:r>
              <w:t>The actor ID, a unique string used to identify this actor.  It should be short, and may consist of capital letters and digits.  It must be distinct from all other entity IDs used in the scenario (e.g., group IDs).</w:t>
            </w:r>
          </w:p>
        </w:tc>
      </w:tr>
      <w:tr w:rsidR="00A01BC9" w14:paraId="69ABC38E" w14:textId="77777777" w:rsidTr="00052915">
        <w:trPr>
          <w:cantSplit/>
        </w:trPr>
        <w:tc>
          <w:tcPr>
            <w:tcW w:w="2718" w:type="dxa"/>
          </w:tcPr>
          <w:p w14:paraId="0ACBD9A3" w14:textId="77777777" w:rsidR="00A01BC9" w:rsidRDefault="00A01BC9" w:rsidP="00052915">
            <w:r>
              <w:t>Long Name</w:t>
            </w:r>
          </w:p>
          <w:p w14:paraId="496900DB" w14:textId="2AD82AE3" w:rsidR="00A01BC9" w:rsidRDefault="00A01BC9" w:rsidP="00052915">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5C52A5B4" w14:textId="2E7D670B" w:rsidR="00A01BC9" w:rsidRDefault="00A01BC9" w:rsidP="00A01BC9">
            <w:r>
              <w:t>A longer, human-readable name for use in reports and other output; it may also be used to document the precise meaning of the actor ID, which might otherwise be cryptic.</w:t>
            </w:r>
          </w:p>
        </w:tc>
      </w:tr>
      <w:tr w:rsidR="00A01BC9" w14:paraId="72BBAD8B" w14:textId="77777777" w:rsidTr="00052915">
        <w:trPr>
          <w:cantSplit/>
        </w:trPr>
        <w:tc>
          <w:tcPr>
            <w:tcW w:w="2718" w:type="dxa"/>
          </w:tcPr>
          <w:p w14:paraId="7D79FE44" w14:textId="02FE8A2D" w:rsidR="00A01BC9" w:rsidRDefault="00A01BC9" w:rsidP="00052915">
            <w:r>
              <w:lastRenderedPageBreak/>
              <w:t>Supports</w:t>
            </w:r>
          </w:p>
          <w:p w14:paraId="4C1C752F" w14:textId="0E30B93E" w:rsidR="00A01BC9" w:rsidRDefault="00A01BC9" w:rsidP="00A01BC9">
            <w:r>
              <w:t>(</w:t>
            </w:r>
            <w:r>
              <w:rPr>
                <w:rFonts w:ascii="Courier New" w:hAnsi="Courier New" w:cs="Courier New"/>
              </w:rPr>
              <w:t>supports</w:t>
            </w:r>
            <w:r>
              <w:t>)</w:t>
            </w:r>
          </w:p>
        </w:tc>
        <w:tc>
          <w:tcPr>
            <w:tcW w:w="7218" w:type="dxa"/>
          </w:tcPr>
          <w:p w14:paraId="5824A214" w14:textId="77777777" w:rsidR="00A01BC9" w:rsidRDefault="00A01BC9" w:rsidP="00052915">
            <w:r>
              <w:t xml:space="preserve">This attribute identifies the actor that usually receives this actor’s political support (Section </w:t>
            </w:r>
            <w:r>
              <w:fldChar w:fldCharType="begin"/>
            </w:r>
            <w:r>
              <w:instrText xml:space="preserve"> REF _Ref313964587 \r \h </w:instrText>
            </w:r>
            <w:r>
              <w:fldChar w:fldCharType="separate"/>
            </w:r>
            <w:r>
              <w:t>6.2.1</w:t>
            </w:r>
            <w:r>
              <w:fldChar w:fldCharType="end"/>
            </w:r>
            <w:r>
              <w:t xml:space="preserve">); it may be an actor’s </w:t>
            </w:r>
            <w:proofErr w:type="gramStart"/>
            <w:r>
              <w:t>ID,</w:t>
            </w:r>
            <w:proofErr w:type="gramEnd"/>
            <w:r>
              <w:t xml:space="preserve"> or </w:t>
            </w:r>
            <w:r>
              <w:rPr>
                <w:b/>
              </w:rPr>
              <w:t>SELF</w:t>
            </w:r>
            <w:r>
              <w:t xml:space="preserve"> if the actor usually supports himself, or </w:t>
            </w:r>
            <w:r>
              <w:rPr>
                <w:b/>
              </w:rPr>
              <w:t>NONE</w:t>
            </w:r>
            <w:r>
              <w:t xml:space="preserve"> if the actor doesn’t usually make use of his political support.</w:t>
            </w:r>
          </w:p>
          <w:p w14:paraId="6937BB0A" w14:textId="77777777" w:rsidR="00A01BC9" w:rsidRDefault="00A01BC9" w:rsidP="00052915"/>
          <w:p w14:paraId="7AC856ED" w14:textId="4C05AAED" w:rsidR="00A01BC9" w:rsidRPr="00A01BC9" w:rsidRDefault="00A01BC9" w:rsidP="00052915">
            <w: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Pr>
                <w:b/>
              </w:rPr>
              <w:t>SUPPORT</w:t>
            </w:r>
            <w:r>
              <w:t xml:space="preserve"> tactic (Section TBD); thus, he can support himself in one neighborhood, a different actor in another neighborhood, and no one at all in a third.</w:t>
            </w:r>
          </w:p>
        </w:tc>
      </w:tr>
      <w:tr w:rsidR="00A01BC9" w14:paraId="41284B3D" w14:textId="77777777" w:rsidTr="00052915">
        <w:trPr>
          <w:cantSplit/>
        </w:trPr>
        <w:tc>
          <w:tcPr>
            <w:tcW w:w="2718" w:type="dxa"/>
          </w:tcPr>
          <w:p w14:paraId="24FD9978" w14:textId="6053D709" w:rsidR="00A01BC9" w:rsidRDefault="00A01BC9" w:rsidP="00052915">
            <w:r>
              <w:t>Cash Reserve</w:t>
            </w:r>
          </w:p>
          <w:p w14:paraId="2FF560B2" w14:textId="7F56CBEE" w:rsidR="00A01BC9" w:rsidRDefault="00A01BC9" w:rsidP="00A01BC9">
            <w:r>
              <w:t>(</w:t>
            </w:r>
            <w:proofErr w:type="spellStart"/>
            <w:r>
              <w:rPr>
                <w:rFonts w:ascii="Courier New" w:hAnsi="Courier New" w:cs="Courier New"/>
              </w:rPr>
              <w:t>cash_reserve</w:t>
            </w:r>
            <w:proofErr w:type="spellEnd"/>
            <w:r>
              <w:t>)</w:t>
            </w:r>
          </w:p>
        </w:tc>
        <w:tc>
          <w:tcPr>
            <w:tcW w:w="7218" w:type="dxa"/>
          </w:tcPr>
          <w:p w14:paraId="738B46CE" w14:textId="23374633" w:rsidR="00A01BC9" w:rsidRPr="005B7C5B" w:rsidRDefault="00A01BC9" w:rsidP="00052915">
            <w:r>
              <w:t>The actor’s cash reserve as of the start of the simulation</w:t>
            </w:r>
            <w:r w:rsidR="008F6D65">
              <w:t>, in dollars</w:t>
            </w:r>
            <w:r>
              <w:t xml:space="preserve">; see Section </w:t>
            </w:r>
            <w:r w:rsidR="008F6D65">
              <w:fldChar w:fldCharType="begin"/>
            </w:r>
            <w:r w:rsidR="008F6D65">
              <w:instrText xml:space="preserve"> REF _Ref313964929 \r \h </w:instrText>
            </w:r>
            <w:r w:rsidR="008F6D65">
              <w:fldChar w:fldCharType="separate"/>
            </w:r>
            <w:r w:rsidR="008F6D65">
              <w:t>6.1.1</w:t>
            </w:r>
            <w:r w:rsidR="008F6D65">
              <w:fldChar w:fldCharType="end"/>
            </w:r>
            <w:r w:rsidR="008F6D65">
              <w:t>.</w:t>
            </w:r>
          </w:p>
        </w:tc>
      </w:tr>
      <w:tr w:rsidR="00A01BC9" w14:paraId="03B25936" w14:textId="77777777" w:rsidTr="00052915">
        <w:trPr>
          <w:cantSplit/>
        </w:trPr>
        <w:tc>
          <w:tcPr>
            <w:tcW w:w="2718" w:type="dxa"/>
          </w:tcPr>
          <w:p w14:paraId="41DB4D7C" w14:textId="59D4255B" w:rsidR="00A01BC9" w:rsidRDefault="008F6D65" w:rsidP="00052915">
            <w:r>
              <w:t>Income</w:t>
            </w:r>
          </w:p>
          <w:p w14:paraId="15385E39" w14:textId="24887D2F" w:rsidR="00A01BC9" w:rsidRDefault="00A01BC9" w:rsidP="008F6D65">
            <w:r>
              <w:t>(</w:t>
            </w:r>
            <w:r w:rsidR="008F6D65">
              <w:rPr>
                <w:rFonts w:ascii="Courier New" w:hAnsi="Courier New" w:cs="Courier New"/>
              </w:rPr>
              <w:t>income</w:t>
            </w:r>
            <w:r>
              <w:t>)</w:t>
            </w:r>
          </w:p>
        </w:tc>
        <w:tc>
          <w:tcPr>
            <w:tcW w:w="7218" w:type="dxa"/>
          </w:tcPr>
          <w:p w14:paraId="2B83EAD7" w14:textId="0F27EADA" w:rsidR="00A01BC9" w:rsidRDefault="00A01BC9" w:rsidP="008F6D65">
            <w:r>
              <w:t xml:space="preserve">The </w:t>
            </w:r>
            <w:r w:rsidR="008F6D65">
              <w:t>actor’s regular income</w:t>
            </w:r>
            <w:r w:rsidR="008F6D65">
              <w:rPr>
                <w:rStyle w:val="FootnoteReference"/>
              </w:rPr>
              <w:footnoteReference w:id="13"/>
            </w:r>
            <w:r w:rsidR="008F6D65">
              <w:t>, in dollars/week.  Income flows into the actor’s cash-on-hand, where it can be used to fund tactics.</w:t>
            </w:r>
          </w:p>
          <w:p w14:paraId="4B3DACB2" w14:textId="77777777" w:rsidR="008F6D65" w:rsidRDefault="008F6D65" w:rsidP="008F6D65"/>
          <w:p w14:paraId="2E8371D2" w14:textId="6CD70000" w:rsidR="008F6D65" w:rsidRPr="008F6D65" w:rsidRDefault="008F6D65" w:rsidP="008F6D65">
            <w:r>
              <w:t xml:space="preserve">Note that the actor can also receive income from other actors, by way of the </w:t>
            </w:r>
            <w:r>
              <w:rPr>
                <w:b/>
              </w:rPr>
              <w:t>FUND</w:t>
            </w:r>
            <w:r>
              <w:t xml:space="preserve"> tactic.</w:t>
            </w:r>
          </w:p>
        </w:tc>
      </w:tr>
      <w:tr w:rsidR="008F6D65" w14:paraId="6AF9C3AA" w14:textId="77777777" w:rsidTr="00052915">
        <w:trPr>
          <w:cantSplit/>
        </w:trPr>
        <w:tc>
          <w:tcPr>
            <w:tcW w:w="2718" w:type="dxa"/>
          </w:tcPr>
          <w:p w14:paraId="0AD42DF9" w14:textId="08F45B70" w:rsidR="008F6D65" w:rsidRDefault="008F6D65" w:rsidP="00052915">
            <w:r>
              <w:t>Cash-On-Hand</w:t>
            </w:r>
          </w:p>
          <w:p w14:paraId="7163A1D8" w14:textId="2A51CAB4" w:rsidR="008F6D65" w:rsidRDefault="008F6D65" w:rsidP="008F6D65">
            <w:r>
              <w:t>(</w:t>
            </w:r>
            <w:proofErr w:type="spellStart"/>
            <w:r w:rsidRPr="008F6D65">
              <w:rPr>
                <w:rFonts w:ascii="Courier New" w:hAnsi="Courier New" w:cs="Courier New"/>
              </w:rPr>
              <w:t>cash</w:t>
            </w:r>
            <w:r>
              <w:rPr>
                <w:rFonts w:ascii="Courier New" w:hAnsi="Courier New" w:cs="Courier New"/>
              </w:rPr>
              <w:t>_</w:t>
            </w:r>
            <w:r w:rsidRPr="008F6D65">
              <w:rPr>
                <w:rFonts w:ascii="Courier New" w:hAnsi="Courier New" w:cs="Courier New"/>
              </w:rPr>
              <w:t>on</w:t>
            </w:r>
            <w:r>
              <w:rPr>
                <w:rFonts w:ascii="Courier New" w:hAnsi="Courier New" w:cs="Courier New"/>
              </w:rPr>
              <w:t>_</w:t>
            </w:r>
            <w:r w:rsidRPr="008F6D65">
              <w:rPr>
                <w:rFonts w:ascii="Courier New" w:hAnsi="Courier New" w:cs="Courier New"/>
              </w:rPr>
              <w:t>hand</w:t>
            </w:r>
            <w:proofErr w:type="spellEnd"/>
            <w:r>
              <w:t>)</w:t>
            </w:r>
          </w:p>
        </w:tc>
        <w:tc>
          <w:tcPr>
            <w:tcW w:w="7218" w:type="dxa"/>
          </w:tcPr>
          <w:p w14:paraId="1EDA20DA" w14:textId="77777777" w:rsidR="008F6D65" w:rsidRDefault="008F6D65" w:rsidP="008F6D65">
            <w: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Default="008F6D65" w:rsidP="008F6D65"/>
          <w:p w14:paraId="1644DDB2" w14:textId="0D85192D" w:rsidR="008F6D65" w:rsidRDefault="008F6D65" w:rsidP="008F6D65">
            <w: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0E7165">
      <w:pPr>
        <w:pStyle w:val="Heading3"/>
      </w:pPr>
      <w:bookmarkStart w:id="132" w:name="_Ref314044258"/>
      <w:r>
        <w:t>Civilian Groups</w:t>
      </w:r>
      <w:bookmarkEnd w:id="132"/>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tbl>
      <w:tblPr>
        <w:tblStyle w:val="TableGrid"/>
        <w:tblW w:w="0" w:type="auto"/>
        <w:tblLook w:val="04A0" w:firstRow="1" w:lastRow="0" w:firstColumn="1" w:lastColumn="0" w:noHBand="0" w:noVBand="1"/>
      </w:tblPr>
      <w:tblGrid>
        <w:gridCol w:w="2718"/>
        <w:gridCol w:w="7218"/>
      </w:tblGrid>
      <w:tr w:rsidR="00193BDC" w14:paraId="2C92C6E0" w14:textId="77777777" w:rsidTr="00052915">
        <w:trPr>
          <w:cantSplit/>
          <w:tblHeader/>
        </w:trPr>
        <w:tc>
          <w:tcPr>
            <w:tcW w:w="2718" w:type="dxa"/>
            <w:shd w:val="clear" w:color="auto" w:fill="000000" w:themeFill="text1"/>
          </w:tcPr>
          <w:p w14:paraId="4DFDB37A" w14:textId="77777777" w:rsidR="00193BDC" w:rsidRDefault="00193BDC" w:rsidP="00052915">
            <w:r>
              <w:lastRenderedPageBreak/>
              <w:t>Attribute</w:t>
            </w:r>
          </w:p>
        </w:tc>
        <w:tc>
          <w:tcPr>
            <w:tcW w:w="7218" w:type="dxa"/>
            <w:shd w:val="clear" w:color="auto" w:fill="000000" w:themeFill="text1"/>
          </w:tcPr>
          <w:p w14:paraId="18DB3527" w14:textId="77777777" w:rsidR="00193BDC" w:rsidRDefault="00193BDC" w:rsidP="00052915">
            <w:r>
              <w:t>Description</w:t>
            </w:r>
          </w:p>
        </w:tc>
      </w:tr>
      <w:tr w:rsidR="00193BDC" w14:paraId="7542FD10" w14:textId="77777777" w:rsidTr="00052915">
        <w:trPr>
          <w:cantSplit/>
        </w:trPr>
        <w:tc>
          <w:tcPr>
            <w:tcW w:w="2718" w:type="dxa"/>
          </w:tcPr>
          <w:p w14:paraId="15E45193" w14:textId="04CAC756" w:rsidR="00193BDC" w:rsidRDefault="00193BDC" w:rsidP="00052915">
            <w:r>
              <w:t>Group ID</w:t>
            </w:r>
          </w:p>
          <w:p w14:paraId="731A31D7" w14:textId="32A7ECB2" w:rsidR="00193BDC" w:rsidRDefault="00193BDC" w:rsidP="00193BDC">
            <w:r>
              <w:t>(</w:t>
            </w:r>
            <w:r>
              <w:rPr>
                <w:rFonts w:ascii="Courier New" w:hAnsi="Courier New" w:cs="Courier New"/>
              </w:rPr>
              <w:t>g</w:t>
            </w:r>
            <w:r>
              <w:t>)</w:t>
            </w:r>
          </w:p>
        </w:tc>
        <w:tc>
          <w:tcPr>
            <w:tcW w:w="7218" w:type="dxa"/>
          </w:tcPr>
          <w:p w14:paraId="4EF70336" w14:textId="143D7D07" w:rsidR="00193BDC" w:rsidRDefault="00193BDC" w:rsidP="00193BDC">
            <w:r>
              <w:t>The group ID, a unique string used to identify this group.  It should be short, and may consist of capital letters and digits.  It must be distinct from all other entity IDs used in the scenario (e.g., actor IDs).</w:t>
            </w:r>
          </w:p>
        </w:tc>
      </w:tr>
      <w:tr w:rsidR="00193BDC" w14:paraId="26156922" w14:textId="77777777" w:rsidTr="00052915">
        <w:trPr>
          <w:cantSplit/>
        </w:trPr>
        <w:tc>
          <w:tcPr>
            <w:tcW w:w="2718" w:type="dxa"/>
          </w:tcPr>
          <w:p w14:paraId="25F355D6" w14:textId="77777777" w:rsidR="00193BDC" w:rsidRDefault="00193BDC" w:rsidP="00052915">
            <w:r>
              <w:t>Long Name</w:t>
            </w:r>
          </w:p>
          <w:p w14:paraId="0330B25C" w14:textId="77777777" w:rsidR="00193BDC" w:rsidRDefault="00193BDC" w:rsidP="00052915">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7E372F10" w14:textId="095E10FD" w:rsidR="00193BDC" w:rsidRDefault="00193BDC" w:rsidP="00193BDC">
            <w:r>
              <w:t>A longer, human-readable name for use in reports and other output; it may also be used to document the precise meaning of the group ID, which might otherwise be cryptic.</w:t>
            </w:r>
          </w:p>
        </w:tc>
      </w:tr>
      <w:tr w:rsidR="00193BDC" w14:paraId="4AC6352B" w14:textId="77777777" w:rsidTr="00052915">
        <w:trPr>
          <w:cantSplit/>
        </w:trPr>
        <w:tc>
          <w:tcPr>
            <w:tcW w:w="2718" w:type="dxa"/>
          </w:tcPr>
          <w:p w14:paraId="1E6F128C" w14:textId="3B85CB80" w:rsidR="00193BDC" w:rsidRDefault="00193BDC" w:rsidP="00052915">
            <w:r>
              <w:t>Neighborhood</w:t>
            </w:r>
          </w:p>
          <w:p w14:paraId="26274C7E" w14:textId="2EE96581" w:rsidR="00193BDC" w:rsidRDefault="00193BDC" w:rsidP="00193BDC">
            <w:r>
              <w:t>(</w:t>
            </w:r>
            <w:r>
              <w:rPr>
                <w:rFonts w:ascii="Courier New" w:hAnsi="Courier New" w:cs="Courier New"/>
              </w:rPr>
              <w:t>n</w:t>
            </w:r>
            <w:r>
              <w:t>)</w:t>
            </w:r>
          </w:p>
        </w:tc>
        <w:tc>
          <w:tcPr>
            <w:tcW w:w="7218" w:type="dxa"/>
          </w:tcPr>
          <w:p w14:paraId="2706CBD3" w14:textId="713DC265" w:rsidR="00193BDC" w:rsidRPr="00A01BC9" w:rsidRDefault="00193BDC" w:rsidP="00193BDC">
            <w:r>
              <w:t>This attribute is the ID of the group’s neighborhood of residence.</w:t>
            </w:r>
          </w:p>
        </w:tc>
      </w:tr>
      <w:tr w:rsidR="00193BDC" w14:paraId="21DF506E" w14:textId="77777777" w:rsidTr="00052915">
        <w:trPr>
          <w:cantSplit/>
        </w:trPr>
        <w:tc>
          <w:tcPr>
            <w:tcW w:w="2718" w:type="dxa"/>
          </w:tcPr>
          <w:p w14:paraId="0F1D55EB" w14:textId="7375D68F" w:rsidR="00193BDC" w:rsidRDefault="00193BDC" w:rsidP="00052915">
            <w:r>
              <w:t>Demeanor</w:t>
            </w:r>
          </w:p>
          <w:p w14:paraId="2D9ED6CB" w14:textId="0AB52304" w:rsidR="00193BDC" w:rsidRDefault="00193BDC" w:rsidP="00052915">
            <w:r>
              <w:t>(</w:t>
            </w:r>
            <w:r w:rsidRPr="00193BDC">
              <w:rPr>
                <w:rFonts w:ascii="Courier New" w:hAnsi="Courier New" w:cs="Courier New"/>
              </w:rPr>
              <w:t>demeanor</w:t>
            </w:r>
            <w:r>
              <w:t>)</w:t>
            </w:r>
          </w:p>
        </w:tc>
        <w:tc>
          <w:tcPr>
            <w:tcW w:w="7218" w:type="dxa"/>
          </w:tcPr>
          <w:p w14:paraId="7BF8AA53" w14:textId="77777777" w:rsidR="00193BDC" w:rsidRDefault="00193BDC" w:rsidP="00193BDC">
            <w:r>
              <w:t>The demeanor of the group, i.e., its propensity for violence.  The group may be aggressive, average, or apathetic.</w:t>
            </w:r>
          </w:p>
          <w:p w14:paraId="791CBCCE" w14:textId="77777777" w:rsidR="00193BDC" w:rsidRDefault="00193BDC" w:rsidP="00193BDC"/>
          <w:p w14:paraId="41A2E95C" w14:textId="5CBD607E" w:rsidR="00193BDC" w:rsidRDefault="00193BDC" w:rsidP="00193BDC">
            <w:r>
              <w:t xml:space="preserve">Demeanor affects the group’s ability to project force in the Security model (Section </w:t>
            </w:r>
            <w:r>
              <w:fldChar w:fldCharType="begin"/>
            </w:r>
            <w:r>
              <w:instrText xml:space="preserve"> REF _Ref185639112 \r \h </w:instrText>
            </w:r>
            <w:r>
              <w:fldChar w:fldCharType="separate"/>
            </w:r>
            <w:r>
              <w:t>3.8</w:t>
            </w:r>
            <w:r>
              <w:fldChar w:fldCharType="end"/>
            </w:r>
            <w:r>
              <w:t>).  It has had other uses in the past (i.e., in JNEM) and will likely be used in other models in the future.</w:t>
            </w:r>
          </w:p>
        </w:tc>
      </w:tr>
      <w:tr w:rsidR="00441FE3" w14:paraId="0B907471" w14:textId="77777777" w:rsidTr="00052915">
        <w:trPr>
          <w:cantSplit/>
        </w:trPr>
        <w:tc>
          <w:tcPr>
            <w:tcW w:w="2718" w:type="dxa"/>
          </w:tcPr>
          <w:p w14:paraId="3FCFCD7F" w14:textId="220B4EB1" w:rsidR="00441FE3" w:rsidRDefault="00441FE3" w:rsidP="00052915">
            <w:r>
              <w:t>Base Population</w:t>
            </w:r>
          </w:p>
          <w:p w14:paraId="345A3D9B" w14:textId="26D68FB4" w:rsidR="00441FE3" w:rsidRDefault="00441FE3" w:rsidP="00052915">
            <w:r>
              <w:t>(</w:t>
            </w:r>
            <w:proofErr w:type="spellStart"/>
            <w:r w:rsidRPr="00441FE3">
              <w:rPr>
                <w:rFonts w:ascii="Courier New" w:hAnsi="Courier New" w:cs="Courier New"/>
              </w:rPr>
              <w:t>basepop</w:t>
            </w:r>
            <w:proofErr w:type="spellEnd"/>
            <w:r>
              <w:t>)</w:t>
            </w:r>
          </w:p>
        </w:tc>
        <w:tc>
          <w:tcPr>
            <w:tcW w:w="7218" w:type="dxa"/>
          </w:tcPr>
          <w:p w14:paraId="5B73D133" w14:textId="77777777" w:rsidR="00441FE3" w:rsidRDefault="00441FE3" w:rsidP="00193BDC">
            <w:r>
              <w:t>The population of this group in its neighborhood of residence just prior to the start of the simulation.  This population can be reduced by attrition and by displacement to other neighborhoods.</w:t>
            </w:r>
          </w:p>
          <w:p w14:paraId="3AA50503" w14:textId="77777777" w:rsidR="00441FE3" w:rsidRDefault="00441FE3" w:rsidP="00193BDC"/>
          <w:p w14:paraId="04FA2600" w14:textId="245F3F41" w:rsidR="00441FE3" w:rsidRPr="00441FE3" w:rsidRDefault="00441FE3" w:rsidP="00193BDC">
            <w:r>
              <w:t xml:space="preserve">Population size is one of the more important inputs, as it plays a role in many different models.  See the </w:t>
            </w:r>
            <w:r>
              <w:rPr>
                <w:i/>
              </w:rPr>
              <w:t>Athena Analyst’s Guide</w:t>
            </w:r>
            <w:r>
              <w:t xml:space="preserve"> for details.</w:t>
            </w:r>
          </w:p>
        </w:tc>
      </w:tr>
      <w:tr w:rsidR="00441FE3" w14:paraId="706A60D5" w14:textId="77777777" w:rsidTr="00052915">
        <w:trPr>
          <w:cantSplit/>
        </w:trPr>
        <w:tc>
          <w:tcPr>
            <w:tcW w:w="2718" w:type="dxa"/>
          </w:tcPr>
          <w:p w14:paraId="14348DD4" w14:textId="3C11B122" w:rsidR="00441FE3" w:rsidRDefault="00441FE3" w:rsidP="00052915">
            <w:r>
              <w:t>Subsistence Agriculture Percentage (</w:t>
            </w:r>
            <w:r w:rsidRPr="00441FE3">
              <w:rPr>
                <w:rFonts w:ascii="Courier New" w:hAnsi="Courier New" w:cs="Courier New"/>
              </w:rPr>
              <w:t>sap</w:t>
            </w:r>
            <w:r>
              <w:t>)</w:t>
            </w:r>
          </w:p>
        </w:tc>
        <w:tc>
          <w:tcPr>
            <w:tcW w:w="7218" w:type="dxa"/>
          </w:tcPr>
          <w:p w14:paraId="3F31B144" w14:textId="6CDE1995" w:rsidR="00441FE3" w:rsidRDefault="00441FE3" w:rsidP="00441FE3">
            <w: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14:paraId="1DC13A21" w14:textId="77777777" w:rsidTr="00052915">
        <w:trPr>
          <w:cantSplit/>
        </w:trPr>
        <w:tc>
          <w:tcPr>
            <w:tcW w:w="2718" w:type="dxa"/>
          </w:tcPr>
          <w:p w14:paraId="30F29275" w14:textId="052D6C6B" w:rsidR="00193BDC" w:rsidRDefault="00193BDC" w:rsidP="00052915">
            <w:r>
              <w:t>Color</w:t>
            </w:r>
          </w:p>
          <w:p w14:paraId="64E95231" w14:textId="6A2D9C91" w:rsidR="00193BDC" w:rsidRDefault="00193BDC" w:rsidP="00193BDC">
            <w:r>
              <w:t>(</w:t>
            </w:r>
            <w:r>
              <w:rPr>
                <w:rFonts w:ascii="Courier New" w:hAnsi="Courier New" w:cs="Courier New"/>
              </w:rPr>
              <w:t>color</w:t>
            </w:r>
            <w:r>
              <w:t>)</w:t>
            </w:r>
          </w:p>
        </w:tc>
        <w:tc>
          <w:tcPr>
            <w:tcW w:w="7218" w:type="dxa"/>
          </w:tcPr>
          <w:p w14:paraId="66030AC6" w14:textId="615F2268" w:rsidR="00193BDC" w:rsidRPr="005B7C5B" w:rsidRDefault="00193BDC" w:rsidP="00052915">
            <w:r>
              <w:t>Athena represents group personnel on the map using icons.  This is the color of this group’s icons.  It can be entered as a hexadecimal RGB string, e.g., red is “</w:t>
            </w:r>
            <w:r w:rsidRPr="00193BDC">
              <w:rPr>
                <w:rFonts w:ascii="Courier New" w:hAnsi="Courier New" w:cs="Courier New"/>
              </w:rPr>
              <w:t>#FFOOOO</w:t>
            </w:r>
            <w:r>
              <w:t>”; however, it will usually be chosen using the GUI.  The color has no effect on the model results.</w:t>
            </w:r>
          </w:p>
        </w:tc>
      </w:tr>
      <w:tr w:rsidR="00193BDC" w14:paraId="7434E053" w14:textId="77777777" w:rsidTr="00052915">
        <w:trPr>
          <w:cantSplit/>
        </w:trPr>
        <w:tc>
          <w:tcPr>
            <w:tcW w:w="2718" w:type="dxa"/>
          </w:tcPr>
          <w:p w14:paraId="18DFC28E" w14:textId="3E53A12E" w:rsidR="00193BDC" w:rsidRDefault="00193BDC" w:rsidP="00052915">
            <w:r>
              <w:t>Unit Shape</w:t>
            </w:r>
          </w:p>
          <w:p w14:paraId="5B378EC3" w14:textId="2A6D5464" w:rsidR="00193BDC" w:rsidRDefault="00193BDC" w:rsidP="00193BDC">
            <w:r>
              <w:t>(</w:t>
            </w:r>
            <w:proofErr w:type="spellStart"/>
            <w:r>
              <w:rPr>
                <w:rFonts w:ascii="Courier New" w:hAnsi="Courier New" w:cs="Courier New"/>
              </w:rPr>
              <w:t>unit_shape</w:t>
            </w:r>
            <w:proofErr w:type="spellEnd"/>
            <w:r>
              <w:t>)</w:t>
            </w:r>
          </w:p>
        </w:tc>
        <w:tc>
          <w:tcPr>
            <w:tcW w:w="7218" w:type="dxa"/>
          </w:tcPr>
          <w:p w14:paraId="19267A77" w14:textId="538AFAF8" w:rsidR="00193BDC" w:rsidRPr="008F6D65" w:rsidRDefault="00193BDC" w:rsidP="00052915">
            <w:r>
              <w:t>The shape of the group’s units: friend, enemy, or neutral, as defined in MIL-STD-2525a.  The shape has no effect on the model results.</w:t>
            </w:r>
          </w:p>
        </w:tc>
      </w:tr>
    </w:tbl>
    <w:p w14:paraId="4F41E564" w14:textId="77777777" w:rsidR="00193BDC" w:rsidRDefault="00193BDC" w:rsidP="00193BDC"/>
    <w:p w14:paraId="5F2C4746" w14:textId="77777777" w:rsidR="00193BDC" w:rsidRDefault="00193BDC" w:rsidP="000E7165"/>
    <w:p w14:paraId="73AFCC93" w14:textId="689205E5" w:rsidR="00F11921" w:rsidRDefault="00F11921" w:rsidP="00F11921">
      <w:pPr>
        <w:pStyle w:val="Heading3"/>
      </w:pPr>
      <w:bookmarkStart w:id="133" w:name="_Ref314055841"/>
      <w:r>
        <w:t>Force Groups</w:t>
      </w:r>
      <w:bookmarkEnd w:id="133"/>
    </w:p>
    <w:p w14:paraId="515FF049" w14:textId="77777777" w:rsidR="00F11921" w:rsidRDefault="00F11921" w:rsidP="00F11921"/>
    <w:p w14:paraId="44F9192D" w14:textId="125B3EA0" w:rsidR="00F11921" w:rsidRDefault="00F11921" w:rsidP="00F11921">
      <w:r>
        <w:t>TBD</w:t>
      </w:r>
    </w:p>
    <w:p w14:paraId="2347BE46" w14:textId="77777777" w:rsidR="00F11921" w:rsidRDefault="00F11921" w:rsidP="00F11921"/>
    <w:p w14:paraId="517E46A2" w14:textId="32F7F505" w:rsidR="00F11921" w:rsidRDefault="00F11921" w:rsidP="00F11921">
      <w:pPr>
        <w:pStyle w:val="Heading3"/>
      </w:pPr>
      <w:bookmarkStart w:id="134" w:name="_Ref314056138"/>
      <w:r>
        <w:t>Organization Groups</w:t>
      </w:r>
      <w:bookmarkEnd w:id="134"/>
    </w:p>
    <w:p w14:paraId="0B9A2130" w14:textId="77777777" w:rsidR="00F11921" w:rsidRDefault="00F11921" w:rsidP="00F11921"/>
    <w:p w14:paraId="6D7F9EB3" w14:textId="53F829B8" w:rsidR="00F11921" w:rsidRDefault="00F11921" w:rsidP="00F11921">
      <w:r>
        <w:lastRenderedPageBreak/>
        <w:t>TBD</w:t>
      </w:r>
    </w:p>
    <w:p w14:paraId="524341D7" w14:textId="77777777" w:rsidR="006828D4" w:rsidRDefault="006828D4" w:rsidP="00F11921"/>
    <w:p w14:paraId="7941C5DF" w14:textId="1948256D" w:rsidR="006828D4" w:rsidRDefault="006828D4" w:rsidP="006828D4">
      <w:pPr>
        <w:pStyle w:val="Heading3"/>
      </w:pPr>
      <w:bookmarkStart w:id="135" w:name="_Ref314124958"/>
      <w:r>
        <w:t>Satisfaction Levels</w:t>
      </w:r>
      <w:bookmarkEnd w:id="135"/>
    </w:p>
    <w:p w14:paraId="6B50E403" w14:textId="77777777" w:rsidR="006828D4" w:rsidRDefault="006828D4" w:rsidP="006828D4"/>
    <w:p w14:paraId="7FD09472" w14:textId="7FDBCF0C" w:rsidR="006828D4" w:rsidRDefault="006828D4" w:rsidP="006828D4">
      <w:r>
        <w:t>TBD</w:t>
      </w:r>
    </w:p>
    <w:p w14:paraId="1B0ECF26" w14:textId="77777777" w:rsidR="006A312A" w:rsidRDefault="006A312A" w:rsidP="006828D4"/>
    <w:p w14:paraId="222D9895" w14:textId="6755F6F4" w:rsidR="006A312A" w:rsidRDefault="006A312A" w:rsidP="006A312A">
      <w:pPr>
        <w:pStyle w:val="Heading3"/>
      </w:pPr>
      <w:bookmarkStart w:id="136" w:name="_Ref314125328"/>
      <w:r>
        <w:t>Cooperation Levels</w:t>
      </w:r>
      <w:bookmarkEnd w:id="136"/>
    </w:p>
    <w:p w14:paraId="1092B5D2" w14:textId="77777777" w:rsidR="006A312A" w:rsidRDefault="006A312A" w:rsidP="006A312A"/>
    <w:p w14:paraId="67EFDB49" w14:textId="77BC67E4" w:rsidR="006A312A" w:rsidRDefault="006A312A" w:rsidP="006A312A">
      <w:r>
        <w:t>TBD</w:t>
      </w:r>
    </w:p>
    <w:p w14:paraId="5D6BD172" w14:textId="77777777" w:rsidR="007E0F24" w:rsidRDefault="007E0F24" w:rsidP="006A312A"/>
    <w:p w14:paraId="0C4EFA61" w14:textId="73334261" w:rsidR="007E0F24" w:rsidRDefault="007E0F24" w:rsidP="007E0F24">
      <w:pPr>
        <w:pStyle w:val="Heading3"/>
      </w:pPr>
      <w:bookmarkStart w:id="137" w:name="_Ref314130244"/>
      <w:r>
        <w:t>Environmental Situations</w:t>
      </w:r>
      <w:bookmarkEnd w:id="137"/>
    </w:p>
    <w:p w14:paraId="10867941" w14:textId="77777777" w:rsidR="007E0F24" w:rsidRDefault="007E0F24" w:rsidP="007E0F24"/>
    <w:p w14:paraId="11E66964" w14:textId="4F65CC56" w:rsidR="007E0F24" w:rsidRPr="007E0F24" w:rsidRDefault="007E0F24" w:rsidP="007E0F24">
      <w:r>
        <w:t>TBD</w:t>
      </w:r>
    </w:p>
    <w:p w14:paraId="11046E50" w14:textId="4F5A3FC8" w:rsidR="00E00631" w:rsidRDefault="00E00631" w:rsidP="00E00631">
      <w:pPr>
        <w:pStyle w:val="Heading2"/>
      </w:pPr>
      <w:bookmarkStart w:id="138" w:name="_Ref313964434"/>
      <w:r>
        <w:lastRenderedPageBreak/>
        <w:t>Tactic Types</w:t>
      </w:r>
      <w:bookmarkEnd w:id="138"/>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bookmarkStart w:id="139" w:name="_Ref313964436"/>
      <w:r>
        <w:lastRenderedPageBreak/>
        <w:t>Condition Types</w:t>
      </w:r>
      <w:bookmarkEnd w:id="139"/>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r>
        <w:lastRenderedPageBreak/>
        <w:t>Glossary</w:t>
      </w:r>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r>
        <w:lastRenderedPageBreak/>
        <w:t>Acronyms</w:t>
      </w:r>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140" w:name="_Ref314039159"/>
      <w:r>
        <w:lastRenderedPageBreak/>
        <w:t>Scenario Checklist</w:t>
      </w:r>
      <w:bookmarkEnd w:id="140"/>
    </w:p>
    <w:p w14:paraId="02550D6C" w14:textId="77777777" w:rsidR="00D0709E" w:rsidRDefault="00D0709E" w:rsidP="00D0709E"/>
    <w:p w14:paraId="11D4584F" w14:textId="33A40BE1" w:rsidR="00D0709E" w:rsidRPr="00D0709E" w:rsidRDefault="00D0709E" w:rsidP="00D0709E">
      <w:proofErr w:type="gramStart"/>
      <w:r>
        <w:t>TBD.</w:t>
      </w:r>
      <w:proofErr w:type="gramEnd"/>
      <w:r>
        <w:t xml:space="preserve">  This section will contain a checklist to be used when creating a scenario, based on the material in Section </w:t>
      </w:r>
      <w:r>
        <w:fldChar w:fldCharType="begin"/>
      </w:r>
      <w:r>
        <w:instrText xml:space="preserve"> REF _Ref314038989 \r \h </w:instrText>
      </w:r>
      <w:r>
        <w:fldChar w:fldCharType="separate"/>
      </w:r>
      <w:r>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27175" w14:textId="77777777" w:rsidR="00B568EC" w:rsidRDefault="00B568EC">
      <w:r>
        <w:separator/>
      </w:r>
    </w:p>
    <w:p w14:paraId="53978765" w14:textId="77777777" w:rsidR="00B568EC" w:rsidRDefault="00B568EC"/>
    <w:p w14:paraId="77320B20" w14:textId="77777777" w:rsidR="00B568EC" w:rsidRDefault="00B568EC" w:rsidP="00D7666B"/>
  </w:endnote>
  <w:endnote w:type="continuationSeparator" w:id="0">
    <w:p w14:paraId="4F57B98E" w14:textId="77777777" w:rsidR="00B568EC" w:rsidRDefault="00B568EC">
      <w:r>
        <w:continuationSeparator/>
      </w:r>
    </w:p>
    <w:p w14:paraId="73766ABA" w14:textId="77777777" w:rsidR="00B568EC" w:rsidRDefault="00B568EC"/>
    <w:p w14:paraId="20E96239" w14:textId="77777777" w:rsidR="00B568EC" w:rsidRDefault="00B568EC"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6828D4" w:rsidRDefault="006828D4"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952064">
      <w:rPr>
        <w:rStyle w:val="PageNumber"/>
        <w:noProof/>
      </w:rPr>
      <w:t>67</w:t>
    </w:r>
    <w:r>
      <w:rPr>
        <w:rStyle w:val="PageNumber"/>
      </w:rPr>
      <w:fldChar w:fldCharType="end"/>
    </w:r>
  </w:p>
  <w:p w14:paraId="2AA40724" w14:textId="77777777" w:rsidR="006828D4" w:rsidRDefault="006828D4"/>
  <w:p w14:paraId="543EF6AC" w14:textId="77777777" w:rsidR="006828D4" w:rsidRDefault="006828D4"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5D159" w14:textId="77777777" w:rsidR="00B568EC" w:rsidRDefault="00B568EC">
      <w:r>
        <w:separator/>
      </w:r>
    </w:p>
    <w:p w14:paraId="005D2C9C" w14:textId="77777777" w:rsidR="00B568EC" w:rsidRDefault="00B568EC"/>
    <w:p w14:paraId="11851818" w14:textId="77777777" w:rsidR="00B568EC" w:rsidRDefault="00B568EC" w:rsidP="00D7666B"/>
  </w:footnote>
  <w:footnote w:type="continuationSeparator" w:id="0">
    <w:p w14:paraId="47BC2F7D" w14:textId="77777777" w:rsidR="00B568EC" w:rsidRDefault="00B568EC">
      <w:r>
        <w:continuationSeparator/>
      </w:r>
    </w:p>
    <w:p w14:paraId="1976A10F" w14:textId="77777777" w:rsidR="00B568EC" w:rsidRDefault="00B568EC"/>
    <w:p w14:paraId="770D7D56" w14:textId="77777777" w:rsidR="00B568EC" w:rsidRDefault="00B568EC" w:rsidP="00D7666B"/>
  </w:footnote>
  <w:footnote w:id="1">
    <w:p w14:paraId="0256EB24" w14:textId="04C8E683" w:rsidR="006828D4" w:rsidRPr="0033439A" w:rsidRDefault="006828D4">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6828D4" w:rsidRDefault="006828D4">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6828D4" w:rsidRDefault="006828D4">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6828D4" w:rsidRDefault="006828D4">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6828D4" w:rsidRDefault="006828D4">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6828D4" w:rsidRDefault="006828D4">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6828D4" w:rsidRDefault="006828D4">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6828D4" w:rsidRDefault="006828D4">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6828D4" w:rsidRPr="008A5118" w:rsidRDefault="006828D4">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6828D4" w:rsidRDefault="006828D4"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6828D4" w:rsidRDefault="006828D4">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6828D4" w:rsidRPr="00B943E6" w:rsidRDefault="006828D4">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6828D4" w:rsidRDefault="006828D4">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6828D4" w:rsidRPr="004D07B9" w:rsidRDefault="006828D4">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6828D4" w:rsidRDefault="006828D4"/>
  <w:p w14:paraId="2A8EE832" w14:textId="77777777" w:rsidR="006828D4" w:rsidRDefault="006828D4"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4">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494177"/>
    <w:multiLevelType w:val="hybridMultilevel"/>
    <w:tmpl w:val="6B3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8">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7">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0">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7"/>
  </w:num>
  <w:num w:numId="4">
    <w:abstractNumId w:val="24"/>
  </w:num>
  <w:num w:numId="5">
    <w:abstractNumId w:val="49"/>
  </w:num>
  <w:num w:numId="6">
    <w:abstractNumId w:val="13"/>
  </w:num>
  <w:num w:numId="7">
    <w:abstractNumId w:val="11"/>
  </w:num>
  <w:num w:numId="8">
    <w:abstractNumId w:val="9"/>
  </w:num>
  <w:num w:numId="9">
    <w:abstractNumId w:val="38"/>
  </w:num>
  <w:num w:numId="10">
    <w:abstractNumId w:val="33"/>
  </w:num>
  <w:num w:numId="11">
    <w:abstractNumId w:val="10"/>
  </w:num>
  <w:num w:numId="12">
    <w:abstractNumId w:val="6"/>
  </w:num>
  <w:num w:numId="13">
    <w:abstractNumId w:val="44"/>
  </w:num>
  <w:num w:numId="14">
    <w:abstractNumId w:val="37"/>
  </w:num>
  <w:num w:numId="15">
    <w:abstractNumId w:val="2"/>
  </w:num>
  <w:num w:numId="16">
    <w:abstractNumId w:val="43"/>
  </w:num>
  <w:num w:numId="17">
    <w:abstractNumId w:val="47"/>
  </w:num>
  <w:num w:numId="18">
    <w:abstractNumId w:val="12"/>
  </w:num>
  <w:num w:numId="19">
    <w:abstractNumId w:val="14"/>
  </w:num>
  <w:num w:numId="20">
    <w:abstractNumId w:val="39"/>
  </w:num>
  <w:num w:numId="21">
    <w:abstractNumId w:val="27"/>
  </w:num>
  <w:num w:numId="22">
    <w:abstractNumId w:val="0"/>
  </w:num>
  <w:num w:numId="23">
    <w:abstractNumId w:val="36"/>
  </w:num>
  <w:num w:numId="24">
    <w:abstractNumId w:val="35"/>
  </w:num>
  <w:num w:numId="25">
    <w:abstractNumId w:val="22"/>
  </w:num>
  <w:num w:numId="26">
    <w:abstractNumId w:val="8"/>
  </w:num>
  <w:num w:numId="27">
    <w:abstractNumId w:val="7"/>
  </w:num>
  <w:num w:numId="28">
    <w:abstractNumId w:val="1"/>
  </w:num>
  <w:num w:numId="29">
    <w:abstractNumId w:val="40"/>
  </w:num>
  <w:num w:numId="30">
    <w:abstractNumId w:val="29"/>
  </w:num>
  <w:num w:numId="31">
    <w:abstractNumId w:val="31"/>
  </w:num>
  <w:num w:numId="32">
    <w:abstractNumId w:val="18"/>
  </w:num>
  <w:num w:numId="33">
    <w:abstractNumId w:val="46"/>
  </w:num>
  <w:num w:numId="34">
    <w:abstractNumId w:val="19"/>
  </w:num>
  <w:num w:numId="35">
    <w:abstractNumId w:val="50"/>
  </w:num>
  <w:num w:numId="36">
    <w:abstractNumId w:val="25"/>
  </w:num>
  <w:num w:numId="37">
    <w:abstractNumId w:val="23"/>
  </w:num>
  <w:num w:numId="38">
    <w:abstractNumId w:val="45"/>
  </w:num>
  <w:num w:numId="39">
    <w:abstractNumId w:val="30"/>
  </w:num>
  <w:num w:numId="40">
    <w:abstractNumId w:val="21"/>
  </w:num>
  <w:num w:numId="41">
    <w:abstractNumId w:val="20"/>
  </w:num>
  <w:num w:numId="42">
    <w:abstractNumId w:val="34"/>
  </w:num>
  <w:num w:numId="43">
    <w:abstractNumId w:val="32"/>
  </w:num>
  <w:num w:numId="44">
    <w:abstractNumId w:val="5"/>
  </w:num>
  <w:num w:numId="45">
    <w:abstractNumId w:val="42"/>
  </w:num>
  <w:num w:numId="46">
    <w:abstractNumId w:val="41"/>
  </w:num>
  <w:num w:numId="47">
    <w:abstractNumId w:val="3"/>
  </w:num>
  <w:num w:numId="48">
    <w:abstractNumId w:val="15"/>
  </w:num>
  <w:num w:numId="49">
    <w:abstractNumId w:val="48"/>
  </w:num>
  <w:num w:numId="50">
    <w:abstractNumId w:val="16"/>
  </w:num>
  <w:num w:numId="51">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2915"/>
    <w:rsid w:val="00055DBF"/>
    <w:rsid w:val="00085B55"/>
    <w:rsid w:val="000A6638"/>
    <w:rsid w:val="000B1400"/>
    <w:rsid w:val="000B60E3"/>
    <w:rsid w:val="000B6EFE"/>
    <w:rsid w:val="000D6EB8"/>
    <w:rsid w:val="000E3F24"/>
    <w:rsid w:val="000E7165"/>
    <w:rsid w:val="000F438B"/>
    <w:rsid w:val="0011645F"/>
    <w:rsid w:val="001254E9"/>
    <w:rsid w:val="00131106"/>
    <w:rsid w:val="00135988"/>
    <w:rsid w:val="00137F55"/>
    <w:rsid w:val="00156749"/>
    <w:rsid w:val="0015707F"/>
    <w:rsid w:val="00157602"/>
    <w:rsid w:val="00157F38"/>
    <w:rsid w:val="00162F5C"/>
    <w:rsid w:val="00173821"/>
    <w:rsid w:val="00174A3F"/>
    <w:rsid w:val="0017522C"/>
    <w:rsid w:val="001823F8"/>
    <w:rsid w:val="00193BDC"/>
    <w:rsid w:val="001A37B5"/>
    <w:rsid w:val="001A5652"/>
    <w:rsid w:val="001C4A8F"/>
    <w:rsid w:val="001D079B"/>
    <w:rsid w:val="001F1495"/>
    <w:rsid w:val="001F1E33"/>
    <w:rsid w:val="001F3779"/>
    <w:rsid w:val="001F3C5E"/>
    <w:rsid w:val="001F6925"/>
    <w:rsid w:val="002040E2"/>
    <w:rsid w:val="00216293"/>
    <w:rsid w:val="00216B0A"/>
    <w:rsid w:val="00217360"/>
    <w:rsid w:val="002251D2"/>
    <w:rsid w:val="0022749B"/>
    <w:rsid w:val="002335B1"/>
    <w:rsid w:val="00237B77"/>
    <w:rsid w:val="00245094"/>
    <w:rsid w:val="002457C3"/>
    <w:rsid w:val="00254DAA"/>
    <w:rsid w:val="00256FB1"/>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44D9"/>
    <w:rsid w:val="003459C0"/>
    <w:rsid w:val="003614C2"/>
    <w:rsid w:val="00361EC8"/>
    <w:rsid w:val="00367DDF"/>
    <w:rsid w:val="0037789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61AF"/>
    <w:rsid w:val="0051708D"/>
    <w:rsid w:val="00520D31"/>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42AE2"/>
    <w:rsid w:val="00656127"/>
    <w:rsid w:val="006652B2"/>
    <w:rsid w:val="00671D20"/>
    <w:rsid w:val="006828B0"/>
    <w:rsid w:val="006828D4"/>
    <w:rsid w:val="0069063B"/>
    <w:rsid w:val="00691A52"/>
    <w:rsid w:val="00696322"/>
    <w:rsid w:val="006A312A"/>
    <w:rsid w:val="006A31E8"/>
    <w:rsid w:val="006B0577"/>
    <w:rsid w:val="006C420A"/>
    <w:rsid w:val="006C4ADB"/>
    <w:rsid w:val="006C5401"/>
    <w:rsid w:val="006C77A6"/>
    <w:rsid w:val="006E5FAD"/>
    <w:rsid w:val="006E700E"/>
    <w:rsid w:val="006F3413"/>
    <w:rsid w:val="006F3822"/>
    <w:rsid w:val="006F449E"/>
    <w:rsid w:val="00704201"/>
    <w:rsid w:val="00711660"/>
    <w:rsid w:val="00713F98"/>
    <w:rsid w:val="0072265A"/>
    <w:rsid w:val="00725ABB"/>
    <w:rsid w:val="00733C6A"/>
    <w:rsid w:val="0073651F"/>
    <w:rsid w:val="0074039D"/>
    <w:rsid w:val="00742821"/>
    <w:rsid w:val="00756E95"/>
    <w:rsid w:val="007631A3"/>
    <w:rsid w:val="0077163F"/>
    <w:rsid w:val="007853DF"/>
    <w:rsid w:val="007D024D"/>
    <w:rsid w:val="007D5E1F"/>
    <w:rsid w:val="007D6086"/>
    <w:rsid w:val="007E0F24"/>
    <w:rsid w:val="007E2097"/>
    <w:rsid w:val="007E53E0"/>
    <w:rsid w:val="007E5C81"/>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418"/>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B13693"/>
    <w:rsid w:val="00B2592D"/>
    <w:rsid w:val="00B40BD9"/>
    <w:rsid w:val="00B438FE"/>
    <w:rsid w:val="00B439C9"/>
    <w:rsid w:val="00B442DE"/>
    <w:rsid w:val="00B46C8D"/>
    <w:rsid w:val="00B52594"/>
    <w:rsid w:val="00B568EC"/>
    <w:rsid w:val="00B65D0B"/>
    <w:rsid w:val="00B74D42"/>
    <w:rsid w:val="00B943E6"/>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74C08"/>
    <w:rsid w:val="00D7571E"/>
    <w:rsid w:val="00D7666B"/>
    <w:rsid w:val="00D76951"/>
    <w:rsid w:val="00D8275B"/>
    <w:rsid w:val="00D9319C"/>
    <w:rsid w:val="00DA18F0"/>
    <w:rsid w:val="00DA4B75"/>
    <w:rsid w:val="00DB2FA1"/>
    <w:rsid w:val="00DC54A7"/>
    <w:rsid w:val="00DD4C78"/>
    <w:rsid w:val="00DE78EF"/>
    <w:rsid w:val="00E00631"/>
    <w:rsid w:val="00E02B52"/>
    <w:rsid w:val="00E0364B"/>
    <w:rsid w:val="00E10174"/>
    <w:rsid w:val="00E128E4"/>
    <w:rsid w:val="00E27B80"/>
    <w:rsid w:val="00E37B79"/>
    <w:rsid w:val="00E46EBD"/>
    <w:rsid w:val="00E52FBF"/>
    <w:rsid w:val="00E5327C"/>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46F"/>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3BA2F-E821-483A-A4EA-45C0A715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78</Pages>
  <Words>20101</Words>
  <Characters>114578</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134411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120</cp:revision>
  <cp:lastPrinted>2011-12-14T18:44:00Z</cp:lastPrinted>
  <dcterms:created xsi:type="dcterms:W3CDTF">2011-12-05T20:47:00Z</dcterms:created>
  <dcterms:modified xsi:type="dcterms:W3CDTF">2012-01-12T19:39:00Z</dcterms:modified>
</cp:coreProperties>
</file>