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5A77297" w:rsidR="004D07B9" w:rsidRDefault="004D07B9" w:rsidP="004D07B9">
      <w:pPr>
        <w:pStyle w:val="Subtitle"/>
        <w:rPr>
          <w:i w:val="0"/>
          <w:iCs w:val="0"/>
        </w:rPr>
      </w:pPr>
      <w:r>
        <w:rPr>
          <w:i w:val="0"/>
          <w:iCs w:val="0"/>
        </w:rPr>
        <w:t>December, 2011</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 xml:space="preserve">William H. </w:t>
      </w:r>
      <w:proofErr w:type="spellStart"/>
      <w:r>
        <w:t>Duquette</w:t>
      </w:r>
      <w:proofErr w:type="spellEnd"/>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77777777" w:rsidR="004D07B9" w:rsidRPr="007F1C14" w:rsidRDefault="004D07B9" w:rsidP="004D07B9">
      <w:pPr>
        <w:jc w:val="center"/>
        <w:rPr>
          <w:i/>
          <w:sz w:val="20"/>
          <w:szCs w:val="20"/>
        </w:rPr>
      </w:pPr>
      <w:proofErr w:type="gramStart"/>
      <w:r w:rsidRPr="007F1C14">
        <w:rPr>
          <w:i/>
          <w:sz w:val="20"/>
          <w:szCs w:val="20"/>
        </w:rPr>
        <w:t>© 2008-2011.</w:t>
      </w:r>
      <w:proofErr w:type="gramEnd"/>
      <w:r w:rsidRPr="007F1C14">
        <w:rPr>
          <w:i/>
          <w:sz w:val="20"/>
          <w:szCs w:val="20"/>
        </w:rPr>
        <w:t xml:space="preserve"> </w:t>
      </w:r>
      <w:proofErr w:type="gramStart"/>
      <w:r w:rsidRPr="007F1C14">
        <w:rPr>
          <w:i/>
          <w:sz w:val="20"/>
          <w:szCs w:val="20"/>
        </w:rPr>
        <w:t>Copyright 2008-2011,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7D64E9BB" w14:textId="77777777" w:rsidR="00C244A4" w:rsidRDefault="004D07B9">
      <w:pPr>
        <w:pStyle w:val="TOC1"/>
        <w:tabs>
          <w:tab w:val="left" w:pos="480"/>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C244A4">
        <w:rPr>
          <w:noProof/>
        </w:rPr>
        <w:t>1.</w:t>
      </w:r>
      <w:r w:rsidR="00C244A4">
        <w:rPr>
          <w:rFonts w:eastAsiaTheme="minorEastAsia" w:cstheme="minorBidi"/>
          <w:b w:val="0"/>
          <w:caps w:val="0"/>
          <w:noProof/>
          <w:sz w:val="22"/>
          <w:szCs w:val="22"/>
        </w:rPr>
        <w:tab/>
      </w:r>
      <w:r w:rsidR="00C244A4">
        <w:rPr>
          <w:noProof/>
        </w:rPr>
        <w:t>Introduction</w:t>
      </w:r>
      <w:r w:rsidR="00C244A4">
        <w:rPr>
          <w:noProof/>
        </w:rPr>
        <w:tab/>
      </w:r>
      <w:r w:rsidR="00C244A4">
        <w:rPr>
          <w:noProof/>
        </w:rPr>
        <w:fldChar w:fldCharType="begin"/>
      </w:r>
      <w:r w:rsidR="00C244A4">
        <w:rPr>
          <w:noProof/>
        </w:rPr>
        <w:instrText xml:space="preserve"> PAGEREF _Toc311621795 \h </w:instrText>
      </w:r>
      <w:r w:rsidR="00C244A4">
        <w:rPr>
          <w:noProof/>
        </w:rPr>
      </w:r>
      <w:r w:rsidR="00C244A4">
        <w:rPr>
          <w:noProof/>
        </w:rPr>
        <w:fldChar w:fldCharType="separate"/>
      </w:r>
      <w:r w:rsidR="00131106">
        <w:rPr>
          <w:noProof/>
        </w:rPr>
        <w:t>3</w:t>
      </w:r>
      <w:r w:rsidR="00C244A4">
        <w:rPr>
          <w:noProof/>
        </w:rPr>
        <w:fldChar w:fldCharType="end"/>
      </w:r>
    </w:p>
    <w:p w14:paraId="2367A957" w14:textId="77777777" w:rsidR="00C244A4" w:rsidRDefault="00C244A4">
      <w:pPr>
        <w:pStyle w:val="TOC2"/>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_Toc311621796 \h </w:instrText>
      </w:r>
      <w:r>
        <w:fldChar w:fldCharType="separate"/>
      </w:r>
      <w:r w:rsidR="00131106">
        <w:t>3</w:t>
      </w:r>
      <w:r>
        <w:fldChar w:fldCharType="end"/>
      </w:r>
    </w:p>
    <w:p w14:paraId="5AD83290" w14:textId="77777777" w:rsidR="00C244A4" w:rsidRDefault="00C244A4">
      <w:pPr>
        <w:pStyle w:val="TOC2"/>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_Toc311621797 \h </w:instrText>
      </w:r>
      <w:r>
        <w:fldChar w:fldCharType="separate"/>
      </w:r>
      <w:r w:rsidR="00131106">
        <w:t>3</w:t>
      </w:r>
      <w:r>
        <w:fldChar w:fldCharType="end"/>
      </w:r>
    </w:p>
    <w:p w14:paraId="3318B4DA" w14:textId="77777777" w:rsidR="00C244A4" w:rsidRDefault="00C244A4">
      <w:pPr>
        <w:pStyle w:val="TOC2"/>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_Toc311621798 \h </w:instrText>
      </w:r>
      <w:r>
        <w:fldChar w:fldCharType="separate"/>
      </w:r>
      <w:r w:rsidR="00131106">
        <w:t>4</w:t>
      </w:r>
      <w:r>
        <w:fldChar w:fldCharType="end"/>
      </w:r>
    </w:p>
    <w:p w14:paraId="55DED04F" w14:textId="77777777" w:rsidR="00C244A4" w:rsidRDefault="00C244A4">
      <w:pPr>
        <w:pStyle w:val="TOC1"/>
        <w:tabs>
          <w:tab w:val="left" w:pos="480"/>
          <w:tab w:val="right" w:leader="dot" w:pos="9710"/>
        </w:tabs>
        <w:rPr>
          <w:rFonts w:eastAsiaTheme="minorEastAsia" w:cstheme="minorBidi"/>
          <w:b w:val="0"/>
          <w:caps w:val="0"/>
          <w:noProof/>
          <w:sz w:val="22"/>
          <w:szCs w:val="22"/>
        </w:rPr>
      </w:pPr>
      <w:r>
        <w:rPr>
          <w:noProof/>
        </w:rPr>
        <w:t>2.</w:t>
      </w:r>
      <w:r>
        <w:rPr>
          <w:rFonts w:eastAsiaTheme="minorEastAsia" w:cstheme="minorBidi"/>
          <w:b w:val="0"/>
          <w:caps w:val="0"/>
          <w:noProof/>
          <w:sz w:val="22"/>
          <w:szCs w:val="22"/>
        </w:rPr>
        <w:tab/>
      </w:r>
      <w:r>
        <w:rPr>
          <w:noProof/>
        </w:rPr>
        <w:t>Athena Overview</w:t>
      </w:r>
      <w:r>
        <w:rPr>
          <w:noProof/>
        </w:rPr>
        <w:tab/>
      </w:r>
      <w:r>
        <w:rPr>
          <w:noProof/>
        </w:rPr>
        <w:fldChar w:fldCharType="begin"/>
      </w:r>
      <w:r>
        <w:rPr>
          <w:noProof/>
        </w:rPr>
        <w:instrText xml:space="preserve"> PAGEREF _Toc311621799 \h </w:instrText>
      </w:r>
      <w:r>
        <w:rPr>
          <w:noProof/>
        </w:rPr>
      </w:r>
      <w:r>
        <w:rPr>
          <w:noProof/>
        </w:rPr>
        <w:fldChar w:fldCharType="separate"/>
      </w:r>
      <w:r w:rsidR="00131106">
        <w:rPr>
          <w:noProof/>
        </w:rPr>
        <w:t>6</w:t>
      </w:r>
      <w:r>
        <w:rPr>
          <w:noProof/>
        </w:rPr>
        <w:fldChar w:fldCharType="end"/>
      </w:r>
    </w:p>
    <w:p w14:paraId="5FEA3A9E" w14:textId="77777777" w:rsidR="00C244A4" w:rsidRDefault="00C244A4">
      <w:pPr>
        <w:pStyle w:val="TOC1"/>
        <w:tabs>
          <w:tab w:val="left" w:pos="480"/>
          <w:tab w:val="right" w:leader="dot" w:pos="9710"/>
        </w:tabs>
        <w:rPr>
          <w:rFonts w:eastAsiaTheme="minorEastAsia" w:cstheme="minorBidi"/>
          <w:b w:val="0"/>
          <w:caps w:val="0"/>
          <w:noProof/>
          <w:sz w:val="22"/>
          <w:szCs w:val="22"/>
        </w:rPr>
      </w:pPr>
      <w:r>
        <w:rPr>
          <w:noProof/>
        </w:rPr>
        <w:t>3.</w:t>
      </w:r>
      <w:r>
        <w:rPr>
          <w:rFonts w:eastAsiaTheme="minorEastAsia" w:cstheme="minorBidi"/>
          <w:b w:val="0"/>
          <w:caps w:val="0"/>
          <w:noProof/>
          <w:sz w:val="22"/>
          <w:szCs w:val="22"/>
        </w:rPr>
        <w:tab/>
      </w:r>
      <w:r>
        <w:rPr>
          <w:noProof/>
        </w:rPr>
        <w:t>Athena Objects</w:t>
      </w:r>
      <w:r>
        <w:rPr>
          <w:noProof/>
        </w:rPr>
        <w:tab/>
      </w:r>
      <w:r>
        <w:rPr>
          <w:noProof/>
        </w:rPr>
        <w:fldChar w:fldCharType="begin"/>
      </w:r>
      <w:r>
        <w:rPr>
          <w:noProof/>
        </w:rPr>
        <w:instrText xml:space="preserve"> PAGEREF _Toc311621800 \h </w:instrText>
      </w:r>
      <w:r>
        <w:rPr>
          <w:noProof/>
        </w:rPr>
      </w:r>
      <w:r>
        <w:rPr>
          <w:noProof/>
        </w:rPr>
        <w:fldChar w:fldCharType="separate"/>
      </w:r>
      <w:r w:rsidR="00131106">
        <w:rPr>
          <w:noProof/>
        </w:rPr>
        <w:t>8</w:t>
      </w:r>
      <w:r>
        <w:rPr>
          <w:noProof/>
        </w:rPr>
        <w:fldChar w:fldCharType="end"/>
      </w:r>
    </w:p>
    <w:p w14:paraId="37D7AA06" w14:textId="77777777" w:rsidR="00C244A4" w:rsidRDefault="00C244A4">
      <w:pPr>
        <w:pStyle w:val="TOC2"/>
        <w:rPr>
          <w:rFonts w:eastAsiaTheme="minorEastAsia" w:cstheme="minorBidi"/>
          <w:sz w:val="22"/>
          <w:szCs w:val="22"/>
        </w:rPr>
      </w:pPr>
      <w:r>
        <w:t>3.1</w:t>
      </w:r>
      <w:r>
        <w:rPr>
          <w:rFonts w:eastAsiaTheme="minorEastAsia" w:cstheme="minorBidi"/>
          <w:sz w:val="22"/>
          <w:szCs w:val="22"/>
        </w:rPr>
        <w:tab/>
      </w:r>
      <w:r>
        <w:t>The Playbox</w:t>
      </w:r>
      <w:r>
        <w:tab/>
      </w:r>
      <w:r>
        <w:fldChar w:fldCharType="begin"/>
      </w:r>
      <w:r>
        <w:instrText xml:space="preserve"> PAGEREF _Toc311621801 \h </w:instrText>
      </w:r>
      <w:r>
        <w:fldChar w:fldCharType="separate"/>
      </w:r>
      <w:r w:rsidR="00131106">
        <w:t>8</w:t>
      </w:r>
      <w:r>
        <w:fldChar w:fldCharType="end"/>
      </w:r>
    </w:p>
    <w:p w14:paraId="38C6715D" w14:textId="1C50E434" w:rsidR="004D07B9" w:rsidRDefault="004D07B9" w:rsidP="007F1C14">
      <w:pPr>
        <w:pStyle w:val="TOC3"/>
      </w:pPr>
      <w:r>
        <w:fldChar w:fldCharType="end"/>
      </w:r>
    </w:p>
    <w:p w14:paraId="4CA4590B" w14:textId="72586EC2" w:rsidR="006C5401" w:rsidRPr="003E6DED" w:rsidRDefault="003E6DED" w:rsidP="003E6DED">
      <w:pPr>
        <w:pStyle w:val="Heading1"/>
      </w:pPr>
      <w:bookmarkStart w:id="0" w:name="_Toc311621795"/>
      <w:r w:rsidRPr="003E6DED">
        <w:lastRenderedPageBreak/>
        <w:t>Introduction</w:t>
      </w:r>
      <w:bookmarkEnd w:id="0"/>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6A3FA99C"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 mention everything in between).</w:t>
      </w:r>
    </w:p>
    <w:p w14:paraId="5E6F2AC2" w14:textId="77777777" w:rsidR="0015707F" w:rsidRDefault="0015707F" w:rsidP="003E6DED"/>
    <w:p w14:paraId="63E0EADC" w14:textId="29A334FF" w:rsidR="00756E95" w:rsidRDefault="006C5401" w:rsidP="003E6DED">
      <w:pPr>
        <w:pStyle w:val="Heading2"/>
      </w:pPr>
      <w:r>
        <w:t xml:space="preserve"> </w:t>
      </w:r>
      <w:bookmarkStart w:id="1" w:name="_Toc311621796"/>
      <w:r w:rsidR="003E6DED">
        <w:t>Overview</w:t>
      </w:r>
      <w:r w:rsidR="00470686">
        <w:t xml:space="preserve"> of This Document</w:t>
      </w:r>
      <w:bookmarkEnd w:id="1"/>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1FBC717C" w:rsidR="00137F55" w:rsidRDefault="00137F55" w:rsidP="00137F55">
      <w:pPr>
        <w:pStyle w:val="ListParagraph"/>
        <w:numPr>
          <w:ilvl w:val="0"/>
          <w:numId w:val="12"/>
        </w:numPr>
      </w:pPr>
      <w:r>
        <w:t xml:space="preserve">Sections 2 through </w:t>
      </w:r>
      <w:r w:rsidR="004769B3">
        <w:fldChar w:fldCharType="begin"/>
      </w:r>
      <w:r w:rsidR="004769B3">
        <w:instrText xml:space="preserve"> REF _Ref311636060 \r \h </w:instrText>
      </w:r>
      <w:r w:rsidR="004769B3">
        <w:fldChar w:fldCharType="separate"/>
      </w:r>
      <w:r w:rsidR="004769B3">
        <w:t>9</w:t>
      </w:r>
      <w:r w:rsidR="004769B3">
        <w:fldChar w:fldCharType="end"/>
      </w:r>
      <w:r w:rsidR="004769B3">
        <w:t xml:space="preserve"> </w:t>
      </w:r>
      <w:r>
        <w:t>describe</w:t>
      </w:r>
      <w:r w:rsidR="00470686">
        <w:t xml:space="preserve"> the Athena models and philosophy at a conceptual level; those interested in more detail can see the low-level model descriptions in the </w:t>
      </w:r>
      <w:r w:rsidR="00470686" w:rsidRPr="00137F55">
        <w:rPr>
          <w:i/>
        </w:rPr>
        <w:t>Athena Analyst’s Guide</w:t>
      </w:r>
      <w:r w:rsidR="00470686">
        <w:t xml:space="preserve">.  </w:t>
      </w:r>
    </w:p>
    <w:p w14:paraId="32714E4E" w14:textId="77777777" w:rsidR="00137F55" w:rsidRDefault="00137F55" w:rsidP="00137F55">
      <w:pPr>
        <w:pStyle w:val="ListParagraph"/>
        <w:numPr>
          <w:ilvl w:val="0"/>
          <w:numId w:val="12"/>
        </w:numPr>
      </w:pPr>
      <w:r>
        <w:t>Sections TBD through TBD describe the Athena application itself: the parts of the application, how to enter scenario data, how to run the simulation, and how to find the results.</w:t>
      </w:r>
    </w:p>
    <w:p w14:paraId="0BDF556C" w14:textId="77777777" w:rsidR="00137F55" w:rsidRDefault="00137F55" w:rsidP="00137F55">
      <w:pPr>
        <w:pStyle w:val="ListParagraph"/>
        <w:numPr>
          <w:ilvl w:val="0"/>
          <w:numId w:val="12"/>
        </w:numPr>
      </w:pPr>
      <w:r>
        <w:t xml:space="preserve">Sections TBD through TBD contain </w:t>
      </w:r>
      <w:r w:rsidR="00470686">
        <w:t>a cookbook of how to make use of Athena’s models and inputs for particular problems.</w:t>
      </w:r>
    </w:p>
    <w:p w14:paraId="5E95C297" w14:textId="7B060C9A" w:rsidR="00470686" w:rsidRDefault="00137F55" w:rsidP="00137F55">
      <w:pPr>
        <w:pStyle w:val="ListParagraph"/>
        <w:numPr>
          <w:ilvl w:val="0"/>
          <w:numId w:val="12"/>
        </w:numPr>
      </w:pPr>
      <w:r>
        <w:t>Sections TBD through TBD contain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470686">
      <w:pPr>
        <w:pStyle w:val="Heading2"/>
      </w:pPr>
      <w:bookmarkStart w:id="2" w:name="_Toc311621797"/>
      <w:r>
        <w:t>Other Documents</w:t>
      </w:r>
      <w:bookmarkEnd w:id="2"/>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A6059B">
      <w:pPr>
        <w:pStyle w:val="Heading2"/>
      </w:pPr>
      <w:bookmarkStart w:id="3" w:name="_Toc311621798"/>
      <w:r>
        <w:t>Changes for Athena 3</w:t>
      </w:r>
      <w:bookmarkEnd w:id="3"/>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982F2E">
      <w:pPr>
        <w:pStyle w:val="Heading1"/>
      </w:pPr>
      <w:bookmarkStart w:id="4" w:name="_Toc311621799"/>
      <w:bookmarkStart w:id="5" w:name="_Ref311625408"/>
      <w:r w:rsidRPr="00982F2E">
        <w:lastRenderedPageBreak/>
        <w:t xml:space="preserve">Athena </w:t>
      </w:r>
      <w:r w:rsidR="004769B3">
        <w:t xml:space="preserve">Model </w:t>
      </w:r>
      <w:r w:rsidRPr="00982F2E">
        <w:t>Overview</w:t>
      </w:r>
      <w:bookmarkEnd w:id="4"/>
      <w:bookmarkEnd w:id="5"/>
    </w:p>
    <w:p w14:paraId="5EAA193C" w14:textId="77777777" w:rsidR="00256FB1" w:rsidRDefault="00256FB1" w:rsidP="00256FB1"/>
    <w:p w14:paraId="75AA1DC1" w14:textId="77777777" w:rsidR="00256FB1" w:rsidRDefault="00256FB1" w:rsidP="00256FB1">
      <w:r>
        <w:t xml:space="preserve">Athena is a collection of many models that involve the relations and interactions between a </w:t>
      </w:r>
      <w:proofErr w:type="gramStart"/>
      <w:r>
        <w:t>number</w:t>
      </w:r>
      <w:proofErr w:type="gramEnd"/>
      <w:r>
        <w:t xml:space="preserve"> of </w:t>
      </w:r>
      <w:r>
        <w:t xml:space="preserve">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FA0467">
      <w:pPr>
        <w:pStyle w:val="Heading2"/>
      </w:pPr>
      <w:r>
        <w:t>The Simulation and its Objects</w:t>
      </w:r>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5D36C3">
      <w:pPr>
        <w:pStyle w:val="Heading2"/>
      </w:pPr>
      <w:r>
        <w:t>The Six Modeling Areas</w:t>
      </w:r>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3B6D0CFB" w:rsidR="009A3336" w:rsidRDefault="009A3336" w:rsidP="009A3336">
      <w:pPr>
        <w:ind w:left="360"/>
      </w:pPr>
      <w:r>
        <w:t xml:space="preserve">Literally, where things are on the ground, the things they are doing, and what is happening to them as a result.  </w:t>
      </w:r>
      <w:proofErr w:type="gramStart"/>
      <w:r>
        <w:t>(Section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roofErr w:type="gramEnd"/>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540C370F" w:rsidR="009A3336" w:rsidRDefault="009A3336" w:rsidP="009A3336">
      <w:pPr>
        <w:ind w:left="360"/>
      </w:pPr>
      <w:r>
        <w:t xml:space="preserve">This area concerns where civilians live and how many of them there are, along with the computation of such population statistics as the number of consumers in the local economy.  </w:t>
      </w:r>
      <w:proofErr w:type="gramStart"/>
      <w:r>
        <w:t xml:space="preserve">(Section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roofErr w:type="gramEnd"/>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4936B952"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w:t>
      </w:r>
      <w:proofErr w:type="gramStart"/>
      <w:r>
        <w:t xml:space="preserve">(Section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roofErr w:type="gramEnd"/>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2D2DFB9E"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proofErr w:type="gramStart"/>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roofErr w:type="gramEnd"/>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70820C76" w:rsidR="00EC34AD" w:rsidRDefault="00EC34AD" w:rsidP="00EC34AD">
      <w:pPr>
        <w:ind w:left="360"/>
      </w:pPr>
      <w:r>
        <w:t>This area deals with the local economy, relating changes in population and production to the consumer price index (CPI) and the unemployment rate.</w:t>
      </w:r>
      <w:r w:rsidR="004769B3">
        <w:t xml:space="preserve">  </w:t>
      </w:r>
      <w:proofErr w:type="gramStart"/>
      <w:r w:rsidR="004769B3">
        <w:t xml:space="preserve">(Section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roofErr w:type="gramEnd"/>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5DC12A58" w:rsidR="00EC34AD" w:rsidRDefault="00EC34AD" w:rsidP="00EC34AD">
      <w:pPr>
        <w:ind w:left="360"/>
      </w:pPr>
      <w:r>
        <w:t>This area deals with information flow in the playbox, and especially the effect of information flow and information campaigns on attitudes and politics.</w:t>
      </w:r>
      <w:r w:rsidR="004769B3">
        <w:t xml:space="preserve">  </w:t>
      </w:r>
      <w:proofErr w:type="gramStart"/>
      <w:r w:rsidR="004769B3">
        <w:t xml:space="preserve">(Section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roofErr w:type="gramEnd"/>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bookmarkStart w:id="6" w:name="_GoBack"/>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bookmarkEnd w:id="6"/>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10BE422F" w14:textId="3172DB8E" w:rsidR="00BE03DA" w:rsidRDefault="00BE03DA" w:rsidP="008877C5">
      <w:r>
        <w:t xml:space="preserve">There is a chicken and egg problem here: to understand the models, it is necessary to understand the objects (neighborhoods, groups, etc.) they use; but it is difficult to discuss the objects without describing the models that use them.  Because the models are described in detail elsewhere, but the objects are described in detail in the reference sections of this document, we will take the chicken firmly by the horns and discuss the models first.  The reader may find it useful to skim Section </w:t>
      </w:r>
      <w:r>
        <w:fldChar w:fldCharType="begin"/>
      </w:r>
      <w:r>
        <w:instrText xml:space="preserve"> REF _Ref311638522 \r \h </w:instrText>
      </w:r>
      <w:r>
        <w:fldChar w:fldCharType="separate"/>
      </w:r>
      <w:r>
        <w:t>9</w:t>
      </w:r>
      <w:r>
        <w:fldChar w:fldCharType="end"/>
      </w:r>
      <w:r>
        <w:t xml:space="preserve"> before proceeding.</w:t>
      </w:r>
    </w:p>
    <w:p w14:paraId="69D830A2" w14:textId="7FF53694" w:rsidR="00D8275B" w:rsidRPr="006828B0" w:rsidRDefault="00D8275B" w:rsidP="00D8275B">
      <w:pPr>
        <w:pStyle w:val="Heading1"/>
      </w:pPr>
      <w:bookmarkStart w:id="7" w:name="_Ref311699850"/>
      <w:r>
        <w:lastRenderedPageBreak/>
        <w:t>Ground</w:t>
      </w:r>
      <w:bookmarkEnd w:id="7"/>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77777777" w:rsidR="00D8275B" w:rsidRDefault="00D8275B" w:rsidP="00D8275B">
      <w:pPr>
        <w:pStyle w:val="ListParagraph"/>
        <w:numPr>
          <w:ilvl w:val="0"/>
          <w:numId w:val="14"/>
        </w:numPr>
      </w:pPr>
      <w:r>
        <w:t>The breakdown of the playbox into neighborhoods</w:t>
      </w:r>
    </w:p>
    <w:p w14:paraId="5DCF6908" w14:textId="77777777" w:rsidR="00D8275B" w:rsidRDefault="00D8275B" w:rsidP="00D8275B">
      <w:pPr>
        <w:pStyle w:val="ListParagraph"/>
        <w:numPr>
          <w:ilvl w:val="0"/>
          <w:numId w:val="14"/>
        </w:numPr>
      </w:pPr>
      <w:r>
        <w:t>The relationships among the neighborhoods</w:t>
      </w:r>
    </w:p>
    <w:p w14:paraId="78FD399C" w14:textId="77777777" w:rsidR="00D8275B" w:rsidRDefault="00D8275B" w:rsidP="00D8275B">
      <w:pPr>
        <w:pStyle w:val="ListParagraph"/>
        <w:numPr>
          <w:ilvl w:val="0"/>
          <w:numId w:val="14"/>
        </w:numPr>
      </w:pPr>
      <w:r>
        <w:t>Where civilian, force, and organization personnel are located</w:t>
      </w:r>
    </w:p>
    <w:p w14:paraId="2598107B" w14:textId="77777777" w:rsidR="00D8275B" w:rsidRDefault="00D8275B" w:rsidP="00D8275B">
      <w:pPr>
        <w:pStyle w:val="ListParagraph"/>
        <w:numPr>
          <w:ilvl w:val="0"/>
          <w:numId w:val="14"/>
        </w:numPr>
      </w:pPr>
      <w:r>
        <w:t>The activities that they are performing, including combat activities</w:t>
      </w:r>
    </w:p>
    <w:p w14:paraId="55BD0D6F" w14:textId="77777777" w:rsidR="00D8275B" w:rsidRDefault="00D8275B" w:rsidP="00D8275B">
      <w:pPr>
        <w:pStyle w:val="ListParagraph"/>
        <w:numPr>
          <w:ilvl w:val="0"/>
          <w:numId w:val="14"/>
        </w:numPr>
      </w:pPr>
      <w:r>
        <w:t>The Athena Attrition Model (AAM)</w:t>
      </w:r>
    </w:p>
    <w:p w14:paraId="50B9317E" w14:textId="77777777" w:rsidR="00D8275B" w:rsidRDefault="00D8275B" w:rsidP="00D8275B">
      <w:pPr>
        <w:pStyle w:val="ListParagraph"/>
        <w:numPr>
          <w:ilvl w:val="0"/>
          <w:numId w:val="14"/>
        </w:numPr>
      </w:pPr>
      <w:r>
        <w:t>Neighborhood security levels</w:t>
      </w:r>
    </w:p>
    <w:p w14:paraId="6BAC8444" w14:textId="77777777" w:rsidR="00D8275B" w:rsidRDefault="00D8275B" w:rsidP="00D8275B"/>
    <w:p w14:paraId="545B0835" w14:textId="77777777" w:rsidR="00D8275B" w:rsidRDefault="00D8275B" w:rsidP="00D8275B">
      <w:r>
        <w:t>Events and situations occurring in the Ground Model affect attitudes in the Attitudes Model.</w:t>
      </w:r>
    </w:p>
    <w:p w14:paraId="4356BB7C" w14:textId="77777777" w:rsidR="00D8275B" w:rsidRDefault="00D8275B" w:rsidP="00D8275B"/>
    <w:p w14:paraId="716362E7" w14:textId="77777777" w:rsidR="00D8275B" w:rsidRDefault="00D8275B" w:rsidP="00D8275B">
      <w:pPr>
        <w:pStyle w:val="Heading1"/>
      </w:pPr>
      <w:bookmarkStart w:id="8" w:name="_Ref311700038"/>
      <w:r>
        <w:lastRenderedPageBreak/>
        <w:t>Demographics</w:t>
      </w:r>
      <w:bookmarkEnd w:id="8"/>
    </w:p>
    <w:p w14:paraId="0CD6367A" w14:textId="77777777" w:rsidR="00D8275B" w:rsidRDefault="00D8275B" w:rsidP="00D8275B"/>
    <w:p w14:paraId="10F491DB" w14:textId="77777777" w:rsidR="00D8275B" w:rsidRDefault="00D8275B" w:rsidP="00D8275B">
      <w:r>
        <w:t xml:space="preserve">The </w:t>
      </w:r>
      <w:r>
        <w:rPr>
          <w:i/>
        </w:rPr>
        <w:t>Demographics</w:t>
      </w:r>
      <w:r>
        <w:t xml:space="preserve"> </w:t>
      </w:r>
      <w:r>
        <w:rPr>
          <w:i/>
        </w:rPr>
        <w:t>M</w:t>
      </w:r>
      <w:r w:rsidRPr="00851ADB">
        <w:rPr>
          <w:i/>
        </w:rPr>
        <w:t>odel</w:t>
      </w:r>
      <w:r>
        <w:t xml:space="preserve"> is closely tied to the Ground Model, as it is concerned with how many civilians there are and where they live.  It is also responsible for determining the size of the labor force, the number of consumers in the local economy, and similar population statistics.  In addition, it determines the effects of unemployment on each civilian group, which in turn drives attitude change in the Attitudes Model.</w:t>
      </w:r>
    </w:p>
    <w:p w14:paraId="118C467E" w14:textId="77777777" w:rsidR="00D8275B" w:rsidRDefault="00D8275B" w:rsidP="00D8275B"/>
    <w:p w14:paraId="4D7911A3" w14:textId="77777777" w:rsidR="00D8275B" w:rsidRDefault="00D8275B" w:rsidP="00D8275B">
      <w:pPr>
        <w:pStyle w:val="Heading1"/>
      </w:pPr>
      <w:bookmarkStart w:id="9" w:name="_Ref311700044"/>
      <w:r>
        <w:lastRenderedPageBreak/>
        <w:t>Attitudes</w:t>
      </w:r>
      <w:bookmarkEnd w:id="9"/>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D8275B">
      <w:pPr>
        <w:pStyle w:val="ListParagraph"/>
        <w:numPr>
          <w:ilvl w:val="0"/>
          <w:numId w:val="15"/>
        </w:numPr>
      </w:pPr>
      <w:r>
        <w:t>The belief systems of each of the actors and civilian groups</w:t>
      </w:r>
    </w:p>
    <w:p w14:paraId="36F9254B" w14:textId="77777777" w:rsidR="00D8275B" w:rsidRDefault="00D8275B" w:rsidP="00D8275B">
      <w:pPr>
        <w:pStyle w:val="ListParagraph"/>
        <w:numPr>
          <w:ilvl w:val="0"/>
          <w:numId w:val="15"/>
        </w:numPr>
      </w:pPr>
      <w:r>
        <w:t>The vertical relationships between groups and actors</w:t>
      </w:r>
    </w:p>
    <w:p w14:paraId="0F187728" w14:textId="77777777" w:rsidR="00D8275B" w:rsidRDefault="00D8275B" w:rsidP="00D8275B">
      <w:pPr>
        <w:pStyle w:val="ListParagraph"/>
        <w:numPr>
          <w:ilvl w:val="0"/>
          <w:numId w:val="15"/>
        </w:numPr>
      </w:pPr>
      <w:r>
        <w:t>The horizontal relationships between groups</w:t>
      </w:r>
    </w:p>
    <w:p w14:paraId="389FE2E4" w14:textId="77777777" w:rsidR="00D8275B" w:rsidRDefault="00D8275B" w:rsidP="00D8275B">
      <w:pPr>
        <w:pStyle w:val="ListParagraph"/>
        <w:numPr>
          <w:ilvl w:val="0"/>
          <w:numId w:val="15"/>
        </w:numPr>
      </w:pPr>
      <w:r>
        <w:t>The satisfaction of the civilian groups with respect to various concerns</w:t>
      </w:r>
    </w:p>
    <w:p w14:paraId="68D028DB" w14:textId="77777777" w:rsidR="00D8275B" w:rsidRDefault="00D8275B" w:rsidP="00D8275B">
      <w:pPr>
        <w:pStyle w:val="ListParagraph"/>
        <w:numPr>
          <w:ilvl w:val="0"/>
          <w:numId w:val="15"/>
        </w:numPr>
      </w:pPr>
      <w:r>
        <w:t>The cooperation (i.e., willingness to share information) of the civilian groups with respect to the force groups.</w:t>
      </w:r>
    </w:p>
    <w:p w14:paraId="14BC4635" w14:textId="77777777" w:rsidR="00D8275B" w:rsidRDefault="00D8275B" w:rsidP="00D8275B">
      <w:pPr>
        <w:pStyle w:val="ListParagraph"/>
        <w:numPr>
          <w:ilvl w:val="0"/>
          <w:numId w:val="15"/>
        </w:numPr>
      </w:pPr>
      <w:r>
        <w:t>Assessment of the effects of events and situations in the other models on the attitudes.</w:t>
      </w:r>
    </w:p>
    <w:p w14:paraId="15DE2145" w14:textId="77777777" w:rsidR="00D8275B" w:rsidRDefault="00D8275B" w:rsidP="00D8275B">
      <w:pPr>
        <w:ind w:left="360"/>
      </w:pPr>
    </w:p>
    <w:p w14:paraId="05AF0885" w14:textId="77777777" w:rsidR="00D8275B" w:rsidRDefault="00D8275B" w:rsidP="00D8275B">
      <w:r>
        <w:t xml:space="preserve">Note that the term </w:t>
      </w:r>
      <w:proofErr w:type="gramStart"/>
      <w:r>
        <w:rPr>
          <w:i/>
        </w:rPr>
        <w:t>attitudes</w:t>
      </w:r>
      <w:r>
        <w:t xml:space="preserve"> properly applies</w:t>
      </w:r>
      <w:proofErr w:type="gramEnd"/>
      <w:r>
        <w:t xml:space="preserve"> to satisfaction and cooperation levels, which are managed by the Athena Regional Attitudes Model (ARAM).  However, the relationships (which derive from the belief systems, among other things) are also attitudes in a wider sense.</w:t>
      </w:r>
    </w:p>
    <w:p w14:paraId="26E68F7D" w14:textId="77777777" w:rsidR="00D8275B" w:rsidRDefault="00D8275B" w:rsidP="00D8275B"/>
    <w:p w14:paraId="761B7896" w14:textId="77777777" w:rsidR="00D8275B" w:rsidRDefault="00D8275B" w:rsidP="00D8275B">
      <w:pPr>
        <w:pStyle w:val="Heading1"/>
      </w:pPr>
      <w:bookmarkStart w:id="10" w:name="_Ref311700050"/>
      <w:r>
        <w:lastRenderedPageBreak/>
        <w:t>Politics</w:t>
      </w:r>
      <w:bookmarkEnd w:id="10"/>
    </w:p>
    <w:p w14:paraId="16EE0BF4" w14:textId="77777777" w:rsidR="00D8275B" w:rsidRDefault="00D8275B" w:rsidP="00D8275B"/>
    <w:p w14:paraId="454D540D" w14:textId="77777777" w:rsidR="00D8275B" w:rsidRDefault="00D8275B" w:rsidP="00D8275B">
      <w:r>
        <w:t xml:space="preserve">The </w:t>
      </w:r>
      <w:r>
        <w:rPr>
          <w:i/>
        </w:rPr>
        <w:t>Politics Model</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4D96E0B8" w14:textId="77777777" w:rsidR="00D8275B" w:rsidRDefault="00D8275B" w:rsidP="00D8275B">
      <w:pPr>
        <w:pStyle w:val="Heading1"/>
      </w:pPr>
      <w:bookmarkStart w:id="11" w:name="_Ref311700057"/>
      <w:r>
        <w:lastRenderedPageBreak/>
        <w:t>Economics</w:t>
      </w:r>
      <w:bookmarkEnd w:id="11"/>
    </w:p>
    <w:p w14:paraId="3037C903" w14:textId="77777777" w:rsidR="00D8275B" w:rsidRDefault="00D8275B" w:rsidP="00D8275B"/>
    <w:p w14:paraId="67274D95" w14:textId="77777777" w:rsidR="00D8275B" w:rsidRPr="006167A2" w:rsidRDefault="00D8275B" w:rsidP="00D8275B">
      <w:r>
        <w:t>TBD</w:t>
      </w:r>
    </w:p>
    <w:p w14:paraId="71A3F0D4" w14:textId="77777777" w:rsidR="006828B0" w:rsidRDefault="006828B0" w:rsidP="006828B0"/>
    <w:p w14:paraId="055953C8" w14:textId="7BDE0F80" w:rsidR="00D8275B" w:rsidRDefault="00D8275B" w:rsidP="00D8275B">
      <w:pPr>
        <w:pStyle w:val="Heading1"/>
      </w:pPr>
      <w:bookmarkStart w:id="12" w:name="_Ref311636060"/>
      <w:r>
        <w:lastRenderedPageBreak/>
        <w:t>Information</w:t>
      </w:r>
      <w:bookmarkEnd w:id="12"/>
    </w:p>
    <w:p w14:paraId="517B351C" w14:textId="77777777" w:rsidR="00BE03DA" w:rsidRDefault="00BE03DA" w:rsidP="00BE03DA"/>
    <w:p w14:paraId="71F5A87E" w14:textId="77777777" w:rsidR="00BE03DA" w:rsidRPr="00C84438" w:rsidRDefault="00BE03DA" w:rsidP="00BE03DA">
      <w:pPr>
        <w:pStyle w:val="Heading1"/>
      </w:pPr>
      <w:bookmarkStart w:id="13" w:name="_Toc311621800"/>
      <w:bookmarkStart w:id="14" w:name="_Ref311638522"/>
      <w:bookmarkStart w:id="15" w:name="_Ref311699814"/>
      <w:r>
        <w:lastRenderedPageBreak/>
        <w:t>Athena Objects</w:t>
      </w:r>
      <w:bookmarkEnd w:id="13"/>
      <w:bookmarkEnd w:id="14"/>
      <w:bookmarkEnd w:id="15"/>
    </w:p>
    <w:p w14:paraId="784DE660" w14:textId="77777777" w:rsidR="00BE03DA" w:rsidRDefault="00BE03DA" w:rsidP="00BE03DA"/>
    <w:p w14:paraId="5F8BF3C6" w14:textId="77777777" w:rsidR="00BE03DA" w:rsidRDefault="00BE03DA" w:rsidP="00BE03DA">
      <w:r>
        <w:t>An Athena scenario consists of a collection of related objects created by the analyst, upon which the Athena models operate.  This section describes the objects and their data attributes in some detail; we suggest that the reader skim this section on first reading, and then go on to the model areas, returning to this section for details as needed.</w:t>
      </w:r>
    </w:p>
    <w:p w14:paraId="1713D95C" w14:textId="77777777" w:rsidR="00BE03DA" w:rsidRDefault="00BE03DA" w:rsidP="00BE03DA">
      <w:pPr>
        <w:pStyle w:val="Heading2"/>
      </w:pPr>
      <w:bookmarkStart w:id="16" w:name="_Toc311621801"/>
      <w:r>
        <w:t>The Playbox</w:t>
      </w:r>
      <w:bookmarkEnd w:id="16"/>
    </w:p>
    <w:p w14:paraId="6F865D82" w14:textId="77777777" w:rsidR="00BE03DA" w:rsidRDefault="00BE03DA" w:rsidP="00BE03DA"/>
    <w:p w14:paraId="7EB146CA" w14:textId="77777777" w:rsidR="00BE03DA" w:rsidRPr="00BE03DA" w:rsidRDefault="00BE03DA" w:rsidP="00BE03DA"/>
    <w:sectPr w:rsidR="00BE03DA" w:rsidRPr="00BE03DA" w:rsidSect="004D07B9">
      <w:headerReference w:type="default" r:id="rId11"/>
      <w:footerReference w:type="default" r:id="rId1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59E8B" w14:textId="77777777" w:rsidR="00BC1F92" w:rsidRDefault="00BC1F92">
      <w:r>
        <w:separator/>
      </w:r>
    </w:p>
    <w:p w14:paraId="59DFE5E1" w14:textId="77777777" w:rsidR="00BC1F92" w:rsidRDefault="00BC1F92"/>
    <w:p w14:paraId="7D82C918" w14:textId="77777777" w:rsidR="00BC1F92" w:rsidRDefault="00BC1F92" w:rsidP="00D7666B"/>
  </w:endnote>
  <w:endnote w:type="continuationSeparator" w:id="0">
    <w:p w14:paraId="758093A3" w14:textId="77777777" w:rsidR="00BC1F92" w:rsidRDefault="00BC1F92">
      <w:r>
        <w:continuationSeparator/>
      </w:r>
    </w:p>
    <w:p w14:paraId="60ACCA00" w14:textId="77777777" w:rsidR="00BC1F92" w:rsidRDefault="00BC1F92"/>
    <w:p w14:paraId="5FCE5085" w14:textId="77777777" w:rsidR="00BC1F92" w:rsidRDefault="00BC1F92"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D10A70" w:rsidRDefault="00D10A70"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FA0467">
      <w:rPr>
        <w:rStyle w:val="PageNumber"/>
        <w:noProof/>
      </w:rPr>
      <w:t>7</w:t>
    </w:r>
    <w:r>
      <w:rPr>
        <w:rStyle w:val="PageNumber"/>
      </w:rPr>
      <w:fldChar w:fldCharType="end"/>
    </w:r>
  </w:p>
  <w:p w14:paraId="2AA40724" w14:textId="77777777" w:rsidR="009B012F" w:rsidRDefault="009B012F"/>
  <w:p w14:paraId="543EF6AC" w14:textId="77777777" w:rsidR="009B012F" w:rsidRDefault="009B012F"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6AE0F7" w14:textId="77777777" w:rsidR="00BC1F92" w:rsidRDefault="00BC1F92">
      <w:r>
        <w:separator/>
      </w:r>
    </w:p>
    <w:p w14:paraId="23454344" w14:textId="77777777" w:rsidR="00BC1F92" w:rsidRDefault="00BC1F92"/>
    <w:p w14:paraId="333251E2" w14:textId="77777777" w:rsidR="00BC1F92" w:rsidRDefault="00BC1F92" w:rsidP="00D7666B"/>
  </w:footnote>
  <w:footnote w:type="continuationSeparator" w:id="0">
    <w:p w14:paraId="309F4EDD" w14:textId="77777777" w:rsidR="00BC1F92" w:rsidRDefault="00BC1F92">
      <w:r>
        <w:continuationSeparator/>
      </w:r>
    </w:p>
    <w:p w14:paraId="6AA140EF" w14:textId="77777777" w:rsidR="00BC1F92" w:rsidRDefault="00BC1F92"/>
    <w:p w14:paraId="47450A0F" w14:textId="77777777" w:rsidR="00BC1F92" w:rsidRDefault="00BC1F92" w:rsidP="00D766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4D07B9" w:rsidRPr="004D07B9" w:rsidRDefault="004D07B9">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9B012F" w:rsidRDefault="009B012F"/>
  <w:p w14:paraId="2A8EE832" w14:textId="77777777" w:rsidR="009B012F" w:rsidRDefault="009B012F"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4">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5">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7">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8">
    <w:nsid w:val="4FB22330"/>
    <w:multiLevelType w:val="hybridMultilevel"/>
    <w:tmpl w:val="2068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E35C12"/>
    <w:multiLevelType w:val="multilevel"/>
    <w:tmpl w:val="86D2B5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3">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9"/>
  </w:num>
  <w:num w:numId="2">
    <w:abstractNumId w:val="7"/>
  </w:num>
  <w:num w:numId="3">
    <w:abstractNumId w:val="5"/>
  </w:num>
  <w:num w:numId="4">
    <w:abstractNumId w:val="6"/>
  </w:num>
  <w:num w:numId="5">
    <w:abstractNumId w:val="14"/>
  </w:num>
  <w:num w:numId="6">
    <w:abstractNumId w:val="4"/>
  </w:num>
  <w:num w:numId="7">
    <w:abstractNumId w:val="3"/>
  </w:num>
  <w:num w:numId="8">
    <w:abstractNumId w:val="1"/>
  </w:num>
  <w:num w:numId="9">
    <w:abstractNumId w:val="12"/>
  </w:num>
  <w:num w:numId="10">
    <w:abstractNumId w:val="10"/>
  </w:num>
  <w:num w:numId="11">
    <w:abstractNumId w:val="2"/>
  </w:num>
  <w:num w:numId="12">
    <w:abstractNumId w:val="0"/>
  </w:num>
  <w:num w:numId="13">
    <w:abstractNumId w:val="8"/>
  </w:num>
  <w:num w:numId="14">
    <w:abstractNumId w:val="13"/>
  </w:num>
  <w:num w:numId="15">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10B24"/>
    <w:rsid w:val="00016DF0"/>
    <w:rsid w:val="000426DC"/>
    <w:rsid w:val="0004459C"/>
    <w:rsid w:val="00085B55"/>
    <w:rsid w:val="000B1400"/>
    <w:rsid w:val="000B60E3"/>
    <w:rsid w:val="000B6EFE"/>
    <w:rsid w:val="000D6EB8"/>
    <w:rsid w:val="0011645F"/>
    <w:rsid w:val="00131106"/>
    <w:rsid w:val="00137F55"/>
    <w:rsid w:val="00156749"/>
    <w:rsid w:val="0015707F"/>
    <w:rsid w:val="00157602"/>
    <w:rsid w:val="00157F38"/>
    <w:rsid w:val="00162F5C"/>
    <w:rsid w:val="00174A3F"/>
    <w:rsid w:val="001A5652"/>
    <w:rsid w:val="001C4A8F"/>
    <w:rsid w:val="001D079B"/>
    <w:rsid w:val="001F1E33"/>
    <w:rsid w:val="001F3C5E"/>
    <w:rsid w:val="001F6925"/>
    <w:rsid w:val="002040E2"/>
    <w:rsid w:val="002251D2"/>
    <w:rsid w:val="00237B77"/>
    <w:rsid w:val="002457C3"/>
    <w:rsid w:val="00256FB1"/>
    <w:rsid w:val="00265F30"/>
    <w:rsid w:val="00282E00"/>
    <w:rsid w:val="00284B5B"/>
    <w:rsid w:val="002A204C"/>
    <w:rsid w:val="002C7D2F"/>
    <w:rsid w:val="002D708E"/>
    <w:rsid w:val="002F09F0"/>
    <w:rsid w:val="00300366"/>
    <w:rsid w:val="0030257D"/>
    <w:rsid w:val="00307C2F"/>
    <w:rsid w:val="0031251A"/>
    <w:rsid w:val="00314031"/>
    <w:rsid w:val="003160E3"/>
    <w:rsid w:val="00316EB9"/>
    <w:rsid w:val="00324365"/>
    <w:rsid w:val="003303C0"/>
    <w:rsid w:val="00333C4D"/>
    <w:rsid w:val="003444D9"/>
    <w:rsid w:val="003614C2"/>
    <w:rsid w:val="00361EC8"/>
    <w:rsid w:val="00367DDF"/>
    <w:rsid w:val="00392F5C"/>
    <w:rsid w:val="003A1812"/>
    <w:rsid w:val="003A4485"/>
    <w:rsid w:val="003B34C3"/>
    <w:rsid w:val="003B78A6"/>
    <w:rsid w:val="003C4ECC"/>
    <w:rsid w:val="003E6DED"/>
    <w:rsid w:val="003E7869"/>
    <w:rsid w:val="003F027F"/>
    <w:rsid w:val="00417020"/>
    <w:rsid w:val="0042313B"/>
    <w:rsid w:val="00424B43"/>
    <w:rsid w:val="004266DE"/>
    <w:rsid w:val="00437EAD"/>
    <w:rsid w:val="00441B7E"/>
    <w:rsid w:val="00450A94"/>
    <w:rsid w:val="0045727F"/>
    <w:rsid w:val="00461CC4"/>
    <w:rsid w:val="00464F1C"/>
    <w:rsid w:val="00470686"/>
    <w:rsid w:val="004759E0"/>
    <w:rsid w:val="004769B3"/>
    <w:rsid w:val="004A6307"/>
    <w:rsid w:val="004C5F9B"/>
    <w:rsid w:val="004D07B9"/>
    <w:rsid w:val="004E31BA"/>
    <w:rsid w:val="004E4EDF"/>
    <w:rsid w:val="004E4F17"/>
    <w:rsid w:val="004E57CE"/>
    <w:rsid w:val="00500FDD"/>
    <w:rsid w:val="005010D4"/>
    <w:rsid w:val="00525213"/>
    <w:rsid w:val="005273FE"/>
    <w:rsid w:val="00543CF9"/>
    <w:rsid w:val="0054412F"/>
    <w:rsid w:val="00553721"/>
    <w:rsid w:val="005601AC"/>
    <w:rsid w:val="00593A2D"/>
    <w:rsid w:val="005B142D"/>
    <w:rsid w:val="005B1D06"/>
    <w:rsid w:val="005D12EB"/>
    <w:rsid w:val="005D36C3"/>
    <w:rsid w:val="005D48CB"/>
    <w:rsid w:val="005D5E53"/>
    <w:rsid w:val="005F0349"/>
    <w:rsid w:val="00605546"/>
    <w:rsid w:val="006167A2"/>
    <w:rsid w:val="00637A12"/>
    <w:rsid w:val="00656127"/>
    <w:rsid w:val="00671D20"/>
    <w:rsid w:val="006828B0"/>
    <w:rsid w:val="00696322"/>
    <w:rsid w:val="006C420A"/>
    <w:rsid w:val="006C4ADB"/>
    <w:rsid w:val="006C5401"/>
    <w:rsid w:val="006E5FAD"/>
    <w:rsid w:val="006F3413"/>
    <w:rsid w:val="006F3822"/>
    <w:rsid w:val="006F449E"/>
    <w:rsid w:val="00711660"/>
    <w:rsid w:val="00713F98"/>
    <w:rsid w:val="0072265A"/>
    <w:rsid w:val="00725ABB"/>
    <w:rsid w:val="0073651F"/>
    <w:rsid w:val="0074039D"/>
    <w:rsid w:val="00756E95"/>
    <w:rsid w:val="007631A3"/>
    <w:rsid w:val="0077163F"/>
    <w:rsid w:val="007E2097"/>
    <w:rsid w:val="007E53E0"/>
    <w:rsid w:val="007F1C14"/>
    <w:rsid w:val="00806CA4"/>
    <w:rsid w:val="00811CB4"/>
    <w:rsid w:val="00816B43"/>
    <w:rsid w:val="00817A00"/>
    <w:rsid w:val="00842F51"/>
    <w:rsid w:val="00851ADB"/>
    <w:rsid w:val="00867571"/>
    <w:rsid w:val="0087040D"/>
    <w:rsid w:val="008709C3"/>
    <w:rsid w:val="00883D6F"/>
    <w:rsid w:val="00885938"/>
    <w:rsid w:val="008877C5"/>
    <w:rsid w:val="008B134A"/>
    <w:rsid w:val="008B1C44"/>
    <w:rsid w:val="008B32C0"/>
    <w:rsid w:val="008B4BA3"/>
    <w:rsid w:val="008B5DC1"/>
    <w:rsid w:val="008B6DC2"/>
    <w:rsid w:val="008E5602"/>
    <w:rsid w:val="00901DD4"/>
    <w:rsid w:val="00941EAB"/>
    <w:rsid w:val="00956008"/>
    <w:rsid w:val="009669AF"/>
    <w:rsid w:val="00971C20"/>
    <w:rsid w:val="00980751"/>
    <w:rsid w:val="00982F2E"/>
    <w:rsid w:val="00985DC1"/>
    <w:rsid w:val="009A1493"/>
    <w:rsid w:val="009A3336"/>
    <w:rsid w:val="009B012F"/>
    <w:rsid w:val="009C6CBB"/>
    <w:rsid w:val="009D743E"/>
    <w:rsid w:val="009D7F95"/>
    <w:rsid w:val="009E18FB"/>
    <w:rsid w:val="009E5C44"/>
    <w:rsid w:val="00A06820"/>
    <w:rsid w:val="00A12808"/>
    <w:rsid w:val="00A35FA6"/>
    <w:rsid w:val="00A6059B"/>
    <w:rsid w:val="00A77C92"/>
    <w:rsid w:val="00A810E6"/>
    <w:rsid w:val="00AA1E81"/>
    <w:rsid w:val="00AB1FA5"/>
    <w:rsid w:val="00AB39B0"/>
    <w:rsid w:val="00AB6CF3"/>
    <w:rsid w:val="00B13693"/>
    <w:rsid w:val="00B2592D"/>
    <w:rsid w:val="00B40BD9"/>
    <w:rsid w:val="00B438FE"/>
    <w:rsid w:val="00B439C9"/>
    <w:rsid w:val="00B442DE"/>
    <w:rsid w:val="00B46C8D"/>
    <w:rsid w:val="00B65D0B"/>
    <w:rsid w:val="00B74D42"/>
    <w:rsid w:val="00BB6FC7"/>
    <w:rsid w:val="00BC0823"/>
    <w:rsid w:val="00BC1F92"/>
    <w:rsid w:val="00BE03DA"/>
    <w:rsid w:val="00BE1090"/>
    <w:rsid w:val="00BF6A5E"/>
    <w:rsid w:val="00C244A4"/>
    <w:rsid w:val="00C84438"/>
    <w:rsid w:val="00CC2304"/>
    <w:rsid w:val="00CF5407"/>
    <w:rsid w:val="00D000F8"/>
    <w:rsid w:val="00D10A70"/>
    <w:rsid w:val="00D14C05"/>
    <w:rsid w:val="00D37391"/>
    <w:rsid w:val="00D5266F"/>
    <w:rsid w:val="00D74C08"/>
    <w:rsid w:val="00D7571E"/>
    <w:rsid w:val="00D7666B"/>
    <w:rsid w:val="00D8275B"/>
    <w:rsid w:val="00DA18F0"/>
    <w:rsid w:val="00DA4B75"/>
    <w:rsid w:val="00DB2FA1"/>
    <w:rsid w:val="00DC54A7"/>
    <w:rsid w:val="00DD4C78"/>
    <w:rsid w:val="00DE78EF"/>
    <w:rsid w:val="00E02B52"/>
    <w:rsid w:val="00E0364B"/>
    <w:rsid w:val="00E46EBD"/>
    <w:rsid w:val="00E52FBF"/>
    <w:rsid w:val="00E6351E"/>
    <w:rsid w:val="00EA462E"/>
    <w:rsid w:val="00EB3879"/>
    <w:rsid w:val="00EB50D5"/>
    <w:rsid w:val="00EC34AD"/>
    <w:rsid w:val="00EC4880"/>
    <w:rsid w:val="00EC5CD4"/>
    <w:rsid w:val="00EE138F"/>
    <w:rsid w:val="00EF220C"/>
    <w:rsid w:val="00EF2F53"/>
    <w:rsid w:val="00F01AFF"/>
    <w:rsid w:val="00F02C00"/>
    <w:rsid w:val="00F10551"/>
    <w:rsid w:val="00F126AF"/>
    <w:rsid w:val="00F12A20"/>
    <w:rsid w:val="00F2387E"/>
    <w:rsid w:val="00F3259E"/>
    <w:rsid w:val="00F3538B"/>
    <w:rsid w:val="00F62BE1"/>
    <w:rsid w:val="00FA0467"/>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976E6A"/>
    <w:pPr>
      <w:keepNext/>
      <w:numPr>
        <w:ilvl w:val="1"/>
        <w:numId w:val="1"/>
      </w:numPr>
      <w:spacing w:before="240" w:after="6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clear" w:pos="576"/>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3E6DED"/>
    <w:pPr>
      <w:keepNext/>
      <w:pageBreakBefore/>
      <w:numPr>
        <w:numId w:val="1"/>
      </w:numPr>
      <w:spacing w:before="240" w:after="60"/>
      <w:outlineLvl w:val="0"/>
    </w:pPr>
    <w:rPr>
      <w:rFonts w:ascii="Arial" w:hAnsi="Arial"/>
      <w:b/>
      <w:caps/>
      <w:kern w:val="32"/>
      <w:sz w:val="32"/>
      <w:szCs w:val="32"/>
    </w:rPr>
  </w:style>
  <w:style w:type="paragraph" w:styleId="Heading2">
    <w:name w:val="heading 2"/>
    <w:basedOn w:val="Normal"/>
    <w:next w:val="Normal"/>
    <w:qFormat/>
    <w:rsid w:val="00976E6A"/>
    <w:pPr>
      <w:keepNext/>
      <w:numPr>
        <w:ilvl w:val="1"/>
        <w:numId w:val="1"/>
      </w:numPr>
      <w:spacing w:before="240" w:after="60"/>
      <w:outlineLvl w:val="1"/>
    </w:pPr>
    <w:rPr>
      <w:rFonts w:ascii="Arial" w:hAnsi="Arial"/>
      <w:b/>
      <w:sz w:val="28"/>
      <w:szCs w:val="28"/>
    </w:rPr>
  </w:style>
  <w:style w:type="paragraph" w:styleId="Heading3">
    <w:name w:val="heading 3"/>
    <w:basedOn w:val="Normal"/>
    <w:next w:val="Normal"/>
    <w:qFormat/>
    <w:rsid w:val="00976E6A"/>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2A7C71"/>
    <w:pPr>
      <w:keepNext/>
      <w:numPr>
        <w:ilvl w:val="3"/>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clear" w:pos="576"/>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F525E-E4FF-44D6-9C0B-AF428091B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16</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16145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27</cp:revision>
  <cp:lastPrinted>2011-12-14T18:44:00Z</cp:lastPrinted>
  <dcterms:created xsi:type="dcterms:W3CDTF">2011-12-05T20:47:00Z</dcterms:created>
  <dcterms:modified xsi:type="dcterms:W3CDTF">2011-12-15T16:15:00Z</dcterms:modified>
</cp:coreProperties>
</file>