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732273"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9C295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rsidR="009C295F">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rsidR="009C295F">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rsidR="009C295F">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rsidR="009C295F">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rsidR="009C295F">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rsidR="009C295F">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rsidR="009C295F">
        <w:t>7</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rsidR="009C295F">
        <w:rPr>
          <w:b/>
          <w:bCs/>
        </w:rPr>
        <w:t>Error! Bookmark not defined.</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sidR="009C295F">
        <w:rPr>
          <w:noProof/>
        </w:rPr>
        <w:t>8</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sidR="009C295F">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sidR="009C295F">
        <w:rPr>
          <w:noProof/>
        </w:rPr>
        <w:t>9</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rsidR="009C295F">
        <w:t>9</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rsidR="009C295F">
        <w:t>10</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rsidR="009C295F">
        <w:t>10</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sidR="009C295F">
        <w:rPr>
          <w:noProof/>
        </w:rPr>
        <w:t>10</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sidR="009C295F">
        <w:rPr>
          <w:noProof/>
        </w:rPr>
        <w:t>11</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sidR="009C295F">
        <w:rPr>
          <w:noProof/>
        </w:rPr>
        <w:t>12</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sidR="009C295F">
        <w:rPr>
          <w:noProof/>
        </w:rPr>
        <w:t>12</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rsidR="009C295F">
        <w:t>13</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sidR="009C295F">
        <w:rPr>
          <w:noProof/>
        </w:rPr>
        <w:t>13</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sidR="009C295F">
        <w:rPr>
          <w:noProof/>
        </w:rPr>
        <w:t>14</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sidR="009C295F">
        <w:rPr>
          <w:noProof/>
        </w:rPr>
        <w:t>15</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sidR="009C295F">
        <w:rPr>
          <w:noProof/>
        </w:rPr>
        <w:t>16</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sidR="009C295F">
        <w:rPr>
          <w:noProof/>
        </w:rPr>
        <w:t>16</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sidR="009C295F">
        <w:rPr>
          <w:noProof/>
        </w:rPr>
        <w:t>17</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sidR="009C295F">
        <w:rPr>
          <w:noProof/>
        </w:rPr>
        <w:t>17</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sidR="009C295F">
        <w:rPr>
          <w:noProof/>
        </w:rPr>
        <w:t>18</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sidR="009C295F">
        <w:rPr>
          <w:noProof/>
        </w:rPr>
        <w:t>19</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sidR="009C295F">
        <w:rPr>
          <w:noProof/>
        </w:rPr>
        <w:t>20</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rsidR="009C295F">
        <w:t>21</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sidR="009C295F">
        <w:rPr>
          <w:noProof/>
        </w:rPr>
        <w:t>21</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sidR="009C295F">
        <w:rPr>
          <w:noProof/>
        </w:rPr>
        <w:t>22</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rsidR="009C295F">
        <w:t>24</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rsidR="009C295F">
        <w:t>36</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r>
      <w:r>
        <w:rPr>
          <w:noProof/>
        </w:rPr>
        <w:fldChar w:fldCharType="separate"/>
      </w:r>
      <w:r w:rsidR="009C295F">
        <w:rPr>
          <w:b/>
          <w:bCs/>
          <w:noProof/>
        </w:rPr>
        <w:t>Error! Bookmark not defined.</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r>
      <w:r>
        <w:rPr>
          <w:noProof/>
        </w:rPr>
        <w:fldChar w:fldCharType="separate"/>
      </w:r>
      <w:r w:rsidR="009C295F">
        <w:rPr>
          <w:b/>
          <w:bCs/>
          <w:noProof/>
        </w:rPr>
        <w:t>Error! Bookmark not defined.</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r>
      <w:r>
        <w:rPr>
          <w:noProof/>
        </w:rPr>
        <w:fldChar w:fldCharType="separate"/>
      </w:r>
      <w:r w:rsidR="009C295F">
        <w:rPr>
          <w:b/>
          <w:bCs/>
          <w:noProof/>
        </w:rPr>
        <w:t>Error! Bookmark not defined.</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r>
      <w:r>
        <w:rPr>
          <w:noProof/>
        </w:rPr>
        <w:fldChar w:fldCharType="separate"/>
      </w:r>
      <w:r w:rsidR="009C295F">
        <w:rPr>
          <w:b/>
          <w:bCs/>
          <w:noProof/>
        </w:rPr>
        <w:t>Error! Bookmark not defined.</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r>
      <w:r>
        <w:rPr>
          <w:noProof/>
        </w:rPr>
        <w:fldChar w:fldCharType="separate"/>
      </w:r>
      <w:r w:rsidR="009C295F">
        <w:rPr>
          <w:b/>
          <w:bCs/>
          <w:noProof/>
        </w:rPr>
        <w:t>Error! Bookmark not defined.</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r>
      <w:r>
        <w:rPr>
          <w:noProof/>
        </w:rPr>
        <w:fldChar w:fldCharType="separate"/>
      </w:r>
      <w:r w:rsidR="009C295F">
        <w:rPr>
          <w:b/>
          <w:bCs/>
          <w:noProof/>
        </w:rPr>
        <w:t>Error! Bookmark not defined.</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r>
      <w:r>
        <w:rPr>
          <w:noProof/>
        </w:rPr>
        <w:fldChar w:fldCharType="separate"/>
      </w:r>
      <w:r w:rsidR="009C295F">
        <w:rPr>
          <w:b/>
          <w:bCs/>
          <w:noProof/>
        </w:rPr>
        <w:t>Error! Bookmark not defined.</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r>
      <w:r>
        <w:rPr>
          <w:noProof/>
        </w:rPr>
        <w:fldChar w:fldCharType="separate"/>
      </w:r>
      <w:r w:rsidR="009C295F">
        <w:rPr>
          <w:b/>
          <w:bCs/>
          <w:noProof/>
        </w:rPr>
        <w:t>Error! Bookmark not defined.</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r>
      <w:r>
        <w:rPr>
          <w:noProof/>
        </w:rPr>
        <w:fldChar w:fldCharType="separate"/>
      </w:r>
      <w:r w:rsidR="009C295F">
        <w:rPr>
          <w:b/>
          <w:bCs/>
          <w:noProof/>
        </w:rPr>
        <w:t>Error! Bookmark not defined.</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r>
      <w:r>
        <w:rPr>
          <w:noProof/>
        </w:rPr>
        <w:fldChar w:fldCharType="separate"/>
      </w:r>
      <w:r w:rsidR="009C295F">
        <w:rPr>
          <w:b/>
          <w:bCs/>
          <w:noProof/>
        </w:rPr>
        <w:t>Error! Bookmark not defined.</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rsidR="009C295F">
        <w:rPr>
          <w:b/>
          <w:bCs/>
        </w:rPr>
        <w:t>Error! Bookmark not defined.</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rsidR="009C295F">
        <w:rPr>
          <w:b/>
          <w:bCs/>
        </w:rPr>
        <w:t>Error! Bookmark not defined.</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r>
      <w:r>
        <w:rPr>
          <w:noProof/>
        </w:rPr>
        <w:fldChar w:fldCharType="separate"/>
      </w:r>
      <w:r w:rsidR="009C295F">
        <w:rPr>
          <w:b/>
          <w:bCs/>
          <w:noProof/>
        </w:rPr>
        <w:t>Error! Bookmark not defined.</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r>
      <w:r>
        <w:rPr>
          <w:noProof/>
        </w:rPr>
        <w:fldChar w:fldCharType="separate"/>
      </w:r>
      <w:r w:rsidR="009C295F">
        <w:rPr>
          <w:b/>
          <w:bCs/>
          <w:noProof/>
        </w:rPr>
        <w:t>Error! Bookmark not defined.</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r>
      <w:r>
        <w:rPr>
          <w:noProof/>
        </w:rPr>
        <w:fldChar w:fldCharType="separate"/>
      </w:r>
      <w:r w:rsidR="009C295F">
        <w:rPr>
          <w:b/>
          <w:bCs/>
          <w:noProof/>
        </w:rPr>
        <w:t>Error! Bookmark not defined.</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r>
      <w:r>
        <w:rPr>
          <w:noProof/>
        </w:rPr>
        <w:fldChar w:fldCharType="separate"/>
      </w:r>
      <w:r w:rsidR="009C295F">
        <w:rPr>
          <w:b/>
          <w:bCs/>
          <w:noProof/>
        </w:rPr>
        <w:t>Error! Bookmark not defined.</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rsidR="009C295F">
        <w:rPr>
          <w:b/>
          <w:bCs/>
        </w:rPr>
        <w:t>Error! Bookmark not defined.</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r>
      <w:r>
        <w:rPr>
          <w:noProof/>
        </w:rPr>
        <w:fldChar w:fldCharType="separate"/>
      </w:r>
      <w:r w:rsidR="009C295F">
        <w:rPr>
          <w:b/>
          <w:bCs/>
          <w:noProof/>
        </w:rPr>
        <w:t>Error! Bookmark not defined.</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r>
      <w:r>
        <w:rPr>
          <w:noProof/>
        </w:rPr>
        <w:fldChar w:fldCharType="separate"/>
      </w:r>
      <w:r w:rsidR="009C295F">
        <w:rPr>
          <w:b/>
          <w:bCs/>
          <w:noProof/>
        </w:rPr>
        <w:t>Error! Bookmark not defined.</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rsidR="009C295F">
        <w:rPr>
          <w:b/>
          <w:bCs/>
        </w:rPr>
        <w:t>Error! Bookmark not defined.</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r>
      <w:r>
        <w:rPr>
          <w:noProof/>
        </w:rPr>
        <w:fldChar w:fldCharType="separate"/>
      </w:r>
      <w:r w:rsidR="009C295F">
        <w:rPr>
          <w:b/>
          <w:bCs/>
          <w:noProof/>
        </w:rPr>
        <w:t>Error! Bookmark not defined.</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r>
      <w:r>
        <w:rPr>
          <w:noProof/>
        </w:rPr>
        <w:fldChar w:fldCharType="separate"/>
      </w:r>
      <w:r w:rsidR="009C295F">
        <w:rPr>
          <w:b/>
          <w:bCs/>
          <w:noProof/>
        </w:rPr>
        <w:t>Error! Bookmark not defined.</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r>
      <w:r>
        <w:rPr>
          <w:noProof/>
        </w:rPr>
        <w:fldChar w:fldCharType="separate"/>
      </w:r>
      <w:r w:rsidR="009C295F">
        <w:rPr>
          <w:b/>
          <w:bCs/>
          <w:noProof/>
        </w:rPr>
        <w:t>Error! Bookmark not defined.</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r>
      <w:r>
        <w:rPr>
          <w:noProof/>
        </w:rPr>
        <w:fldChar w:fldCharType="separate"/>
      </w:r>
      <w:r w:rsidR="009C295F">
        <w:rPr>
          <w:b/>
          <w:bCs/>
          <w:noProof/>
        </w:rPr>
        <w:t>Error! Bookmark not defined.</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r>
      <w:r>
        <w:rPr>
          <w:noProof/>
        </w:rPr>
        <w:fldChar w:fldCharType="separate"/>
      </w:r>
      <w:r w:rsidR="009C295F">
        <w:rPr>
          <w:b/>
          <w:bCs/>
          <w:noProof/>
        </w:rPr>
        <w:t>Error! Bookmark not defined.</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r>
      <w:r>
        <w:rPr>
          <w:noProof/>
        </w:rPr>
        <w:fldChar w:fldCharType="separate"/>
      </w:r>
      <w:r w:rsidR="009C295F">
        <w:rPr>
          <w:b/>
          <w:bCs/>
          <w:noProof/>
        </w:rPr>
        <w:t>Error! Bookmark not defined.</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r>
      <w:r>
        <w:rPr>
          <w:noProof/>
        </w:rPr>
        <w:fldChar w:fldCharType="separate"/>
      </w:r>
      <w:r w:rsidR="009C295F">
        <w:rPr>
          <w:b/>
          <w:bCs/>
          <w:noProof/>
        </w:rPr>
        <w:t>Error! Bookmark not defined.</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rsidR="009C295F">
        <w:rPr>
          <w:b/>
          <w:bCs/>
        </w:rPr>
        <w:t>Error! Bookmark not defined.</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r>
      <w:r>
        <w:rPr>
          <w:noProof/>
        </w:rPr>
        <w:fldChar w:fldCharType="separate"/>
      </w:r>
      <w:r w:rsidR="009C295F">
        <w:rPr>
          <w:b/>
          <w:bCs/>
          <w:noProof/>
        </w:rPr>
        <w:t>Error! Bookmark not defined.</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r>
      <w:r>
        <w:rPr>
          <w:noProof/>
        </w:rPr>
        <w:fldChar w:fldCharType="separate"/>
      </w:r>
      <w:r w:rsidR="009C295F">
        <w:rPr>
          <w:b/>
          <w:bCs/>
          <w:noProof/>
        </w:rPr>
        <w:t>Error! Bookmark not defined.</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r>
      <w:r>
        <w:rPr>
          <w:noProof/>
        </w:rPr>
        <w:fldChar w:fldCharType="separate"/>
      </w:r>
      <w:r w:rsidR="009C295F">
        <w:rPr>
          <w:b/>
          <w:bCs/>
          <w:noProof/>
        </w:rPr>
        <w:t>Error! Bookmark not defined.</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r>
      <w:r>
        <w:rPr>
          <w:noProof/>
        </w:rPr>
        <w:fldChar w:fldCharType="separate"/>
      </w:r>
      <w:r w:rsidR="009C295F">
        <w:rPr>
          <w:b/>
          <w:bCs/>
          <w:noProof/>
        </w:rPr>
        <w:t>Error! Bookmark not defined.</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r>
      <w:r>
        <w:rPr>
          <w:noProof/>
        </w:rPr>
        <w:fldChar w:fldCharType="separate"/>
      </w:r>
      <w:r w:rsidR="009C295F">
        <w:rPr>
          <w:b/>
          <w:bCs/>
          <w:noProof/>
        </w:rPr>
        <w:t>Error! Bookmark not defined.</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r>
      <w:r>
        <w:rPr>
          <w:noProof/>
        </w:rPr>
        <w:fldChar w:fldCharType="separate"/>
      </w:r>
      <w:r w:rsidR="009C295F">
        <w:rPr>
          <w:b/>
          <w:bCs/>
          <w:noProof/>
        </w:rPr>
        <w:t>Error! Bookmark not defined.</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r>
      <w:r>
        <w:rPr>
          <w:noProof/>
        </w:rPr>
        <w:fldChar w:fldCharType="separate"/>
      </w:r>
      <w:r w:rsidR="009C295F">
        <w:rPr>
          <w:b/>
          <w:bCs/>
          <w:noProof/>
        </w:rPr>
        <w:t>Error! Bookmark not defined.</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rsidR="009C295F">
        <w:rPr>
          <w:b/>
          <w:bCs/>
        </w:rPr>
        <w:t>Error! Bookmark not defined.</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rsidR="009C295F">
        <w:t>40</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rsidR="009C295F">
        <w:t>40</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rsidR="009C295F">
        <w:t>41</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rsidR="009C295F">
        <w:t>43</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rsidR="009C295F">
        <w:t>43</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rsidR="009C295F">
        <w:t>43</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rsidR="009C295F">
        <w:t>44</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sidR="009C295F">
        <w:rPr>
          <w:noProof/>
        </w:rPr>
        <w:t>45</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rsidR="009C295F">
        <w:t>46</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9C295F">
        <w:t>3</w:t>
      </w:r>
      <w:r w:rsidR="004629C6">
        <w:fldChar w:fldCharType="end"/>
      </w:r>
      <w:r>
        <w:t>.</w:t>
      </w:r>
    </w:p>
    <w:p w14:paraId="50277628" w14:textId="2B6A86E2" w:rsidR="00B96F56" w:rsidRDefault="00192AEE" w:rsidP="00061797">
      <w:pPr>
        <w:pStyle w:val="Heading3"/>
      </w:pPr>
      <w:bookmarkStart w:id="6" w:name="_Toc316025540"/>
      <w:bookmarkStart w:id="7" w:name="_Ref339275861"/>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02FC5879"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9C295F">
        <w:t>4</w:t>
      </w:r>
      <w:r>
        <w:fldChar w:fldCharType="end"/>
      </w:r>
      <w:r>
        <w:t xml:space="preserve">, and URAM proper is described in Section </w:t>
      </w:r>
      <w:r>
        <w:fldChar w:fldCharType="begin"/>
      </w:r>
      <w:r>
        <w:instrText xml:space="preserve"> REF _Ref339265278 \r \h </w:instrText>
      </w:r>
      <w:r>
        <w:fldChar w:fldCharType="separate"/>
      </w:r>
      <w:r w:rsidR="009C295F">
        <w:t>0</w:t>
      </w:r>
      <w:r>
        <w:fldChar w:fldCharType="end"/>
      </w:r>
      <w:r>
        <w:t>.</w:t>
      </w:r>
    </w:p>
    <w:p w14:paraId="51620806" w14:textId="77777777" w:rsidR="00DC2B65" w:rsidRDefault="00DC2B65" w:rsidP="00DC2B65"/>
    <w:p w14:paraId="397D81B1" w14:textId="1DE82A43" w:rsidR="00DC2B65" w:rsidRDefault="00DC2B65" w:rsidP="00DC2B65">
      <w:pPr>
        <w:pStyle w:val="Heading4"/>
      </w:pPr>
      <w:r>
        <w:lastRenderedPageBreak/>
        <w:t>History</w:t>
      </w:r>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8" w:name="_Toc316025541"/>
      <w:bookmarkStart w:id="9" w:name="_Ref339277408"/>
      <w:bookmarkStart w:id="10" w:name="_Ref339277702"/>
      <w:r>
        <w:t>The Playbox</w:t>
      </w:r>
      <w:bookmarkEnd w:id="8"/>
      <w:bookmarkEnd w:id="9"/>
      <w:bookmarkEnd w:id="10"/>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1" w:name="_Toc316025543"/>
      <w:r>
        <w:t>Civilian Groups</w:t>
      </w:r>
      <w:bookmarkEnd w:id="11"/>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2" w:name="_Toc316025544"/>
      <w:r>
        <w:t>Force Groups</w:t>
      </w:r>
      <w:bookmarkEnd w:id="12"/>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3" w:name="_Toc316025545"/>
      <w:r>
        <w:lastRenderedPageBreak/>
        <w:t>Organization Groups</w:t>
      </w:r>
      <w:bookmarkEnd w:id="13"/>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4" w:name="_Toc316025546"/>
      <w:r>
        <w:t>Simulated Time</w:t>
      </w:r>
      <w:bookmarkEnd w:id="14"/>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5" w:name="_Toc316025547"/>
      <w:bookmarkStart w:id="16" w:name="_Ref316025614"/>
      <w:bookmarkStart w:id="17" w:name="_Ref316025957"/>
      <w:r>
        <w:lastRenderedPageBreak/>
        <w:t>Mars Affinity Model</w:t>
      </w:r>
      <w:bookmarkEnd w:id="15"/>
      <w:bookmarkEnd w:id="16"/>
      <w:bookmarkEnd w:id="17"/>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proofErr w:type="gramStart"/>
      <w:r w:rsidR="00847D71">
        <w:t>groups</w:t>
      </w:r>
      <w:proofErr w:type="gramEnd"/>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18" w:name="_Ref315761613"/>
      <w:bookmarkStart w:id="19" w:name="_Toc316025548"/>
      <w:r>
        <w:t>Belief Systems Defined</w:t>
      </w:r>
      <w:bookmarkEnd w:id="18"/>
      <w:bookmarkEnd w:id="19"/>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0" w:name="_Toc316025549"/>
      <w:r>
        <w:t>Topics</w:t>
      </w:r>
      <w:bookmarkEnd w:id="20"/>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1" w:name="_Toc316025550"/>
      <w:r>
        <w:lastRenderedPageBreak/>
        <w:t>Positions</w:t>
      </w:r>
      <w:bookmarkEnd w:id="21"/>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73227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2" w:name="_Toc316025551"/>
      <w:r>
        <w:t>Emphasis</w:t>
      </w:r>
      <w:bookmarkEnd w:id="22"/>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3" w:name="_Toc316025552"/>
      <w:r>
        <w:t>Belief Systems</w:t>
      </w:r>
      <w:bookmarkEnd w:id="23"/>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4" w:name="_Toc316025553"/>
      <w:r>
        <w:lastRenderedPageBreak/>
        <w:t>Modeling</w:t>
      </w:r>
      <w:r w:rsidR="008C4882">
        <w:t xml:space="preserve"> Affinity</w:t>
      </w:r>
      <w:bookmarkEnd w:id="24"/>
    </w:p>
    <w:p w14:paraId="56E8EAB5" w14:textId="747AFA56" w:rsidR="008C4882" w:rsidRDefault="008C4882" w:rsidP="008C4882">
      <w:pPr>
        <w:pStyle w:val="Heading4"/>
      </w:pPr>
      <w:bookmarkStart w:id="25" w:name="_Toc316025554"/>
      <w:r>
        <w:t>Desired Properties</w:t>
      </w:r>
      <w:bookmarkEnd w:id="25"/>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732273"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6" w:name="_Ref316025306"/>
      <w:bookmarkStart w:id="27" w:name="_Toc316025555"/>
      <w:r>
        <w:t>Definitions</w:t>
      </w:r>
      <w:bookmarkEnd w:id="26"/>
      <w:bookmarkEnd w:id="27"/>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9C295F">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732273"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73227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732273"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732273"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732273"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732273"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732273"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8" w:name="_Toc316025556"/>
      <w:r>
        <w:t>The Basic Model</w:t>
      </w:r>
      <w:bookmarkEnd w:id="28"/>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9" w:name="_Toc316025557"/>
      <w:r>
        <w:t>Handling Ambivalence</w:t>
      </w:r>
      <w:bookmarkEnd w:id="29"/>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732273"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0" w:name="_Toc316025558"/>
      <w:r>
        <w:t>Implicit Commonality</w:t>
      </w:r>
      <w:bookmarkEnd w:id="30"/>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1" w:name="_Toc316025559"/>
      <w:r>
        <w:t>Adding Implicit Topics</w:t>
      </w:r>
      <w:bookmarkEnd w:id="31"/>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2" w:name="_Toc316025560"/>
      <w:r>
        <w:t>Playbox Commonality</w:t>
      </w:r>
      <w:bookmarkEnd w:id="32"/>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73227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73227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73227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3" w:name="_Toc316025561"/>
      <w:r>
        <w:t>The Playbox Commonality Dial</w:t>
      </w:r>
      <w:bookmarkEnd w:id="33"/>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73227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r>
        <w:t>Relevance of Topics</w:t>
      </w:r>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proofErr w:type="spellStart"/>
      <w:r>
        <w:rPr>
          <w:i/>
        </w:rPr>
        <w:t>i</w:t>
      </w:r>
      <w:proofErr w:type="spellEnd"/>
      <w:r>
        <w:t xml:space="preserve">, </w:t>
      </w:r>
      <w:proofErr w:type="gramStart"/>
      <w:r>
        <w:t xml:space="preserve">where </w:t>
      </w:r>
      <w:proofErr w:type="gramEnd"/>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proofErr w:type="spellStart"/>
      <w:r>
        <w:rPr>
          <w:i/>
        </w:rPr>
        <w:t>i</w:t>
      </w:r>
      <w:proofErr w:type="spellEnd"/>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732273"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proofErr w:type="spellStart"/>
      <w:r>
        <w:rPr>
          <w:i/>
        </w:rPr>
        <w:t>i</w:t>
      </w:r>
      <w:proofErr w:type="spellEnd"/>
      <w:r>
        <w:t xml:space="preserve"> given the relevance of topic </w:t>
      </w:r>
      <w:proofErr w:type="spellStart"/>
      <w:r>
        <w:rPr>
          <w:i/>
        </w:rPr>
        <w:t>i</w:t>
      </w:r>
      <w:proofErr w:type="spellEnd"/>
      <w:r>
        <w:t>.  Then, let</w:t>
      </w:r>
    </w:p>
    <w:p w14:paraId="6BA2608F" w14:textId="77777777" w:rsidR="002536B3" w:rsidRPr="002536B3" w:rsidRDefault="002536B3" w:rsidP="00847D71"/>
    <w:p w14:paraId="11C6F117" w14:textId="619A5F4A" w:rsidR="002536B3" w:rsidRPr="00AE7151" w:rsidRDefault="00732273"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732273"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4" w:name="_Ref315768399"/>
      <w:bookmarkStart w:id="35" w:name="_Toc316025562"/>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proofErr w:type="spellStart"/>
      <w:r>
        <w:rPr>
          <w:i/>
        </w:rPr>
        <w:t>i</w:t>
      </w:r>
      <w:proofErr w:type="spellEnd"/>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proofErr w:type="spellStart"/>
      <w:r>
        <w:rPr>
          <w:i/>
        </w:rPr>
        <w:t>i</w:t>
      </w:r>
      <w:proofErr w:type="spellEnd"/>
      <w:r>
        <w:rPr>
          <w:i/>
        </w:rPr>
        <w:t xml:space="preserve">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732273"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w:t>
      </w:r>
      <w:proofErr w:type="gramStart"/>
      <w:r w:rsidR="0084150E">
        <w:t>for</w:t>
      </w:r>
      <w:proofErr w:type="gramEnd"/>
      <w:r w:rsidR="0084150E">
        <w:t xml:space="preserve"> </w:t>
      </w:r>
      <m:oMath>
        <m:r>
          <w:rPr>
            <w:rFonts w:ascii="Cambria Math" w:hAnsi="Cambria Math"/>
          </w:rPr>
          <m:t>γ≥0</m:t>
        </m:r>
      </m:oMath>
    </w:p>
    <w:p w14:paraId="68F1632E" w14:textId="77777777" w:rsidR="0084150E" w:rsidRDefault="0084150E" w:rsidP="0084150E"/>
    <w:p w14:paraId="0F76C6B6" w14:textId="77777777" w:rsidR="0084150E" w:rsidRDefault="0084150E" w:rsidP="0084150E">
      <w:proofErr w:type="gramStart"/>
      <w:r>
        <w:t>where</w:t>
      </w:r>
      <w:proofErr w:type="gramEnd"/>
      <w:r>
        <w:t xml:space="preserv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732273"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proofErr w:type="spellStart"/>
      <w:r>
        <w:rPr>
          <w:i/>
        </w:rPr>
        <w:t>i</w:t>
      </w:r>
      <w:proofErr w:type="spellEnd"/>
      <w:r>
        <w:t>, and will decrease proportionately as relevance decreases, thus balancing the relevant topics and not the irrelevant topics.</w:t>
      </w:r>
    </w:p>
    <w:p w14:paraId="083FA5C1" w14:textId="4F201EBA" w:rsidR="008C4882" w:rsidRDefault="008C4882" w:rsidP="00847D71">
      <w:pPr>
        <w:pStyle w:val="Heading4"/>
      </w:pPr>
      <w:r>
        <w:t>Summary</w:t>
      </w:r>
      <w:bookmarkEnd w:id="34"/>
      <w:bookmarkEnd w:id="35"/>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732273"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732273"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proofErr w:type="spellStart"/>
      <w:r w:rsidR="00E51A28">
        <w:rPr>
          <w:i/>
        </w:rPr>
        <w:t>i</w:t>
      </w:r>
      <w:proofErr w:type="spellEnd"/>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732273"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73227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73227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9C295F">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6" w:name="_Toc316025563"/>
      <w:r>
        <w:rPr>
          <w:rFonts w:eastAsia="Lucida Sans Unicode"/>
        </w:rPr>
        <w:t>Are the Properties Met?</w:t>
      </w:r>
      <w:bookmarkEnd w:id="36"/>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732273"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7" w:name="_Ref316024992"/>
      <w:bookmarkStart w:id="38" w:name="_Toc316025564"/>
      <w:r>
        <w:rPr>
          <w:rFonts w:eastAsia="Lucida Sans Unicode"/>
        </w:rPr>
        <w:t>Computing Affinity</w:t>
      </w:r>
      <w:bookmarkEnd w:id="37"/>
      <w:bookmarkEnd w:id="38"/>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rsidR="009C295F">
        <w:t>0</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9C295F">
        <w:t>3.1</w:t>
      </w:r>
      <w:r>
        <w:fldChar w:fldCharType="end"/>
      </w:r>
      <w:r>
        <w:t xml:space="preserve"> and </w:t>
      </w:r>
      <w:r>
        <w:fldChar w:fldCharType="begin"/>
      </w:r>
      <w:r>
        <w:instrText xml:space="preserve"> REF _Ref316025306 \r \h </w:instrText>
      </w:r>
      <w:r>
        <w:fldChar w:fldCharType="separate"/>
      </w:r>
      <w:r w:rsidR="009C295F">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9" w:name="_Ref315782792"/>
      <w:bookmarkStart w:id="40" w:name="_Toc316025565"/>
      <w:r>
        <w:t>Definitions</w:t>
      </w:r>
      <w:bookmarkEnd w:id="39"/>
      <w:bookmarkEnd w:id="40"/>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1" w:name="_Toc316025566"/>
      <w:r>
        <w:lastRenderedPageBreak/>
        <w:t>The Cases</w:t>
      </w:r>
      <w:bookmarkEnd w:id="41"/>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73227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73227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73227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73227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rsidR="009C295F">
        <w:rPr>
          <w:b/>
          <w:bCs/>
        </w:rPr>
        <w:t xml:space="preserve">Error! Reference source not </w:t>
      </w:r>
      <w:proofErr w:type="gramStart"/>
      <w:r w:rsidR="009C295F">
        <w:rPr>
          <w:b/>
          <w:bCs/>
        </w:rPr>
        <w:t>found.</w:t>
      </w:r>
      <w:r>
        <w:fldChar w:fldCharType="end"/>
      </w:r>
      <w:r>
        <w:t>:</w:t>
      </w:r>
      <w:proofErr w:type="gramEnd"/>
    </w:p>
    <w:p w14:paraId="3154BE61" w14:textId="77777777" w:rsidR="00473DFF" w:rsidRDefault="00473DFF" w:rsidP="00473DFF">
      <w:pPr>
        <w:ind w:left="360"/>
      </w:pPr>
    </w:p>
    <w:p w14:paraId="1B185E5D" w14:textId="77777777" w:rsidR="00473DFF" w:rsidRPr="005B2CB1" w:rsidRDefault="0073227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r>
        <w:rPr>
          <w:rFonts w:eastAsia="Lucida Sans Unicode"/>
        </w:rPr>
        <w:t>Congruence</w:t>
      </w:r>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w:t>
      </w:r>
      <w:proofErr w:type="gramStart"/>
      <w:r>
        <w:rPr>
          <w:rFonts w:eastAsia="Lucida Sans Unicode"/>
        </w:rPr>
        <w:t xml:space="preserve">Denoted </w:t>
      </w:r>
      <w:proofErr w:type="gramEnd"/>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 xml:space="preserve">affinity </w:t>
      </w:r>
      <w:proofErr w:type="gramStart"/>
      <w:r>
        <w:rPr>
          <w:rFonts w:eastAsia="Lucida Sans Unicode"/>
          <w:i/>
        </w:rPr>
        <w:t>flag</w:t>
      </w:r>
      <w:r>
        <w:rPr>
          <w:rFonts w:eastAsia="Lucida Sans Unicode"/>
        </w:rPr>
        <w:t>, that</w:t>
      </w:r>
      <w:proofErr w:type="gramEnd"/>
      <w:r>
        <w:rPr>
          <w:rFonts w:eastAsia="Lucida Sans Unicode"/>
        </w:rPr>
        <w:t xml:space="preserve"> indicates whether or not it should be used when computing group-to-group affinities.</w:t>
      </w:r>
    </w:p>
    <w:p w14:paraId="538D36D2" w14:textId="42F31788" w:rsidR="005E0F9F" w:rsidRDefault="005E0F9F" w:rsidP="005E0F9F">
      <w:pPr>
        <w:pStyle w:val="Heading4"/>
        <w:rPr>
          <w:rFonts w:eastAsia="Lucida Sans Unicode"/>
        </w:rPr>
      </w:pPr>
      <w:r>
        <w:rPr>
          <w:rFonts w:eastAsia="Lucida Sans Unicode"/>
        </w:rPr>
        <w:t>Computing Congruence</w:t>
      </w:r>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The hook's entity commonality</w:t>
      </w:r>
      <w:proofErr w:type="gramStart"/>
      <w:r>
        <w:rPr>
          <w:rFonts w:eastAsia="Lucida Sans Unicode"/>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42" w:name="_Ref339265262"/>
      <w:bookmarkStart w:id="43" w:name="_Toc316025567"/>
      <w:bookmarkStart w:id="44" w:name="_Ref316025615"/>
      <w:r>
        <w:lastRenderedPageBreak/>
        <w:t>The URAM Curve Manager</w:t>
      </w:r>
      <w:bookmarkEnd w:id="42"/>
    </w:p>
    <w:p w14:paraId="30E9F3BB" w14:textId="76CA1966" w:rsidR="00DC2B65" w:rsidRDefault="00DC2B65" w:rsidP="00DC2B65">
      <w:bookmarkStart w:id="45"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49D1921B"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r>
        <w:t>The Attitude Equations</w:t>
      </w:r>
    </w:p>
    <w:p w14:paraId="4E5F9F80" w14:textId="7B326574" w:rsidR="002C7ED6" w:rsidRDefault="002C7ED6" w:rsidP="002C7ED6">
      <w:bookmarkStart w:id="46" w:name="_Ref320084546"/>
      <w:r>
        <w:t xml:space="preserve">This section describes the mathematics behind URAM's notion of attitude curves, as implemented by </w:t>
      </w:r>
      <w:proofErr w:type="spellStart"/>
      <w:proofErr w:type="gramStart"/>
      <w:r w:rsidRPr="00DC2B65">
        <w:rPr>
          <w:rFonts w:ascii="Courier New" w:hAnsi="Courier New" w:cs="Courier New"/>
        </w:rPr>
        <w:t>ucurve</w:t>
      </w:r>
      <w:proofErr w:type="spellEnd"/>
      <w:r w:rsidRPr="00DC2B65">
        <w:rPr>
          <w:rFonts w:ascii="Courier New" w:hAnsi="Courier New" w:cs="Courier New"/>
        </w:rPr>
        <w:t>(</w:t>
      </w:r>
      <w:proofErr w:type="gramEnd"/>
      <w:r w:rsidRPr="00DC2B65">
        <w:rPr>
          <w:rFonts w:ascii="Courier New" w:hAnsi="Courier New" w:cs="Courier New"/>
        </w:rPr>
        <w:t>n)</w:t>
      </w:r>
      <w:r>
        <w:t>, the URAM curve manager.  It also explains how this notion grew beyond that of GRAM.</w:t>
      </w:r>
    </w:p>
    <w:p w14:paraId="72E205BE" w14:textId="77777777" w:rsidR="00DC2B65" w:rsidRDefault="00DC2B65" w:rsidP="002C7ED6">
      <w:pPr>
        <w:pStyle w:val="Heading4"/>
      </w:pPr>
      <w:r>
        <w:t>Classic Satisfaction and Cooperation Curves</w:t>
      </w:r>
      <w:bookmarkEnd w:id="4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73227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proofErr w:type="gramStart"/>
      <w:r>
        <w:t>where</w:t>
      </w:r>
      <w:proofErr w:type="gramEnd"/>
    </w:p>
    <w:p w14:paraId="515E0E78" w14:textId="77777777" w:rsidR="00DC2B65" w:rsidRDefault="00DC2B65" w:rsidP="00DC2B65">
      <w:pPr>
        <w:pStyle w:val="Definitions"/>
      </w:pPr>
    </w:p>
    <w:p w14:paraId="205DFC25" w14:textId="77777777" w:rsidR="00DC2B65" w:rsidRDefault="0073227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That is, at each time step we compute the change in attitude due to level and slope effects</w:t>
      </w:r>
      <w:proofErr w:type="gramStart"/>
      <w:r>
        <w:t xml:space="preserve">, </w:t>
      </w:r>
      <w:proofErr w:type="gram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r>
        <w:lastRenderedPageBreak/>
        <w:t>Vertical Relationship Curves</w:t>
      </w:r>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73227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73227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proofErr w:type="gramStart"/>
      <w:r>
        <w:t>where</w:t>
      </w:r>
      <w:proofErr w:type="gramEnd"/>
    </w:p>
    <w:p w14:paraId="60877D2E" w14:textId="77777777" w:rsidR="00DC2B65" w:rsidRDefault="00DC2B65" w:rsidP="00DC2B65"/>
    <w:p w14:paraId="48DA2D65" w14:textId="77777777" w:rsidR="00DC2B65" w:rsidRDefault="0073227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732273"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73227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73227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73227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r>
        <w:t>The Unified Equations</w:t>
      </w:r>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73227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73227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proofErr w:type="gramStart"/>
      <w:r>
        <w:t>where</w:t>
      </w:r>
      <w:proofErr w:type="gramEnd"/>
    </w:p>
    <w:p w14:paraId="2025CFA1" w14:textId="77777777" w:rsidR="00DC2B65" w:rsidRDefault="00DC2B65" w:rsidP="00DC2B65"/>
    <w:p w14:paraId="659B253C" w14:textId="77777777" w:rsidR="00DC2B65" w:rsidRPr="00E36F5A" w:rsidRDefault="0073227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732273"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73227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9C295F">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w:t>
      </w:r>
      <w:proofErr w:type="gramStart"/>
      <w:r>
        <w:t xml:space="preserve">and </w:t>
      </w:r>
      <w:proofErr w:type="gramEnd"/>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r>
        <w:t>Regression to a Natural Level</w:t>
      </w:r>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73227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73227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proofErr w:type="gramStart"/>
      <w:r>
        <w:t>where</w:t>
      </w:r>
      <w:proofErr w:type="gramEnd"/>
    </w:p>
    <w:p w14:paraId="042DFACF" w14:textId="77777777" w:rsidR="00DC2B65" w:rsidRDefault="00DC2B65" w:rsidP="00DC2B65"/>
    <w:p w14:paraId="72FB94CA" w14:textId="77777777" w:rsidR="00DC2B65" w:rsidRPr="00E36F5A" w:rsidRDefault="00732273"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proofErr w:type="gramStart"/>
      <w:r>
        <w:t>and</w:t>
      </w:r>
      <w:proofErr w:type="gramEnd"/>
      <w:r>
        <w:t xml:space="preserve">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w:t>
      </w:r>
      <w:proofErr w:type="gramStart"/>
      <w:r>
        <w:t xml:space="preserve">than </w:t>
      </w:r>
      <w:proofErr w:type="gramEnd"/>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r>
        <w:t>Persistent and Transient Deltas</w:t>
      </w:r>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proofErr w:type="gramStart"/>
      <w:r>
        <w:t>,</w:t>
      </w:r>
      <w:proofErr w:type="gramEnd"/>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73227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73227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73227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proofErr w:type="gramStart"/>
      <w:r>
        <w:t>where</w:t>
      </w:r>
      <w:proofErr w:type="gramEnd"/>
    </w:p>
    <w:p w14:paraId="10D29A6A" w14:textId="77777777" w:rsidR="002C7ED6" w:rsidRDefault="002C7ED6" w:rsidP="002C7ED6"/>
    <w:p w14:paraId="7A7A9E89" w14:textId="77777777" w:rsidR="002C7ED6" w:rsidRDefault="0073227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73227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w:t>
      </w:r>
      <w:proofErr w:type="gramStart"/>
      <w:r>
        <w:t xml:space="preserve">to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9C295F">
        <w:t>4.4</w:t>
      </w:r>
      <w:r>
        <w:fldChar w:fldCharType="end"/>
      </w:r>
      <w:r>
        <w:t xml:space="preserve"> for more information.</w:t>
      </w:r>
    </w:p>
    <w:p w14:paraId="1C8A97B4" w14:textId="77777777" w:rsidR="002C7ED6" w:rsidRDefault="002C7ED6" w:rsidP="002C7ED6">
      <w:pPr>
        <w:pStyle w:val="Heading4"/>
      </w:pPr>
      <w:r>
        <w:t>Clamping</w:t>
      </w:r>
    </w:p>
    <w:p w14:paraId="0BEA9548" w14:textId="77777777" w:rsidR="002C7ED6" w:rsidRDefault="002C7ED6" w:rsidP="002C7ED6">
      <w:proofErr w:type="gramStart"/>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73227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73227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proofErr w:type="gramStart"/>
      <w:r>
        <w:t>where</w:t>
      </w:r>
      <w:proofErr w:type="gramEnd"/>
      <w:r>
        <w:t xml:space="preserv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proofErr w:type="gramStart"/>
      <w:r>
        <w:t>and</w:t>
      </w:r>
      <w:proofErr w:type="gramEnd"/>
      <w:r>
        <w:t xml:space="preserve"> </w:t>
      </w:r>
      <w:r>
        <w:rPr>
          <w:i/>
        </w:rPr>
        <w:t>x</w:t>
      </w:r>
      <w:r>
        <w:t xml:space="preserve"> otherwise.</w:t>
      </w:r>
    </w:p>
    <w:p w14:paraId="2779D5D3" w14:textId="77777777" w:rsidR="002C7ED6" w:rsidRDefault="002C7ED6" w:rsidP="002C7ED6">
      <w:pPr>
        <w:pStyle w:val="Heading4"/>
      </w:pPr>
      <w:r>
        <w:t>The Complete Equations</w:t>
      </w:r>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73227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73227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73227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proofErr w:type="gramStart"/>
      <w:r>
        <w:t>where</w:t>
      </w:r>
      <w:proofErr w:type="gramEnd"/>
    </w:p>
    <w:p w14:paraId="4CE6979E" w14:textId="77777777" w:rsidR="002C7ED6" w:rsidRDefault="002C7ED6" w:rsidP="002C7ED6"/>
    <w:p w14:paraId="45536589" w14:textId="77777777" w:rsidR="002C7ED6" w:rsidRPr="00E36F5A" w:rsidRDefault="0073227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73227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73227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73227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73227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73227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proofErr w:type="gramStart"/>
      <w:r>
        <w:t>and</w:t>
      </w:r>
      <w:proofErr w:type="gramEnd"/>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r>
        <w:t>Attitude Types</w:t>
      </w:r>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proofErr w:type="gramStart"/>
      <w:r>
        <w:rPr>
          <w:i/>
        </w:rPr>
        <w:t>min</w:t>
      </w:r>
      <w:proofErr w:type="gramEnd"/>
      <w:r>
        <w:tab/>
        <w:t>=</w:t>
      </w:r>
      <w:r>
        <w:tab/>
        <w:t>The minimum curve value</w:t>
      </w:r>
    </w:p>
    <w:p w14:paraId="664A4C7A" w14:textId="77777777" w:rsidR="002C7ED6" w:rsidRDefault="002C7ED6" w:rsidP="002C7ED6">
      <w:pPr>
        <w:pStyle w:val="Definitions"/>
      </w:pPr>
      <w:proofErr w:type="gramStart"/>
      <w:r>
        <w:rPr>
          <w:i/>
        </w:rPr>
        <w:t>max</w:t>
      </w:r>
      <w:proofErr w:type="gramEnd"/>
      <w:r>
        <w:rPr>
          <w:i/>
        </w:rPr>
        <w:tab/>
      </w:r>
      <w:r>
        <w:t>=</w:t>
      </w:r>
      <w:r>
        <w:tab/>
        <w:t>The maximum curve value</w:t>
      </w:r>
    </w:p>
    <w:p w14:paraId="4B64E4AC" w14:textId="77777777" w:rsidR="002C7ED6" w:rsidRDefault="002C7ED6" w:rsidP="002C7ED6">
      <w:pPr>
        <w:pStyle w:val="Definitions"/>
      </w:pPr>
      <w:r>
        <w:rPr>
          <w:i/>
        </w:rPr>
        <w:t>α</w:t>
      </w:r>
      <w:r>
        <w:rPr>
          <w:i/>
        </w:rPr>
        <w:tab/>
      </w:r>
      <w:r>
        <w:t>=</w:t>
      </w:r>
      <w:r>
        <w:tab/>
      </w:r>
      <w:proofErr w:type="gramStart"/>
      <w:r>
        <w:t>The</w:t>
      </w:r>
      <w:proofErr w:type="gramEnd"/>
      <w:r>
        <w:t xml:space="preserve"> current level multiplier</w:t>
      </w:r>
    </w:p>
    <w:p w14:paraId="78A57A17" w14:textId="77777777" w:rsidR="002C7ED6" w:rsidRDefault="002C7ED6" w:rsidP="002C7ED6">
      <w:pPr>
        <w:pStyle w:val="Definitions"/>
      </w:pPr>
      <w:r>
        <w:rPr>
          <w:i/>
        </w:rPr>
        <w:t>β</w:t>
      </w:r>
      <w:r>
        <w:tab/>
        <w:t>=</w:t>
      </w:r>
      <w:r>
        <w:tab/>
      </w:r>
      <w:proofErr w:type="gramStart"/>
      <w:r>
        <w:t>The</w:t>
      </w:r>
      <w:proofErr w:type="gramEnd"/>
      <w:r>
        <w:t xml:space="preserve"> baseline multiplier</w:t>
      </w:r>
    </w:p>
    <w:p w14:paraId="7F49BBDD" w14:textId="77777777" w:rsidR="002C7ED6" w:rsidRDefault="002C7ED6" w:rsidP="002C7ED6">
      <w:pPr>
        <w:pStyle w:val="Definitions"/>
      </w:pPr>
      <w:r>
        <w:rPr>
          <w:i/>
        </w:rPr>
        <w:t>γ</w:t>
      </w:r>
      <w:r>
        <w:tab/>
        <w:t>=</w:t>
      </w:r>
      <w:r>
        <w:tab/>
      </w:r>
      <w:proofErr w:type="gramStart"/>
      <w:r>
        <w:t>The</w:t>
      </w:r>
      <w:proofErr w:type="gramEnd"/>
      <w:r>
        <w:t xml:space="preserve"> natural level multiplier</w:t>
      </w:r>
    </w:p>
    <w:p w14:paraId="4AB902B3" w14:textId="77777777" w:rsidR="002C7ED6" w:rsidRPr="000551AD" w:rsidRDefault="0073227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73227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73227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proofErr w:type="gramStart"/>
      <w:r>
        <w:t>which</w:t>
      </w:r>
      <w:proofErr w:type="gramEnd"/>
      <w:r>
        <w:t xml:space="preserve"> are subject to the following constraints:</w:t>
      </w:r>
    </w:p>
    <w:p w14:paraId="25A67292" w14:textId="77777777" w:rsidR="002C7ED6" w:rsidRDefault="002C7ED6" w:rsidP="002C7ED6"/>
    <w:p w14:paraId="7D86161D" w14:textId="77777777" w:rsidR="002C7ED6" w:rsidRPr="00470BB4" w:rsidRDefault="0073227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73227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73227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73227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w:t>
      </w:r>
      <w:proofErr w:type="gramStart"/>
      <w:r>
        <w:t xml:space="preserve">own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r>
        <w:t>Baseline Adjustments</w:t>
      </w:r>
    </w:p>
    <w:p w14:paraId="5A3FDA8F" w14:textId="3B8888B1" w:rsidR="002C7ED6" w:rsidRDefault="002C7ED6" w:rsidP="002C7ED6">
      <w:r>
        <w:t>A baseline adjustment</w:t>
      </w:r>
      <w:r w:rsidR="00A45C4A">
        <w:rPr>
          <w:rStyle w:val="FootnoteReference"/>
        </w:rPr>
        <w:footnoteReference w:id="6"/>
      </w:r>
      <w:r>
        <w:t xml:space="preserve"> is an absolute, </w:t>
      </w:r>
      <w:proofErr w:type="spellStart"/>
      <w:r>
        <w:t>unscaled</w:t>
      </w:r>
      <w:proofErr w:type="spellEnd"/>
      <w:r>
        <w:t xml:space="preserve">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9C295F">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47" w:name="_Ref339266245"/>
      <w:r>
        <w:t>Transient Effects</w:t>
      </w:r>
      <w:bookmarkEnd w:id="47"/>
    </w:p>
    <w:p w14:paraId="79FE0489" w14:textId="77777777" w:rsidR="00A45C4A" w:rsidRDefault="00A45C4A" w:rsidP="00A45C4A">
      <w:r>
        <w:t xml:space="preserve">A transient effect represents how a particular attitude driver affects an attitude during this time step, i.e., it is a contribution </w:t>
      </w:r>
      <w:proofErr w:type="gramStart"/>
      <w:r>
        <w:t xml:space="preserve">to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48" w:name="_Ref320103089"/>
      <w:r>
        <w:t>Scaling of Contributions</w:t>
      </w:r>
      <w:bookmarkEnd w:id="4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w:t>
      </w:r>
      <w:proofErr w:type="gramStart"/>
      <w:r>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732273"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w:t>
      </w:r>
      <w:proofErr w:type="gramStart"/>
      <w:r>
        <w:t xml:space="preserve">magnitude </w:t>
      </w:r>
      <w:proofErr w:type="gramEnd"/>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732273"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732273"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49" w:name="_Ref339268059"/>
      <w:r>
        <w:t>Causes and Scaling</w:t>
      </w:r>
      <w:bookmarkEnd w:id="49"/>
    </w:p>
    <w:p w14:paraId="34993E72" w14:textId="4F722259" w:rsidR="00A45C4A" w:rsidRDefault="00A45C4A" w:rsidP="00A45C4A">
      <w:r>
        <w:t xml:space="preserve">Section </w:t>
      </w:r>
      <w:r>
        <w:fldChar w:fldCharType="begin"/>
      </w:r>
      <w:r>
        <w:instrText xml:space="preserve"> REF _Ref320103089 \r \h </w:instrText>
      </w:r>
      <w:r>
        <w:fldChar w:fldCharType="separate"/>
      </w:r>
      <w:r w:rsidR="009C295F">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73227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proofErr w:type="gramStart"/>
      <w:r>
        <w:t>where</w:t>
      </w:r>
      <w:proofErr w:type="gramEnd"/>
    </w:p>
    <w:p w14:paraId="2B79F6C6" w14:textId="77777777" w:rsidR="00A45C4A" w:rsidRDefault="00A45C4A" w:rsidP="00A45C4A"/>
    <w:p w14:paraId="00FCC534" w14:textId="77777777" w:rsidR="00A45C4A" w:rsidRDefault="00732273"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proofErr w:type="spellStart"/>
      <w:r w:rsidR="00A45C4A" w:rsidRPr="008B1E0E">
        <w:rPr>
          <w:i/>
        </w:rPr>
        <w:t>i</w:t>
      </w:r>
      <w:r w:rsidR="00A45C4A" w:rsidRPr="008B1E0E">
        <w:rPr>
          <w:vertAlign w:val="superscript"/>
        </w:rPr>
        <w:t>th</w:t>
      </w:r>
      <w:proofErr w:type="spellEnd"/>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732273"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73227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732273"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50" w:name="_Ref339276688"/>
      <w:r>
        <w:t>Persistent Effects</w:t>
      </w:r>
      <w:bookmarkEnd w:id="50"/>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w:t>
      </w:r>
      <w:proofErr w:type="gramStart"/>
      <w:r>
        <w:t xml:space="preserve">to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51" w:name="_Ref339266371"/>
      <w:r>
        <w:t>Historical Data</w:t>
      </w:r>
      <w:bookmarkEnd w:id="51"/>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9C295F">
        <w:t>4.4.2</w:t>
      </w:r>
      <w:r>
        <w:fldChar w:fldCharType="end"/>
      </w:r>
      <w:r>
        <w:t>.</w:t>
      </w:r>
    </w:p>
    <w:p w14:paraId="0B526385" w14:textId="2569D77B" w:rsidR="002C7ED6" w:rsidRDefault="002C7ED6" w:rsidP="002C7ED6">
      <w:pPr>
        <w:pStyle w:val="Heading3"/>
      </w:pPr>
      <w:r>
        <w:t>Applying Adjustments and Effects</w:t>
      </w:r>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r>
        <w:t>Applying Transient Effects Only</w:t>
      </w:r>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w:t>
      </w:r>
      <w:proofErr w:type="gramStart"/>
      <w:r>
        <w:t xml:space="preserve">given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w:t>
      </w:r>
      <w:proofErr w:type="gramStart"/>
      <w:r>
        <w:t xml:space="preserve">for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r>
        <w:t>Examples</w:t>
      </w:r>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roofErr w:type="gramStart"/>
      <w:r>
        <w:t>):</w:t>
      </w:r>
      <w:proofErr w:type="gramEnd"/>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w:t>
      </w:r>
      <w:proofErr w:type="gramStart"/>
      <w:r>
        <w:t xml:space="preserve">, </w:t>
      </w:r>
      <w:proofErr w:type="gramEnd"/>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w:t>
      </w:r>
      <w:proofErr w:type="spellStart"/>
      <w:r>
        <w:t>and</w:t>
      </w:r>
      <w:proofErr w:type="spellEnd"/>
      <w:r>
        <w:t xml:space="preserve">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w:t>
      </w:r>
      <w:proofErr w:type="gramStart"/>
      <w:r>
        <w:t xml:space="preserve">of </w:t>
      </w:r>
      <w:proofErr w:type="gramEnd"/>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77777777" w:rsidR="000A0E8D" w:rsidRDefault="000A0E8D" w:rsidP="000A0E8D"/>
    <w:p w14:paraId="721BD6FF" w14:textId="77777777" w:rsidR="000A0E8D" w:rsidRDefault="000A0E8D" w:rsidP="000A0E8D"/>
    <w:p w14:paraId="614E9DFD" w14:textId="77777777" w:rsidR="000A0E8D" w:rsidRPr="002C7ED6" w:rsidRDefault="000A0E8D" w:rsidP="002C7ED6"/>
    <w:bookmarkEnd w:id="43"/>
    <w:bookmarkEnd w:id="44"/>
    <w:bookmarkEnd w:id="45"/>
    <w:p w14:paraId="67565A97" w14:textId="500223B5" w:rsidR="009F53D6" w:rsidRDefault="004C0B28" w:rsidP="00731F11">
      <w:pPr>
        <w:pStyle w:val="Heading2"/>
      </w:pPr>
      <w:r>
        <w:lastRenderedPageBreak/>
        <w:t>The URAM Curve Types</w:t>
      </w:r>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9C295F">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9C295F">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r>
        <w:t>Neighborhoods, Groups, and Actors</w:t>
      </w:r>
    </w:p>
    <w:p w14:paraId="14567C50" w14:textId="77777777" w:rsidR="004C0B28" w:rsidRDefault="004C0B28" w:rsidP="004C0B28">
      <w:bookmarkStart w:id="52" w:name="__RefHeading__35355228"/>
      <w:bookmarkStart w:id="53" w:name="_Ref315957645"/>
      <w:bookmarkStart w:id="54" w:name="_Toc316025568"/>
      <w:bookmarkEnd w:id="5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54EBBA5D" w14:textId="77777777" w:rsidR="004C0B28" w:rsidRDefault="004C0B28"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16482459" w14:textId="77777777" w:rsidR="004C0B28" w:rsidRDefault="004C0B28" w:rsidP="004C0B28">
      <w:r>
        <w:t>These entities are only fully realized in the client simulation; in URAM we are concerned only with their attitudes, and especially with their attitudes toward each other.</w:t>
      </w:r>
    </w:p>
    <w:p w14:paraId="08BF57F4" w14:textId="77777777" w:rsidR="009C295F" w:rsidRDefault="009C295F" w:rsidP="009C295F">
      <w:pPr>
        <w:pStyle w:val="Heading3"/>
      </w:pPr>
      <w:bookmarkStart w:id="55" w:name="_Ref315953946"/>
      <w:bookmarkStart w:id="56" w:name="_Toc316025588"/>
      <w:r>
        <w:t>Drivers, Inputs, and Effects</w:t>
      </w:r>
      <w:bookmarkEnd w:id="55"/>
      <w:bookmarkEnd w:id="56"/>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t>4.4</w:t>
      </w:r>
      <w:r>
        <w:fldChar w:fldCharType="end"/>
      </w:r>
      <w:r>
        <w:t xml:space="preserve"> and </w:t>
      </w:r>
      <w:r>
        <w:fldChar w:fldCharType="begin"/>
      </w:r>
      <w:r>
        <w:instrText xml:space="preserve"> REF _Ref339276688 \r \h </w:instrText>
      </w:r>
      <w:r>
        <w:fldChar w:fldCharType="separate"/>
      </w:r>
      <w:r>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lastRenderedPageBreak/>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57" w:name="_Toc316025592"/>
      <w:bookmarkStart w:id="58" w:name="_Toc316025589"/>
      <w:r>
        <w:t>Influence</w:t>
      </w:r>
      <w:bookmarkEnd w:id="57"/>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w:t>
      </w:r>
      <w:proofErr w:type="gramStart"/>
      <w:r>
        <w:t xml:space="preserve">number </w:t>
      </w:r>
      <w:proofErr w:type="gramEnd"/>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A551DA">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A551DA">
        <w:t>5.5.2</w:t>
      </w:r>
      <w:r w:rsidR="00A551DA">
        <w:fldChar w:fldCharType="end"/>
      </w:r>
      <w:r>
        <w:t xml:space="preserve"> for the details.  </w:t>
      </w:r>
      <w:bookmarkStart w:id="59" w:name="_GoBack"/>
      <w:bookmarkEnd w:id="59"/>
    </w:p>
    <w:p w14:paraId="00C8D3BB" w14:textId="77777777" w:rsidR="009C295F" w:rsidRDefault="009C295F" w:rsidP="009C295F">
      <w:pPr>
        <w:pStyle w:val="Heading4"/>
      </w:pPr>
      <w:r>
        <w:t>Neighborhood Proximities</w:t>
      </w:r>
      <w:bookmarkEnd w:id="58"/>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proofErr w:type="gramStart"/>
            <w:r>
              <w:rPr>
                <w:i/>
                <w:iCs/>
              </w:rPr>
              <w:t>n</w:t>
            </w:r>
            <w:proofErr w:type="gramEnd"/>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proofErr w:type="gramStart"/>
            <w:r>
              <w:rPr>
                <w:i/>
                <w:iCs/>
              </w:rPr>
              <w:t>n</w:t>
            </w:r>
            <w:proofErr w:type="gramEnd"/>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proofErr w:type="gramStart"/>
            <w:r>
              <w:rPr>
                <w:i/>
                <w:iCs/>
              </w:rPr>
              <w:t>n</w:t>
            </w:r>
            <w:proofErr w:type="gramEnd"/>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732273"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m:t>
                    </m:r>
                    <m:r>
                      <w:rPr>
                        <w:rFonts w:ascii="Cambria Math" w:hAnsi="Cambria Math"/>
                      </w:rPr>
                      <m:t>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60" w:name="__RefHeading__33451605"/>
      <w:bookmarkStart w:id="61" w:name="_Ref315957410"/>
      <w:bookmarkStart w:id="62" w:name="_Toc316025594"/>
      <w:bookmarkEnd w:id="60"/>
      <w:r>
        <w:t>Here, Near, and Far Factors</w:t>
      </w:r>
      <w:bookmarkEnd w:id="61"/>
      <w:bookmarkEnd w:id="62"/>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46A73FC6" w14:textId="70653B28" w:rsidR="009C295F" w:rsidRDefault="00C45D1A" w:rsidP="009C295F">
      <w:pPr>
        <w:pStyle w:val="Heading4"/>
      </w:pPr>
      <w:bookmarkStart w:id="63" w:name="__RefHeading__31183108"/>
      <w:bookmarkEnd w:id="63"/>
      <w:r>
        <w:t>Magnitude of Indirect Effects</w:t>
      </w:r>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proofErr w:type="spellStart"/>
      <w:r w:rsidR="00C45D1A">
        <w:rPr>
          <w:i/>
        </w:rPr>
        <w:t>i</w:t>
      </w:r>
      <w:proofErr w:type="spellEnd"/>
      <w:r w:rsidR="00C45D1A">
        <w:t xml:space="preserve"> with 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732273"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proofErr w:type="gramStart"/>
      <w:r>
        <w:t>where</w:t>
      </w:r>
      <w:proofErr w:type="gramEnd"/>
    </w:p>
    <w:p w14:paraId="47B99B85" w14:textId="77777777" w:rsidR="00C45D1A" w:rsidRDefault="00C45D1A" w:rsidP="009C295F"/>
    <w:p w14:paraId="369013EF" w14:textId="21B0A554" w:rsidR="00C45D1A" w:rsidRDefault="00732273"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732273"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proofErr w:type="spellStart"/>
      <w:r w:rsidR="00C45D1A">
        <w:rPr>
          <w:i/>
        </w:rPr>
        <w:t>i</w:t>
      </w:r>
      <w:proofErr w:type="spellEnd"/>
    </w:p>
    <w:p w14:paraId="643CB5A1" w14:textId="36BEBE37" w:rsidR="00C45D1A" w:rsidRDefault="00732273"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proofErr w:type="spellStart"/>
      <w:r w:rsidR="00C45D1A">
        <w:rPr>
          <w:i/>
        </w:rPr>
        <w:t>i</w:t>
      </w:r>
      <w:proofErr w:type="spellEnd"/>
      <w:r w:rsidR="00C45D1A">
        <w:t xml:space="preserve"> on curve </w:t>
      </w:r>
      <w:r w:rsidR="00C45D1A">
        <w:rPr>
          <w:i/>
        </w:rPr>
        <w:t>j</w:t>
      </w:r>
      <w:r w:rsidR="00C45D1A">
        <w:t>.</w:t>
      </w:r>
    </w:p>
    <w:p w14:paraId="3F2957EC" w14:textId="5F4D623E" w:rsidR="00C45D1A" w:rsidRDefault="00C45D1A" w:rsidP="00C45D1A">
      <w:pPr>
        <w:pStyle w:val="Definitions"/>
      </w:pPr>
      <w:proofErr w:type="gramStart"/>
      <w:r>
        <w:rPr>
          <w:i/>
        </w:rPr>
        <w:t>s</w:t>
      </w:r>
      <w:proofErr w:type="gramEnd"/>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proofErr w:type="gramStart"/>
      <w:r>
        <w:rPr>
          <w:i/>
        </w:rPr>
        <w:t>m</w:t>
      </w:r>
      <w:proofErr w:type="gramEnd"/>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proofErr w:type="spellStart"/>
      <w:r>
        <w:rPr>
          <w:i/>
        </w:rPr>
        <w:t>i</w:t>
      </w:r>
      <w:proofErr w:type="spellEnd"/>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64" w:name="_Ref323715756"/>
      <w:bookmarkEnd w:id="53"/>
      <w:bookmarkEnd w:id="54"/>
      <w:r>
        <w:t>Horizontal Relationships</w:t>
      </w:r>
      <w:bookmarkEnd w:id="64"/>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proofErr w:type="spellStart"/>
      <w:r>
        <w:rPr>
          <w:i/>
        </w:rPr>
        <w:t>hrel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proofErr w:type="spellStart"/>
            <w:r>
              <w:rPr>
                <w:i/>
              </w:rPr>
              <w:t>a</w:t>
            </w:r>
            <w:proofErr w:type="spellEnd"/>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w:t>
      </w:r>
      <w:proofErr w:type="gramStart"/>
      <w:r>
        <w:t xml:space="preserve">equal </w:t>
      </w:r>
      <w:proofErr w:type="gramEnd"/>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r>
        <w:t xml:space="preserve">Type </w:t>
      </w:r>
      <w:r w:rsidRPr="001C02FE">
        <w:t>Parameters</w:t>
      </w:r>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w:t>
      </w:r>
      <w:proofErr w:type="gramStart"/>
      <w:r>
        <w:t xml:space="preserve">the </w:t>
      </w:r>
      <w:r>
        <w:rPr>
          <w:i/>
        </w:rPr>
        <w:t>α</w:t>
      </w:r>
      <w:proofErr w:type="gramEnd"/>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w:lastRenderedPageBreak/>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r>
        <w:t>Spread of Indirect Effects</w:t>
      </w:r>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r>
        <w:t>Satisfaction Levels</w:t>
      </w:r>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65" w:name="_Toc316025582"/>
      <w:r w:rsidRPr="00AC0A13">
        <w:t>Concerns</w:t>
      </w:r>
      <w:bookmarkEnd w:id="65"/>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lastRenderedPageBreak/>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r>
        <w:t>Type Parameters</w:t>
      </w:r>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w:t>
      </w:r>
      <w:proofErr w:type="gramStart"/>
      <w:r>
        <w:t xml:space="preserve">the </w:t>
      </w:r>
      <w:r>
        <w:rPr>
          <w:i/>
        </w:rPr>
        <w:t>α</w:t>
      </w:r>
      <w:proofErr w:type="gramEnd"/>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66" w:name="__RefHeading__35395923"/>
      <w:bookmarkStart w:id="67" w:name="_Ref339353566"/>
      <w:bookmarkEnd w:id="66"/>
      <w:r>
        <w:t>Satisfaction Influence</w:t>
      </w:r>
      <w:bookmarkEnd w:id="67"/>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w:t>
      </w:r>
      <w:proofErr w:type="gramStart"/>
      <w:r>
        <w:t xml:space="preserve">and </w:t>
      </w:r>
      <w:proofErr w:type="gramEnd"/>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w:t>
      </w:r>
      <w:proofErr w:type="gramStart"/>
      <w:r>
        <w:t xml:space="preserve">on </w:t>
      </w:r>
      <w:proofErr w:type="gramEnd"/>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w:t>
      </w:r>
      <w:proofErr w:type="gramStart"/>
      <w:r>
        <w:t xml:space="preserve">relationship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w:t>
      </w:r>
      <w:proofErr w:type="spellStart"/>
      <w:r>
        <w:t>from</w:t>
      </w:r>
      <w:proofErr w:type="spellEnd"/>
      <w:r>
        <w:t xml:space="preserve">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proofErr w:type="gramStart"/>
      <w:r>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732273"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w:t>
      </w:r>
      <w:proofErr w:type="gramStart"/>
      <w:r>
        <w:t xml:space="preserve">of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732273"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w:t>
      </w:r>
      <w:proofErr w:type="gramStart"/>
      <w:r>
        <w:t xml:space="preserve">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w:t>
      </w:r>
      <w:proofErr w:type="gramEnd"/>
      <w:r>
        <w:t xml:space="preserve"> 1.0 and 0.5 respectively, so negative indirect effects are lessened.</w:t>
      </w:r>
    </w:p>
    <w:p w14:paraId="58CB8F7D" w14:textId="77777777" w:rsidR="001E73AE" w:rsidRDefault="001E73AE" w:rsidP="001E73AE">
      <w:pPr>
        <w:pStyle w:val="Heading4"/>
      </w:pPr>
      <w:bookmarkStart w:id="68" w:name="_Ref315955905"/>
      <w:bookmarkStart w:id="69" w:name="_Toc316025583"/>
      <w:r>
        <w:t>Composite Satisfaction, Weights, and Saliencies</w:t>
      </w:r>
      <w:bookmarkEnd w:id="68"/>
      <w:bookmarkEnd w:id="69"/>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732273"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732273"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732273"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r>
        <w:t>Cooperation Levels</w:t>
      </w:r>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t xml:space="preserve"> and is </w:t>
      </w:r>
      <w:proofErr w:type="gramStart"/>
      <w:r>
        <w:t xml:space="preserve">denoted </w:t>
      </w:r>
      <w:proofErr w:type="gramEnd"/>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r>
        <w:t>Type Parameters</w:t>
      </w:r>
    </w:p>
    <w:p w14:paraId="1EC7EF38" w14:textId="43A8FEF4" w:rsidR="004C0B28" w:rsidRDefault="004C0B28" w:rsidP="004C0B28">
      <w:r>
        <w:t xml:space="preserve">The initial baseline and natural levels are defined by the client simulation.  We assume that the baseline changes </w:t>
      </w:r>
      <w:proofErr w:type="gramStart"/>
      <w:r>
        <w:t>slowly,</w:t>
      </w:r>
      <w:proofErr w:type="gramEnd"/>
      <w:r>
        <w:t xml:space="preserve"> and that it regresses slowly back to the natural level.  Thus, </w:t>
      </w:r>
      <w:proofErr w:type="gramStart"/>
      <w:r>
        <w:t xml:space="preserve">the </w:t>
      </w:r>
      <w:r>
        <w:rPr>
          <w:i/>
        </w:rPr>
        <w:t>α</w:t>
      </w:r>
      <w:proofErr w:type="gramEnd"/>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70" w:name="_Ref339354534"/>
      <w:r>
        <w:t>Cooperation Influence</w:t>
      </w:r>
      <w:bookmarkEnd w:id="70"/>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w:t>
      </w:r>
      <w:proofErr w:type="gramStart"/>
      <w:r w:rsidR="003C04A3">
        <w:t xml:space="preserve">and </w:t>
      </w:r>
      <w:proofErr w:type="gramEnd"/>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w:t>
      </w:r>
      <w:proofErr w:type="gramStart"/>
      <w:r w:rsidR="00EC0EE6">
        <w:t xml:space="preserve">on </w:t>
      </w:r>
      <w:proofErr w:type="gramEnd"/>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w:t>
      </w:r>
      <w:proofErr w:type="gramStart"/>
      <w:r w:rsidR="00D96E33">
        <w:t xml:space="preserve">influence </w:t>
      </w:r>
      <w:proofErr w:type="gramEnd"/>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D96E33">
        <w:t>5.3.3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732273"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lastRenderedPageBreak/>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t>5.2</w:t>
      </w:r>
      <w:r>
        <w:fldChar w:fldCharType="end"/>
      </w:r>
      <w:r>
        <w:t>.</w:t>
      </w:r>
    </w:p>
    <w:p w14:paraId="70B81D79" w14:textId="3EFE93D8" w:rsidR="004C0B28" w:rsidRDefault="004C0B28" w:rsidP="004C0B28">
      <w:pPr>
        <w:pStyle w:val="Heading4"/>
      </w:pPr>
      <w:r>
        <w:t>Neighborhood Cooperation</w:t>
      </w:r>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732273"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r>
        <w:t>Vertical Relationships</w:t>
      </w:r>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proofErr w:type="spellStart"/>
      <w:r>
        <w:rPr>
          <w:i/>
        </w:rPr>
        <w:t>vrel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w:t>
      </w:r>
      <w:r>
        <w:t xml:space="preserve"> and</w:t>
      </w:r>
      <w:r>
        <w:t xml:space="preserve"> −1.0 indicates that </w:t>
      </w:r>
      <w:r>
        <w:rPr>
          <w:i/>
        </w:rPr>
        <w:t>g</w:t>
      </w:r>
      <w:r>
        <w:t xml:space="preserve"> opposes </w:t>
      </w:r>
      <w:r>
        <w:rPr>
          <w:i/>
        </w:rPr>
        <w:t>a</w:t>
      </w:r>
      <w:r>
        <w:t xml:space="preserve"> completely.  Vertical relationships use the same narrative scale as horizontal relationships; see Section</w:t>
      </w:r>
      <w:r>
        <w:t xml:space="preserve"> </w:t>
      </w:r>
      <w:r>
        <w:fldChar w:fldCharType="begin"/>
      </w:r>
      <w:r>
        <w:instrText xml:space="preserve"> REF _Ref323715756 \r \h </w:instrText>
      </w:r>
      <w:r>
        <w:fldChar w:fldCharType="separate"/>
      </w:r>
      <w:r>
        <w:t>5.3</w:t>
      </w:r>
      <w:r>
        <w:fldChar w:fldCharType="end"/>
      </w:r>
      <w:r>
        <w:t>.</w:t>
      </w:r>
    </w:p>
    <w:p w14:paraId="0BCC5AC4" w14:textId="77777777" w:rsidR="00330F02" w:rsidRDefault="00330F02" w:rsidP="00330F02"/>
    <w:p w14:paraId="39C2BC83" w14:textId="46E36A32" w:rsidR="00330F02" w:rsidRDefault="00330F02" w:rsidP="00330F02">
      <w:r>
        <w:t xml:space="preserve">Note that we do not </w:t>
      </w:r>
      <w:proofErr w:type="gramStart"/>
      <w:r>
        <w:t xml:space="preserve">define </w:t>
      </w:r>
      <w:proofErr w:type="gramEnd"/>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An actor’s support for a group is indicated not by a relationship figure but by the actor’s actions</w:t>
      </w:r>
      <w:r>
        <w:t>.  An</w:t>
      </w:r>
      <w:r>
        <w:t xml:space="preserve">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r>
        <w:t>Type Parameters</w:t>
      </w:r>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w:t>
      </w:r>
      <w:r>
        <w:lastRenderedPageBreak/>
        <w:t xml:space="preserve">only slowly, and that the relationship will regress to its natural level over time.  Thus, </w:t>
      </w:r>
      <w:proofErr w:type="gramStart"/>
      <w:r>
        <w:t xml:space="preserve">the </w:t>
      </w:r>
      <w:r>
        <w:rPr>
          <w:i/>
        </w:rPr>
        <w:t>α</w:t>
      </w:r>
      <w:proofErr w:type="gramEnd"/>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r>
        <w:t>Spread of Indirect Effects</w:t>
      </w:r>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71" w:name="_Toc316025605"/>
      <w:r>
        <w:lastRenderedPageBreak/>
        <w:t>Relationship Multiplier Functions</w:t>
      </w:r>
      <w:bookmarkEnd w:id="71"/>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72" w:name="_Toc316025606"/>
      <w:r>
        <w:t>Nominal Relationships</w:t>
      </w:r>
      <w:bookmarkEnd w:id="72"/>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73" w:name="_Toc316025607"/>
      <w:r>
        <w:lastRenderedPageBreak/>
        <w:t>Specific Relationship Multiplier Functions</w:t>
      </w:r>
      <w:bookmarkEnd w:id="73"/>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74"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74"/>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75" w:name="_Toc316025608"/>
      <w:r>
        <w:lastRenderedPageBreak/>
        <w:t>Miscellaneous Models and Algorithms</w:t>
      </w:r>
      <w:bookmarkEnd w:id="75"/>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76" w:name="_Toc316025609"/>
      <w:r>
        <w:t>Z-Curve Functions</w:t>
      </w:r>
      <w:bookmarkEnd w:id="76"/>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77" w:name="_Toc316025610"/>
      <w:r>
        <w:t>Poisson Processes</w:t>
      </w:r>
      <w:bookmarkEnd w:id="77"/>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732273"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78" w:name="_Toc316025611"/>
      <w:r>
        <w:lastRenderedPageBreak/>
        <w:t>Selecting a Random Location in a Neighborhood</w:t>
      </w:r>
      <w:bookmarkEnd w:id="78"/>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79" w:name="_Toc316025612"/>
      <w:r>
        <w:lastRenderedPageBreak/>
        <w:t>Appendices</w:t>
      </w:r>
      <w:bookmarkEnd w:id="79"/>
    </w:p>
    <w:p w14:paraId="5C8BC241" w14:textId="77777777" w:rsidR="00D9622B" w:rsidRDefault="00D9622B" w:rsidP="00D9622B"/>
    <w:p w14:paraId="78A80DB4" w14:textId="2CCC88BB" w:rsidR="00D9622B" w:rsidRDefault="00D9622B" w:rsidP="00D9622B">
      <w:pPr>
        <w:pStyle w:val="Heading2"/>
        <w:numPr>
          <w:ilvl w:val="1"/>
          <w:numId w:val="25"/>
        </w:numPr>
      </w:pPr>
      <w:bookmarkStart w:id="80" w:name="_Toc316025613"/>
      <w:r>
        <w:lastRenderedPageBreak/>
        <w:t>Acronyms</w:t>
      </w:r>
      <w:bookmarkEnd w:id="80"/>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577A1" w14:textId="77777777" w:rsidR="00732273" w:rsidRDefault="00732273">
      <w:r>
        <w:separator/>
      </w:r>
    </w:p>
    <w:p w14:paraId="1EAB181C" w14:textId="77777777" w:rsidR="00732273" w:rsidRDefault="00732273"/>
    <w:p w14:paraId="24C89BA0" w14:textId="77777777" w:rsidR="00732273" w:rsidRDefault="00732273" w:rsidP="00D7666B"/>
  </w:endnote>
  <w:endnote w:type="continuationSeparator" w:id="0">
    <w:p w14:paraId="0F28B72A" w14:textId="77777777" w:rsidR="00732273" w:rsidRDefault="00732273">
      <w:r>
        <w:continuationSeparator/>
      </w:r>
    </w:p>
    <w:p w14:paraId="28078A5F" w14:textId="77777777" w:rsidR="00732273" w:rsidRDefault="00732273"/>
    <w:p w14:paraId="44541642" w14:textId="77777777" w:rsidR="00732273" w:rsidRDefault="00732273"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A551DA">
      <w:rPr>
        <w:rStyle w:val="PageNumber"/>
        <w:noProof/>
      </w:rPr>
      <w:t>38</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27F8F" w14:textId="77777777" w:rsidR="00732273" w:rsidRDefault="00732273">
      <w:r>
        <w:separator/>
      </w:r>
    </w:p>
    <w:p w14:paraId="58045B0D" w14:textId="77777777" w:rsidR="00732273" w:rsidRDefault="00732273"/>
    <w:p w14:paraId="3A25F437" w14:textId="77777777" w:rsidR="00732273" w:rsidRDefault="00732273" w:rsidP="00D7666B"/>
  </w:footnote>
  <w:footnote w:type="continuationSeparator" w:id="0">
    <w:p w14:paraId="499556F7" w14:textId="77777777" w:rsidR="00732273" w:rsidRDefault="00732273">
      <w:r>
        <w:continuationSeparator/>
      </w:r>
    </w:p>
    <w:p w14:paraId="01361820" w14:textId="77777777" w:rsidR="00732273" w:rsidRDefault="00732273"/>
    <w:p w14:paraId="134847AA" w14:textId="77777777" w:rsidR="00732273" w:rsidRDefault="00732273"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w:t>
      </w:r>
      <w:proofErr w:type="spellStart"/>
      <w:r>
        <w:t>some</w:t>
      </w:r>
      <w:proofErr w:type="spellEnd"/>
      <w:r>
        <w:t xml:space="preserv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proofErr w:type="spellStart"/>
      <w:proofErr w:type="gramStart"/>
      <w:r w:rsidRPr="00D96335">
        <w:rPr>
          <w:rFonts w:ascii="Courier New" w:hAnsi="Courier New" w:cs="Courier New"/>
        </w:rPr>
        <w:t>qaffinity</w:t>
      </w:r>
      <w:proofErr w:type="spellEnd"/>
      <w:r w:rsidRPr="00D96335">
        <w:rPr>
          <w:rFonts w:ascii="Courier New" w:hAnsi="Courier New" w:cs="Courier New"/>
        </w:rPr>
        <w:t>(</w:t>
      </w:r>
      <w:proofErr w:type="gramEnd"/>
      <w:r w:rsidRPr="00D96335">
        <w:rPr>
          <w:rFonts w:ascii="Courier New" w:hAnsi="Courier New" w:cs="Courier New"/>
        </w:rPr>
        <w:t>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proofErr w:type="spellStart"/>
      <w:r w:rsidRPr="00844539">
        <w:rPr>
          <w:rFonts w:ascii="Courier New" w:hAnsi="Courier New" w:cs="Courier New"/>
        </w:rPr>
        <w:t>uram.factors.HREL</w:t>
      </w:r>
      <w:proofErr w:type="spellEnd"/>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w:t>
      </w:r>
      <w:proofErr w:type="spellStart"/>
      <w:proofErr w:type="gramStart"/>
      <w:r w:rsidRPr="009D727E">
        <w:rPr>
          <w:rFonts w:asciiTheme="minorHAnsi" w:hAnsiTheme="minorHAnsi"/>
          <w:sz w:val="24"/>
          <w:szCs w:val="24"/>
        </w:rPr>
        <w:t>simlib</w:t>
      </w:r>
      <w:proofErr w:type="spellEnd"/>
      <w:r w:rsidRPr="009D727E">
        <w:rPr>
          <w:rFonts w:asciiTheme="minorHAnsi" w:hAnsiTheme="minorHAnsi"/>
          <w:sz w:val="24"/>
          <w:szCs w:val="24"/>
        </w:rPr>
        <w:t>(</w:t>
      </w:r>
      <w:proofErr w:type="gramEnd"/>
      <w:r w:rsidRPr="009D727E">
        <w:rPr>
          <w:rFonts w:asciiTheme="minorHAnsi" w:hAnsiTheme="minorHAnsi"/>
          <w:sz w:val="24"/>
          <w:szCs w:val="24"/>
        </w:rPr>
        <w:t xml:space="preserve">n) type </w:t>
      </w:r>
      <w:proofErr w:type="spellStart"/>
      <w:r w:rsidRPr="009D727E">
        <w:rPr>
          <w:rFonts w:ascii="Courier New" w:hAnsi="Courier New" w:cs="Courier New"/>
          <w:sz w:val="24"/>
          <w:szCs w:val="24"/>
        </w:rPr>
        <w:t>qsat</w:t>
      </w:r>
      <w:proofErr w:type="spellEnd"/>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proofErr w:type="spellStart"/>
      <w:r>
        <w:rPr>
          <w:rFonts w:ascii="Courier New" w:hAnsi="Courier New" w:cs="Courier New"/>
        </w:rPr>
        <w:t>uram.factors.AUT</w:t>
      </w:r>
      <w:proofErr w:type="spellEnd"/>
      <w:r>
        <w:rPr>
          <w:rFonts w:cs="Courier New"/>
        </w:rPr>
        <w:t xml:space="preserve">, </w:t>
      </w:r>
      <w:proofErr w:type="spellStart"/>
      <w:r>
        <w:rPr>
          <w:rFonts w:ascii="Courier New" w:hAnsi="Courier New" w:cs="Courier New"/>
        </w:rPr>
        <w:t>uram.factors.CUL</w:t>
      </w:r>
      <w:proofErr w:type="spellEnd"/>
      <w:proofErr w:type="gramStart"/>
      <w:r>
        <w:rPr>
          <w:rFonts w:cs="Courier New"/>
        </w:rPr>
        <w:t xml:space="preserve">,  </w:t>
      </w:r>
      <w:proofErr w:type="spellStart"/>
      <w:r>
        <w:rPr>
          <w:rFonts w:ascii="Courier New" w:hAnsi="Courier New" w:cs="Courier New"/>
        </w:rPr>
        <w:t>uram.factors.QOL</w:t>
      </w:r>
      <w:proofErr w:type="spellEnd"/>
      <w:proofErr w:type="gramEnd"/>
      <w:r>
        <w:rPr>
          <w:rFonts w:cs="Courier New"/>
        </w:rPr>
        <w:t xml:space="preserve">, and </w:t>
      </w:r>
      <w:proofErr w:type="spellStart"/>
      <w:r>
        <w:rPr>
          <w:rFonts w:ascii="Courier New" w:hAnsi="Courier New" w:cs="Courier New"/>
        </w:rPr>
        <w:t>uram.factors.SFT</w:t>
      </w:r>
      <w:proofErr w:type="spellEnd"/>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proofErr w:type="spellStart"/>
      <w:r w:rsidRPr="00F66F1E">
        <w:rPr>
          <w:rFonts w:ascii="Courier New" w:hAnsi="Courier New" w:cs="Courier New"/>
        </w:rPr>
        <w:t>uram.raf.positive</w:t>
      </w:r>
      <w:proofErr w:type="spellEnd"/>
      <w:r>
        <w:t xml:space="preserve"> and </w:t>
      </w:r>
      <w:proofErr w:type="spellStart"/>
      <w:r w:rsidRPr="00F66F1E">
        <w:rPr>
          <w:rFonts w:ascii="Courier New" w:hAnsi="Courier New" w:cs="Courier New"/>
        </w:rPr>
        <w:t>uram.raf.negative</w:t>
      </w:r>
      <w:proofErr w:type="spellEnd"/>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proofErr w:type="spellStart"/>
      <w:proofErr w:type="gramStart"/>
      <w:r w:rsidRPr="00D8403C">
        <w:rPr>
          <w:rFonts w:ascii="Courier New" w:hAnsi="Courier New" w:cs="Courier New"/>
        </w:rPr>
        <w:t>qcooperation</w:t>
      </w:r>
      <w:proofErr w:type="spellEnd"/>
      <w:r w:rsidRPr="00D8403C">
        <w:rPr>
          <w:rFonts w:ascii="Courier New" w:hAnsi="Courier New" w:cs="Courier New"/>
        </w:rPr>
        <w:t>(</w:t>
      </w:r>
      <w:proofErr w:type="gramEnd"/>
      <w:r w:rsidRPr="00D8403C">
        <w:rPr>
          <w:rFonts w:ascii="Courier New" w:hAnsi="Courier New" w:cs="Courier New"/>
        </w:rPr>
        <w:t>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proofErr w:type="spellStart"/>
      <w:r w:rsidR="00F956F2">
        <w:rPr>
          <w:rFonts w:ascii="Courier New" w:hAnsi="Courier New" w:cs="Courier New"/>
        </w:rPr>
        <w:t>u</w:t>
      </w:r>
      <w:r w:rsidRPr="004C5E5B">
        <w:rPr>
          <w:rFonts w:ascii="Courier New" w:hAnsi="Courier New" w:cs="Courier New"/>
        </w:rPr>
        <w:t>ram.coopRelationshipLimit</w:t>
      </w:r>
      <w:proofErr w:type="spellEnd"/>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proofErr w:type="spellStart"/>
      <w:r>
        <w:rPr>
          <w:rFonts w:ascii="Courier New" w:hAnsi="Courier New" w:cs="Courier New"/>
        </w:rPr>
        <w:t>uram.factors.V</w:t>
      </w:r>
      <w:r w:rsidRPr="00844539">
        <w:rPr>
          <w:rFonts w:ascii="Courier New" w:hAnsi="Courier New" w:cs="Courier New"/>
        </w:rPr>
        <w:t>REL</w:t>
      </w:r>
      <w:proofErr w:type="spellEnd"/>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6">
    <w:p w14:paraId="1564B74F" w14:textId="667C5452" w:rsidR="003C04A3" w:rsidRDefault="003C04A3"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3C04A3" w:rsidRPr="004D07B9" w:rsidRDefault="003C04A3">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3"/>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2"/>
  </w:num>
  <w:num w:numId="32">
    <w:abstractNumId w:val="11"/>
  </w:num>
  <w:num w:numId="33">
    <w:abstractNumId w:val="20"/>
  </w:num>
  <w:num w:numId="34">
    <w:abstractNumId w:val="5"/>
  </w:num>
  <w:num w:numId="35">
    <w:abstractNumId w:val="16"/>
  </w:num>
  <w:num w:numId="36">
    <w:abstractNumId w:val="30"/>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824E9"/>
    <w:rsid w:val="00F82AC6"/>
    <w:rsid w:val="00F86DA4"/>
    <w:rsid w:val="00F8747D"/>
    <w:rsid w:val="00F90B4A"/>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117404032"/>
        <c:axId val="117406720"/>
      </c:lineChart>
      <c:catAx>
        <c:axId val="117404032"/>
        <c:scaling>
          <c:orientation val="minMax"/>
        </c:scaling>
        <c:delete val="0"/>
        <c:axPos val="b"/>
        <c:majorTickMark val="out"/>
        <c:minorTickMark val="none"/>
        <c:tickLblPos val="nextTo"/>
        <c:crossAx val="117406720"/>
        <c:crosses val="autoZero"/>
        <c:auto val="1"/>
        <c:lblAlgn val="ctr"/>
        <c:lblOffset val="100"/>
        <c:noMultiLvlLbl val="0"/>
      </c:catAx>
      <c:valAx>
        <c:axId val="117406720"/>
        <c:scaling>
          <c:orientation val="minMax"/>
          <c:min val="-40"/>
        </c:scaling>
        <c:delete val="0"/>
        <c:axPos val="l"/>
        <c:majorGridlines/>
        <c:numFmt formatCode="General" sourceLinked="1"/>
        <c:majorTickMark val="out"/>
        <c:minorTickMark val="none"/>
        <c:tickLblPos val="nextTo"/>
        <c:crossAx val="11740403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122168448"/>
        <c:axId val="122169984"/>
      </c:lineChart>
      <c:catAx>
        <c:axId val="122168448"/>
        <c:scaling>
          <c:orientation val="minMax"/>
        </c:scaling>
        <c:delete val="0"/>
        <c:axPos val="b"/>
        <c:majorTickMark val="out"/>
        <c:minorTickMark val="none"/>
        <c:tickLblPos val="nextTo"/>
        <c:crossAx val="122169984"/>
        <c:crosses val="autoZero"/>
        <c:auto val="1"/>
        <c:lblAlgn val="ctr"/>
        <c:lblOffset val="100"/>
        <c:noMultiLvlLbl val="0"/>
      </c:catAx>
      <c:valAx>
        <c:axId val="122169984"/>
        <c:scaling>
          <c:orientation val="minMax"/>
          <c:min val="-40"/>
        </c:scaling>
        <c:delete val="0"/>
        <c:axPos val="l"/>
        <c:majorGridlines/>
        <c:numFmt formatCode="General" sourceLinked="1"/>
        <c:majorTickMark val="out"/>
        <c:minorTickMark val="none"/>
        <c:tickLblPos val="nextTo"/>
        <c:crossAx val="12216844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148459904"/>
        <c:axId val="148461824"/>
      </c:lineChart>
      <c:catAx>
        <c:axId val="148459904"/>
        <c:scaling>
          <c:orientation val="minMax"/>
        </c:scaling>
        <c:delete val="0"/>
        <c:axPos val="b"/>
        <c:majorTickMark val="out"/>
        <c:minorTickMark val="none"/>
        <c:tickLblPos val="nextTo"/>
        <c:crossAx val="148461824"/>
        <c:crosses val="autoZero"/>
        <c:auto val="1"/>
        <c:lblAlgn val="ctr"/>
        <c:lblOffset val="100"/>
        <c:noMultiLvlLbl val="0"/>
      </c:catAx>
      <c:valAx>
        <c:axId val="148461824"/>
        <c:scaling>
          <c:orientation val="minMax"/>
          <c:min val="-40"/>
        </c:scaling>
        <c:delete val="0"/>
        <c:axPos val="l"/>
        <c:majorGridlines/>
        <c:numFmt formatCode="General" sourceLinked="1"/>
        <c:majorTickMark val="out"/>
        <c:minorTickMark val="none"/>
        <c:tickLblPos val="nextTo"/>
        <c:crossAx val="14845990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EDFF5-8379-4F61-9625-C6C3505D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55</Pages>
  <Words>13211</Words>
  <Characters>75308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88343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130</cp:revision>
  <cp:lastPrinted>2012-01-20T17:10:00Z</cp:lastPrinted>
  <dcterms:created xsi:type="dcterms:W3CDTF">2012-02-02T17:31:00Z</dcterms:created>
  <dcterms:modified xsi:type="dcterms:W3CDTF">2012-10-30T17:00:00Z</dcterms:modified>
</cp:coreProperties>
</file>