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A3A70"/>
          <w:sz w:val="28"/>
        </w:rPr>
        <w:t>PULSETECH RESEARCH PROJECT</w:t>
        <w:br/>
      </w:r>
      <w:r>
        <w:rPr>
          <w:i/>
          <w:color w:val="787878"/>
          <w:sz w:val="24"/>
        </w:rPr>
        <w:t>Conference Presentation Pitch Outline &amp; Presenter Roles</w:t>
      </w:r>
    </w:p>
    <w:p>
      <w:pPr>
        <w:spacing w:after="240"/>
        <w:jc w:val="center"/>
      </w:pPr>
      <w:r>
        <w:rPr>
          <w:color w:val="0A3A70"/>
        </w:rPr>
        <w:t>━━━━━━━━━━━━━━━━━━━━━━━━━━━━━━━━━━━━━━━━━━━━━━━━━━</w:t>
      </w:r>
    </w:p>
    <w:p>
      <w:pPr>
        <w:spacing w:after="240"/>
      </w:pPr>
      <w:r>
        <w:rPr>
          <w:b/>
          <w:color w:val="0A3A70"/>
        </w:rPr>
        <w:t xml:space="preserve">Paper Title: </w:t>
      </w:r>
      <w:r>
        <w:rPr>
          <w:i/>
        </w:rPr>
        <w:t>Five-Year Longitudinal Heterogeneous Graph Neural Network Training Across ICH E11 Pediatric Age Bands for Drug-ADR Link Prediction Using FAERS 2021–2025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A3A70"/>
          <w:sz w:val="36"/>
        </w:rPr>
        <w:t>Presenter Roles &amp; Time Allocation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3A7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Presenter</w:t>
            </w:r>
          </w:p>
        </w:tc>
        <w:tc>
          <w:tcPr>
            <w:tcW w:type="dxa" w:w="2340"/>
            <w:shd w:fill="0A3A7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fill="0A3A7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Speaking Share</w:t>
            </w:r>
          </w:p>
        </w:tc>
        <w:tc>
          <w:tcPr>
            <w:tcW w:type="dxa" w:w="2340"/>
            <w:shd w:fill="0A3A7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Focus Areas</w:t>
            </w:r>
          </w:p>
        </w:tc>
      </w:tr>
      <w:tr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b/>
                <w:color w:val="0A3A70"/>
                <w:sz w:val="19"/>
                <w:highlight w:val="yellow"/>
              </w:rPr>
              <w:t>Atherv</w:t>
            </w:r>
            <w:r>
              <w:t xml:space="preserve"> Deepak Telkar</w:t>
            </w:r>
          </w:p>
        </w:tc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System Conception &amp; GNN Architect</w:t>
            </w:r>
          </w:p>
        </w:tc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~35%</w:t>
            </w:r>
          </w:p>
        </w:tc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Introduction, GNN Architecture, GNN Predictions, Core Methodology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b/>
                <w:color w:val="0A3A70"/>
                <w:sz w:val="19"/>
                <w:highlight w:val="yellow"/>
              </w:rPr>
              <w:t>Amey</w:t>
            </w:r>
            <w:r>
              <w:t xml:space="preserve"> Deepak Telkar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Pipeline Engineer &amp; Lead Data Analyst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~35%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Clinical Pharmacology, Results/Evaluation, System Impact, Future Scope</w:t>
            </w:r>
          </w:p>
        </w:tc>
      </w:tr>
      <w:tr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b/>
                <w:color w:val="005AA0"/>
                <w:sz w:val="19"/>
                <w:highlight w:val="yellow"/>
              </w:rPr>
              <w:t>Rushikesh</w:t>
            </w:r>
            <w:r>
              <w:t xml:space="preserve"> Chintapalli</w:t>
            </w:r>
          </w:p>
        </w:tc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System Verification Support</w:t>
            </w:r>
          </w:p>
        </w:tc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~15%</w:t>
            </w:r>
          </w:p>
        </w:tc>
        <w:tc>
          <w:tcPr>
            <w:tcW w:type="dxa" w:w="2340"/>
            <w:shd w:fill="EE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Data Ingestion &amp; Preprocessing Pipeline (Steps 0–6)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b/>
                <w:color w:val="005AA0"/>
                <w:sz w:val="19"/>
                <w:highlight w:val="yellow"/>
              </w:rPr>
              <w:t>Abhishek</w:t>
            </w:r>
            <w:r>
              <w:t xml:space="preserve"> Kamble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System Validation Support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~15%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80" w:line="276" w:lineRule="auto"/>
            </w:pPr>
            <w:r>
              <w:rPr>
                <w:sz w:val="19"/>
              </w:rPr>
              <w:t>Pipeline Steps 7–13 &amp; Four-Metric Disproportionality calculations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A3A70"/>
          <w:sz w:val="36"/>
        </w:rPr>
        <w:t>Slide-by-Slide Pitch &amp; Talking Points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1: Introduction &amp; The Pediatric Drug Safety Crisis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A3A70"/>
          <w:highlight w:val="yellow"/>
        </w:rPr>
        <w:t>Atherv</w:t>
      </w:r>
    </w:p>
    <w:p>
      <w:pPr>
        <w:pStyle w:val="ListBullet"/>
        <w:spacing w:after="80" w:line="276" w:lineRule="auto"/>
      </w:pPr>
      <w:r>
        <w:t>The Problem: Adverse Drug Reactions (ADRs) cause 5–7% of all pediatric hospital admissions annually.</w:t>
      </w:r>
    </w:p>
    <w:p>
      <w:pPr>
        <w:pStyle w:val="ListBullet"/>
        <w:spacing w:after="80" w:line="276" w:lineRule="auto"/>
      </w:pPr>
      <w:r>
        <w:t>The Gap: Traditional surveillance and ML models pool pediatric patients together or extrapolate from adult data, masking critical developmental-stage differences.</w:t>
      </w:r>
    </w:p>
    <w:p>
      <w:pPr>
        <w:pStyle w:val="ListBullet"/>
        <w:spacing w:after="80" w:line="276" w:lineRule="auto"/>
      </w:pPr>
      <w:r>
        <w:t>Our Solution: We present PulseTech (ANC-031), a platform training temporally-isolated GNNs per ICH E11 age band per quarter.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2: Developmental Pharmacology &amp; The ICH E11 Framework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A3A70"/>
          <w:highlight w:val="yellow"/>
        </w:rPr>
        <w:t>Amey</w:t>
      </w:r>
    </w:p>
    <w:p>
      <w:pPr>
        <w:pStyle w:val="ListBullet"/>
        <w:spacing w:after="80" w:line="276" w:lineRule="auto"/>
      </w:pPr>
      <w:r>
        <w:t>Pharmacokinetic Differences: Neonates, infants, children, and adolescents process drugs completely differently (ADME differences).</w:t>
      </w:r>
    </w:p>
    <w:p>
      <w:pPr>
        <w:pStyle w:val="ListBullet"/>
        <w:spacing w:after="80" w:line="276" w:lineRule="auto"/>
      </w:pPr>
      <w:r>
        <w:t>ICH E11 Stratification: We divide the pediatric population into official age bands: Neonates (0-27d), Infants (28d-23m), Children (2-11y), and Adolescents (12-17y).</w:t>
      </w:r>
    </w:p>
    <w:p>
      <w:pPr>
        <w:pStyle w:val="ListBullet"/>
        <w:spacing w:after="80" w:line="276" w:lineRule="auto"/>
      </w:pPr>
      <w:r>
        <w:t>Why Stratify? Showing why drug toxicity varies dynamically across these stages. PulseTech runs temporally isolated GNN training for each distinct age cohort.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3: The PulseTech Data Pipeline (Steps 0–6)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05AA0"/>
          <w:highlight w:val="yellow"/>
        </w:rPr>
        <w:t>Rushikesh</w:t>
      </w:r>
    </w:p>
    <w:p>
      <w:pPr>
        <w:pStyle w:val="ListBullet"/>
        <w:spacing w:after="80" w:line="276" w:lineRule="auto"/>
      </w:pPr>
      <w:r>
        <w:t>Ingestion (Steps 0–2): Automatic file detection, header validation, and null column removal across all 20 quarters of FAERS data.</w:t>
      </w:r>
    </w:p>
    <w:p>
      <w:pPr>
        <w:pStyle w:val="ListBullet"/>
        <w:spacing w:after="80" w:line="276" w:lineRule="auto"/>
      </w:pPr>
      <w:r>
        <w:t>Deduplication (Step 2): Custom 4-level tie-breaking deduplication to prevent denominator bias (prioritizing case version, follow-up code, fda_dt, and primaryid).</w:t>
      </w:r>
    </w:p>
    <w:p>
      <w:pPr>
        <w:pStyle w:val="ListBullet"/>
        <w:spacing w:after="80" w:line="276" w:lineRule="auto"/>
      </w:pPr>
      <w:r>
        <w:t>Demographic Mapping (Steps 3–6): Decimal age conversion, weight normalization, and assigning patients to their respective ICH E11 age bands.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4: Signal Normalization &amp; Four-Metric Disproportionality (Steps 7–13)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05AA0"/>
          <w:highlight w:val="yellow"/>
        </w:rPr>
        <w:t>Abhishek</w:t>
      </w:r>
    </w:p>
    <w:p>
      <w:pPr>
        <w:pStyle w:val="ListBullet"/>
        <w:spacing w:after="80" w:line="276" w:lineRule="auto"/>
      </w:pPr>
      <w:r>
        <w:t>Data Cleaning (Steps 7–12): Standardizing dates, removing unvalidated drug records, normalising drug names to canonical RxNorm CUIs (94% REST API, 6% fuzzy match), and converting clinical outcomes to a severity scale.</w:t>
      </w:r>
    </w:p>
    <w:p>
      <w:pPr>
        <w:pStyle w:val="ListBullet"/>
        <w:spacing w:after="80" w:line="276" w:lineRule="auto"/>
      </w:pPr>
      <w:r>
        <w:t>Disproportionality Pipeline: Implementing a vectorized Pandas pipeline to compute PRR, ROR, IC, and EBGM in parallel.</w:t>
      </w:r>
    </w:p>
    <w:p>
      <w:pPr>
        <w:pStyle w:val="ListBullet"/>
        <w:spacing w:after="80" w:line="276" w:lineRule="auto"/>
      </w:pPr>
      <w:r>
        <w:t>Human Quality Gate (Step 13): Implementing a manual Approve/Reject dashboard check before database commit to prevent erroneous configurations (e.g., catching the 2021 Q2 threshold anomaly).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5: The HANConv Heterogeneous Graph Neural Network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A3A70"/>
          <w:highlight w:val="yellow"/>
        </w:rPr>
        <w:t>Atherv</w:t>
      </w:r>
    </w:p>
    <w:p>
      <w:pPr>
        <w:pStyle w:val="ListBullet"/>
        <w:spacing w:after="80" w:line="276" w:lineRule="auto"/>
      </w:pPr>
      <w:r>
        <w:t>Graph Structure: Constructing a PyTorch Geometric HeteroData graph with node types: Drug, ADR, and Cohort.</w:t>
      </w:r>
    </w:p>
    <w:p>
      <w:pPr>
        <w:pStyle w:val="ListBullet"/>
        <w:spacing w:after="80" w:line="276" w:lineRule="auto"/>
      </w:pPr>
      <w:r>
        <w:t>The Cohort Node Innovation: Introducing the Cohort node as a demographic bridge to link Drug and ADR nodes, enabling age-stratified feature representation.</w:t>
      </w:r>
    </w:p>
    <w:p>
      <w:pPr>
        <w:pStyle w:val="ListBullet"/>
        <w:spacing w:after="80" w:line="276" w:lineRule="auto"/>
      </w:pPr>
      <w:r>
        <w:t>Model Details: A 2-layer HANConv network with 4-head attention, ELU activation, and a dot-product decoder with sigmoid output score mapping.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6: Results: Five-Year Longitudinal Performance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A3A70"/>
          <w:highlight w:val="yellow"/>
        </w:rPr>
        <w:t>Amey</w:t>
      </w:r>
    </w:p>
    <w:p>
      <w:pPr>
        <w:pStyle w:val="ListBullet"/>
        <w:spacing w:after="80" w:line="276" w:lineRule="auto"/>
      </w:pPr>
      <w:r>
        <w:t>100% Training Success: Successfully trained 80 GNN models (20 quarters * 4 bands) with zero cross-quarter leakage.</w:t>
      </w:r>
    </w:p>
    <w:p>
      <w:pPr>
        <w:pStyle w:val="ListBullet"/>
        <w:spacing w:after="80" w:line="276" w:lineRule="auto"/>
      </w:pPr>
      <w:r>
        <w:t>Performance Gradient: Adolescent (avg AUC = 0.8425) &gt; Child (0.7970) &gt; Infant (0.6799) ≈ Neonate (0.6774).</w:t>
      </w:r>
    </w:p>
    <w:p>
      <w:pPr>
        <w:pStyle w:val="ListBullet"/>
        <w:spacing w:after="80" w:line="276" w:lineRule="auto"/>
      </w:pPr>
      <w:r>
        <w:t>Statistical Rigor: Wilcoxon Signed-Rank tests (Bonferroni corrected) prove performance differences reflect data volume constraints rather than architectural issues.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7: Novel GNN Link Predictions &amp; Benchmarks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A3A70"/>
          <w:highlight w:val="yellow"/>
        </w:rPr>
        <w:t>Atherv</w:t>
      </w:r>
      <w:r>
        <w:t xml:space="preserve"> &amp; </w:t>
      </w:r>
      <w:r>
        <w:rPr>
          <w:b/>
          <w:color w:val="0A3A70"/>
          <w:highlight w:val="yellow"/>
        </w:rPr>
        <w:t>Amey</w:t>
      </w:r>
    </w:p>
    <w:p>
      <w:pPr>
        <w:pStyle w:val="ListBullet"/>
        <w:spacing w:after="80" w:line="276" w:lineRule="auto"/>
      </w:pPr>
      <w:r>
        <w:t>Predicting the Unseen (</w:t>
      </w:r>
      <w:r>
        <w:rPr>
          <w:b/>
          <w:color w:val="0A3A70"/>
          <w:highlight w:val="yellow"/>
        </w:rPr>
        <w:t>Atherv</w:t>
      </w:r>
      <w:r>
        <w:t>): Standard classifiers (LR/RF) fail when co-occurrence (n11) is zero. The GNN uses structural node embedding context to predict novel links.</w:t>
      </w:r>
    </w:p>
    <w:p>
      <w:pPr>
        <w:pStyle w:val="ListBullet"/>
        <w:spacing w:after="80" w:line="276" w:lineRule="auto"/>
      </w:pPr>
      <w:r>
        <w:t>Novel Link Verification: PulseTech predicted Risperdal -&gt; Gynaecomastia and Truvada -&gt; Bone Loss with zero training co-occurrence, which were subsequently validated in future quarters.</w:t>
      </w:r>
    </w:p>
    <w:p>
      <w:pPr>
        <w:pStyle w:val="ListBullet"/>
        <w:spacing w:after="80" w:line="276" w:lineRule="auto"/>
      </w:pPr>
      <w:r>
        <w:t>System Architecture (</w:t>
      </w:r>
      <w:r>
        <w:rPr>
          <w:b/>
          <w:color w:val="0A3A70"/>
          <w:highlight w:val="yellow"/>
        </w:rPr>
        <w:t>Amey</w:t>
      </w:r>
      <w:r>
        <w:t>): Production-grade FastAPI backend, Celery task queue, PostgreSQL database, and React 18 frontend dashboard.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05AA0"/>
          <w:sz w:val="28"/>
        </w:rPr>
        <w:t>Slide 8: Future Work &amp; Conclusion</w:t>
      </w:r>
    </w:p>
    <w:p>
      <w:pPr>
        <w:spacing w:after="80" w:line="276" w:lineRule="auto"/>
      </w:pPr>
      <w:r>
        <w:t xml:space="preserve">Presenter: </w:t>
      </w:r>
      <w:r>
        <w:rPr>
          <w:b/>
          <w:color w:val="0A3A70"/>
          <w:highlight w:val="yellow"/>
        </w:rPr>
        <w:t>Amey</w:t>
      </w:r>
    </w:p>
    <w:p>
      <w:pPr>
        <w:pStyle w:val="ListBullet"/>
        <w:spacing w:after="80" w:line="276" w:lineRule="auto"/>
      </w:pPr>
      <w:r>
        <w:t>Future Scope: Enhancing sparse neonate/infant models using chemical fingerprints (Morgan/MACCS) and pharmacogenomics, and extending data inputs to EudraVigilance.</w:t>
      </w:r>
    </w:p>
    <w:p>
      <w:pPr>
        <w:pStyle w:val="ListBullet"/>
        <w:spacing w:after="80" w:line="276" w:lineRule="auto"/>
      </w:pPr>
      <w:r>
        <w:t>Conclusion: PulseTech demonstrates the clinical validity and engineering feasibility of age-stratified, GNN-powered pharmacovigilance.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