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1A1A2E"/>
          <w:sz w:val="28"/>
        </w:rPr>
        <w:t>Maharashtra Institute of Technology</w:t>
        <w:br/>
        <w:t>Vishwaprayag University, Solapur</w:t>
      </w:r>
    </w:p>
    <w:p/>
    <w:p>
      <w:pPr>
        <w:jc w:val="center"/>
      </w:pPr>
      <w:r>
        <w:rPr>
          <w:b/>
          <w:sz w:val="24"/>
        </w:rPr>
        <w:t>Department of Computer Science and Engineering</w:t>
      </w:r>
    </w:p>
    <w:p/>
    <w:p>
      <w:pPr>
        <w:jc w:val="center"/>
      </w:pPr>
      <w:r>
        <w:rPr>
          <w:b/>
          <w:color w:val="1A1A2E"/>
          <w:sz w:val="44"/>
        </w:rPr>
        <w:t>Weekly Progress Report</w:t>
        <w:br/>
        <w:t>Weeks 1–3</w:t>
      </w:r>
    </w:p>
    <w:p/>
    <w:p>
      <w:pPr>
        <w:jc w:val="center"/>
      </w:pPr>
      <w:r>
        <w:rPr>
          <w:i/>
          <w:color w:val="333366"/>
          <w:sz w:val="26"/>
        </w:rPr>
        <w:t>PulseTech — Pediatric Pharmacovigilance Dashboard</w:t>
        <w:br/>
        <w:t>using Heterogeneous Graph Attention Networks (HANConv)</w:t>
        <w:br/>
        <w:t>for Proactive Adverse Drug Reaction Detection</w:t>
      </w:r>
    </w:p>
    <w:p/>
    <w:p/>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Pr>
          <w:p>
            <w:r>
              <w:rPr>
                <w:b/>
                <w:color w:val="FFFFFF"/>
                <w:sz w:val="20"/>
              </w:rPr>
              <w:t>Name</w:t>
            </w:r>
          </w:p>
        </w:tc>
        <w:tc>
          <w:tcPr>
            <w:tcW w:type="dxa" w:w="2160"/>
            <w:shd w:val="clear" w:color="auto" w:fill="1A1A2E"/>
          </w:tcPr>
          <w:p>
            <w:r>
              <w:rPr>
                <w:b/>
                <w:color w:val="FFFFFF"/>
                <w:sz w:val="20"/>
              </w:rPr>
              <w:t>SRN</w:t>
            </w:r>
          </w:p>
        </w:tc>
        <w:tc>
          <w:tcPr>
            <w:tcW w:type="dxa" w:w="2160"/>
            <w:shd w:val="clear" w:color="auto" w:fill="1A1A2E"/>
          </w:tcPr>
          <w:p>
            <w:r>
              <w:rPr>
                <w:b/>
                <w:color w:val="FFFFFF"/>
                <w:sz w:val="20"/>
              </w:rPr>
              <w:t>Roll No</w:t>
            </w:r>
          </w:p>
        </w:tc>
        <w:tc>
          <w:tcPr>
            <w:tcW w:type="dxa" w:w="2160"/>
            <w:shd w:val="clear" w:color="auto" w:fill="1A1A2E"/>
          </w:tcPr>
          <w:p>
            <w:r>
              <w:rPr>
                <w:b/>
                <w:color w:val="FFFFFF"/>
                <w:sz w:val="20"/>
              </w:rPr>
              <w:t>Email ID</w:t>
            </w:r>
          </w:p>
        </w:tc>
      </w:tr>
      <w:tr>
        <w:tc>
          <w:tcPr>
            <w:tcW w:type="dxa" w:w="2160"/>
          </w:tcPr>
          <w:p>
            <w:r>
              <w:rPr>
                <w:sz w:val="20"/>
              </w:rPr>
              <w:t>Atharv Telkar</w:t>
            </w:r>
          </w:p>
        </w:tc>
        <w:tc>
          <w:tcPr>
            <w:tcW w:type="dxa" w:w="2160"/>
          </w:tcPr>
          <w:p>
            <w:r>
              <w:rPr>
                <w:sz w:val="20"/>
              </w:rPr>
              <w:t>SCFP125043</w:t>
            </w:r>
          </w:p>
        </w:tc>
        <w:tc>
          <w:tcPr>
            <w:tcW w:type="dxa" w:w="2160"/>
          </w:tcPr>
          <w:p>
            <w:r>
              <w:rPr>
                <w:sz w:val="20"/>
              </w:rPr>
              <w:t>43</w:t>
            </w:r>
          </w:p>
        </w:tc>
        <w:tc>
          <w:tcPr>
            <w:tcW w:type="dxa" w:w="2160"/>
          </w:tcPr>
          <w:p>
            <w:r>
              <w:rPr>
                <w:sz w:val="20"/>
              </w:rPr>
              <w:t>athervtelkar08@gmail.com</w:t>
            </w:r>
          </w:p>
        </w:tc>
      </w:tr>
      <w:tr>
        <w:tc>
          <w:tcPr>
            <w:tcW w:type="dxa" w:w="2160"/>
          </w:tcPr>
          <w:p>
            <w:r>
              <w:rPr>
                <w:sz w:val="20"/>
              </w:rPr>
              <w:t>Amey Telkar</w:t>
            </w:r>
          </w:p>
        </w:tc>
        <w:tc>
          <w:tcPr>
            <w:tcW w:type="dxa" w:w="2160"/>
          </w:tcPr>
          <w:p>
            <w:r>
              <w:rPr>
                <w:sz w:val="20"/>
              </w:rPr>
              <w:t>SCFP125044</w:t>
            </w:r>
          </w:p>
        </w:tc>
        <w:tc>
          <w:tcPr>
            <w:tcW w:type="dxa" w:w="2160"/>
          </w:tcPr>
          <w:p>
            <w:r>
              <w:rPr>
                <w:sz w:val="20"/>
              </w:rPr>
              <w:t>44</w:t>
            </w:r>
          </w:p>
        </w:tc>
        <w:tc>
          <w:tcPr>
            <w:tcW w:type="dxa" w:w="2160"/>
          </w:tcPr>
          <w:p>
            <w:r>
              <w:rPr>
                <w:sz w:val="20"/>
              </w:rPr>
              <w:t>ameytelkar08@gmail.com</w:t>
            </w:r>
          </w:p>
        </w:tc>
      </w:tr>
    </w:tbl>
    <w:p/>
    <w:p>
      <w:pPr>
        <w:jc w:val="center"/>
      </w:pPr>
      <w:r>
        <w:rPr>
          <w:b/>
          <w:sz w:val="24"/>
        </w:rPr>
        <w:t>Guide: Prof. Akshay Javalgikar</w:t>
      </w:r>
    </w:p>
    <w:p>
      <w:pPr>
        <w:jc w:val="center"/>
      </w:pPr>
      <w:r>
        <w:rPr>
          <w:i/>
          <w:sz w:val="22"/>
        </w:rPr>
        <w:t>Report Date: 05 October 2026</w:t>
      </w:r>
    </w:p>
    <w:p>
      <w:r>
        <w:br w:type="page"/>
      </w:r>
    </w:p>
    <w:p>
      <w:pPr>
        <w:pStyle w:val="Heading1"/>
      </w:pPr>
      <w:r>
        <w:rPr>
          <w:color w:val="1A1A2E"/>
        </w:rPr>
        <w:t>Table of Contents</w:t>
      </w:r>
    </w:p>
    <w:p>
      <w:pPr>
        <w:spacing w:after="80"/>
      </w:pPr>
      <w:r>
        <w:t>1. Project Overview</w:t>
      </w:r>
    </w:p>
    <w:p>
      <w:pPr>
        <w:spacing w:after="80"/>
      </w:pPr>
      <w:r>
        <w:t>2. Week 1 Report: Data Pipeline &amp; Database Architecture</w:t>
      </w:r>
    </w:p>
    <w:p>
      <w:pPr>
        <w:spacing w:after="80"/>
      </w:pPr>
      <w:r>
        <w:t>3. Week 2 Report: Signal Detection &amp; GNN Implementation</w:t>
      </w:r>
    </w:p>
    <w:p>
      <w:pPr>
        <w:spacing w:after="80"/>
      </w:pPr>
      <w:r>
        <w:t>4. Week 3 Report: Dashboard Integration &amp; PLOS ONE Submission</w:t>
      </w:r>
    </w:p>
    <w:p>
      <w:pPr>
        <w:spacing w:after="80"/>
      </w:pPr>
      <w:r>
        <w:t>5. Current System Status</w:t>
      </w:r>
    </w:p>
    <w:p>
      <w:pPr>
        <w:spacing w:after="80"/>
      </w:pPr>
      <w:r>
        <w:t>6. Key Metrics &amp; Achievements</w:t>
      </w:r>
    </w:p>
    <w:p>
      <w:pPr>
        <w:spacing w:after="80"/>
      </w:pPr>
      <w:r>
        <w:t>7. Screenshots &amp; Evidence</w:t>
      </w:r>
    </w:p>
    <w:p>
      <w:pPr>
        <w:spacing w:after="80"/>
      </w:pPr>
      <w:r>
        <w:t>8. Next Steps</w:t>
      </w:r>
    </w:p>
    <w:p>
      <w:r>
        <w:br w:type="page"/>
      </w:r>
    </w:p>
    <w:p>
      <w:pPr>
        <w:pStyle w:val="Heading1"/>
      </w:pPr>
      <w:r>
        <w:rPr>
          <w:color w:val="1A1A2E"/>
        </w:rPr>
        <w:t>1. Project Overview</w:t>
      </w:r>
    </w:p>
    <w:p>
      <w:r>
        <w:rPr>
          <w:b/>
          <w:sz w:val="22"/>
        </w:rPr>
        <w:t xml:space="preserve">Project Title: </w:t>
      </w:r>
      <w:r>
        <w:rPr>
          <w:sz w:val="22"/>
        </w:rPr>
        <w:t>PulseTech — Pediatric Pharmacovigilance Dashboard using Heterogeneous Graph Attention Networks (HANConv) for Proactive Adverse Drug Reaction Detection</w:t>
      </w:r>
    </w:p>
    <w:p>
      <w:r>
        <w:rPr>
          <w:b/>
        </w:rPr>
        <w:t xml:space="preserve">Objective: </w:t>
      </w:r>
      <w:r>
        <w:t>Design and develop a web-based pediatric pharmacovigilance dashboard that combines retrospective Disproportionality Analysis (PRR, ROR, IC, EBGM) with proactive Graph Neural Network (HANConv) signal prediction on the FDA FAERS database, with full data traceability through a 13-step human-gated ingestion pipeline.</w:t>
      </w:r>
    </w:p>
    <w:p/>
    <w:p>
      <w:pPr>
        <w:pStyle w:val="Heading2"/>
      </w:pPr>
      <w:r>
        <w:rPr>
          <w:color w:val="1A1A2E"/>
        </w:rPr>
        <w:t>Technology Stack</w:t>
      </w:r>
    </w:p>
    <w:tbl>
      <w:tblPr>
        <w:tblW w:type="auto" w:w="0"/>
        <w:tblLook w:firstColumn="1" w:firstRow="1" w:lastColumn="0" w:lastRow="0" w:noHBand="0" w:noVBand="1" w:val="04A0"/>
      </w:tblPr>
      <w:tblGrid>
        <w:gridCol w:w="4320"/>
        <w:gridCol w:w="4320"/>
      </w:tblGrid>
      <w:tr>
        <w:tc>
          <w:tcPr>
            <w:tcW w:type="dxa" w:w="4320"/>
            <w:shd w:val="clear" w:color="auto" w:fill="1A1A2E"/>
          </w:tcPr>
          <w:p>
            <w:r>
              <w:rPr>
                <w:b/>
                <w:color w:val="FFFFFF"/>
                <w:sz w:val="20"/>
              </w:rPr>
              <w:t>Component</w:t>
            </w:r>
          </w:p>
        </w:tc>
        <w:tc>
          <w:tcPr>
            <w:tcW w:type="dxa" w:w="4320"/>
            <w:shd w:val="clear" w:color="auto" w:fill="1A1A2E"/>
          </w:tcPr>
          <w:p>
            <w:r>
              <w:rPr>
                <w:b/>
                <w:color w:val="FFFFFF"/>
                <w:sz w:val="20"/>
              </w:rPr>
              <w:t>Technology</w:t>
            </w:r>
          </w:p>
        </w:tc>
      </w:tr>
      <w:tr>
        <w:tc>
          <w:tcPr>
            <w:tcW w:type="dxa" w:w="4320"/>
          </w:tcPr>
          <w:p>
            <w:r>
              <w:rPr>
                <w:sz w:val="20"/>
              </w:rPr>
              <w:t>Frontend</w:t>
            </w:r>
          </w:p>
        </w:tc>
        <w:tc>
          <w:tcPr>
            <w:tcW w:type="dxa" w:w="4320"/>
          </w:tcPr>
          <w:p>
            <w:r>
              <w:rPr>
                <w:sz w:val="20"/>
              </w:rPr>
              <w:t>React.js with interactive D3.js/Force-directed graph visualisations</w:t>
            </w:r>
          </w:p>
        </w:tc>
      </w:tr>
      <w:tr>
        <w:tc>
          <w:tcPr>
            <w:tcW w:type="dxa" w:w="4320"/>
          </w:tcPr>
          <w:p>
            <w:r>
              <w:rPr>
                <w:sz w:val="20"/>
              </w:rPr>
              <w:t>Backend</w:t>
            </w:r>
          </w:p>
        </w:tc>
        <w:tc>
          <w:tcPr>
            <w:tcW w:type="dxa" w:w="4320"/>
          </w:tcPr>
          <w:p>
            <w:r>
              <w:rPr>
                <w:sz w:val="20"/>
              </w:rPr>
              <w:t>Python FastAPI with SQLAlchemy ORM</w:t>
            </w:r>
          </w:p>
        </w:tc>
      </w:tr>
      <w:tr>
        <w:tc>
          <w:tcPr>
            <w:tcW w:type="dxa" w:w="4320"/>
          </w:tcPr>
          <w:p>
            <w:r>
              <w:rPr>
                <w:sz w:val="20"/>
              </w:rPr>
              <w:t>Database</w:t>
            </w:r>
          </w:p>
        </w:tc>
        <w:tc>
          <w:tcPr>
            <w:tcW w:type="dxa" w:w="4320"/>
          </w:tcPr>
          <w:p>
            <w:r>
              <w:rPr>
                <w:sz w:val="20"/>
              </w:rPr>
              <w:t>PostgreSQL (faers_pediatric analytical store)</w:t>
            </w:r>
          </w:p>
        </w:tc>
      </w:tr>
      <w:tr>
        <w:tc>
          <w:tcPr>
            <w:tcW w:type="dxa" w:w="4320"/>
          </w:tcPr>
          <w:p>
            <w:r>
              <w:rPr>
                <w:sz w:val="20"/>
              </w:rPr>
              <w:t>GNN Framework</w:t>
            </w:r>
          </w:p>
        </w:tc>
        <w:tc>
          <w:tcPr>
            <w:tcW w:type="dxa" w:w="4320"/>
          </w:tcPr>
          <w:p>
            <w:r>
              <w:rPr>
                <w:sz w:val="20"/>
              </w:rPr>
              <w:t>PyTorch Geometric — HANConv (Heterogeneous Attention Network)</w:t>
            </w:r>
          </w:p>
        </w:tc>
      </w:tr>
      <w:tr>
        <w:tc>
          <w:tcPr>
            <w:tcW w:type="dxa" w:w="4320"/>
          </w:tcPr>
          <w:p>
            <w:r>
              <w:rPr>
                <w:sz w:val="20"/>
              </w:rPr>
              <w:t>Drug Normalisation</w:t>
            </w:r>
          </w:p>
        </w:tc>
        <w:tc>
          <w:tcPr>
            <w:tcW w:type="dxa" w:w="4320"/>
          </w:tcPr>
          <w:p>
            <w:r>
              <w:rPr>
                <w:sz w:val="20"/>
              </w:rPr>
              <w:t>RxNorm API (NIH NLM) for standardised drug naming</w:t>
            </w:r>
          </w:p>
        </w:tc>
      </w:tr>
      <w:tr>
        <w:tc>
          <w:tcPr>
            <w:tcW w:type="dxa" w:w="4320"/>
          </w:tcPr>
          <w:p>
            <w:r>
              <w:rPr>
                <w:sz w:val="20"/>
              </w:rPr>
              <w:t>ADR Coding</w:t>
            </w:r>
          </w:p>
        </w:tc>
        <w:tc>
          <w:tcPr>
            <w:tcW w:type="dxa" w:w="4320"/>
          </w:tcPr>
          <w:p>
            <w:r>
              <w:rPr>
                <w:sz w:val="20"/>
              </w:rPr>
              <w:t>MedDRA v28.1 Preferred Terms (via FAERS REAC files)</w:t>
            </w:r>
          </w:p>
        </w:tc>
      </w:tr>
      <w:tr>
        <w:tc>
          <w:tcPr>
            <w:tcW w:type="dxa" w:w="4320"/>
          </w:tcPr>
          <w:p>
            <w:r>
              <w:rPr>
                <w:sz w:val="20"/>
              </w:rPr>
              <w:t>Report Generation</w:t>
            </w:r>
          </w:p>
        </w:tc>
        <w:tc>
          <w:tcPr>
            <w:tcW w:type="dxa" w:w="4320"/>
          </w:tcPr>
          <w:p>
            <w:r>
              <w:rPr>
                <w:sz w:val="20"/>
              </w:rPr>
              <w:t>In-dashboard PDF export (one-click)</w:t>
            </w:r>
          </w:p>
        </w:tc>
      </w:tr>
      <w:tr>
        <w:tc>
          <w:tcPr>
            <w:tcW w:type="dxa" w:w="4320"/>
          </w:tcPr>
          <w:p>
            <w:r>
              <w:rPr>
                <w:sz w:val="20"/>
              </w:rPr>
              <w:t>Deployment</w:t>
            </w:r>
          </w:p>
        </w:tc>
        <w:tc>
          <w:tcPr>
            <w:tcW w:type="dxa" w:w="4320"/>
          </w:tcPr>
          <w:p>
            <w:r>
              <w:rPr>
                <w:sz w:val="20"/>
              </w:rPr>
              <w:t>Local development server (Node.js + FastAPI)</w:t>
            </w:r>
          </w:p>
        </w:tc>
      </w:tr>
    </w:tbl>
    <w:p>
      <w:r>
        <w:br w:type="page"/>
      </w:r>
    </w:p>
    <w:p>
      <w:pPr>
        <w:pStyle w:val="Heading1"/>
      </w:pPr>
      <w:r>
        <w:rPr>
          <w:color w:val="1A1A2E"/>
        </w:rPr>
        <w:t>2. Week 1 Report: Data Pipeline &amp; Database Architecture</w:t>
      </w:r>
    </w:p>
    <w:p>
      <w:r>
        <w:rPr>
          <w:b/>
        </w:rPr>
        <w:t xml:space="preserve">Period: </w:t>
      </w:r>
      <w:r>
        <w:t>15 September – 21 September 2026</w:t>
      </w:r>
    </w:p>
    <w:p>
      <w:pPr>
        <w:pStyle w:val="Heading2"/>
      </w:pPr>
      <w:r>
        <w:rPr>
          <w:color w:val="1A1A2E"/>
        </w:rPr>
        <w:t>Tasks Completed</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1A1A2E"/>
          </w:tcPr>
          <w:p>
            <w:r>
              <w:rPr>
                <w:b/>
                <w:color w:val="FFFFFF"/>
                <w:sz w:val="20"/>
              </w:rPr>
              <w:t>#</w:t>
            </w:r>
          </w:p>
        </w:tc>
        <w:tc>
          <w:tcPr>
            <w:tcW w:type="dxa" w:w="2160"/>
            <w:shd w:val="clear" w:color="auto" w:fill="1A1A2E"/>
          </w:tcPr>
          <w:p>
            <w:r>
              <w:rPr>
                <w:b/>
                <w:color w:val="FFFFFF"/>
                <w:sz w:val="20"/>
              </w:rPr>
              <w:t>Task</w:t>
            </w:r>
          </w:p>
        </w:tc>
        <w:tc>
          <w:tcPr>
            <w:tcW w:type="dxa" w:w="2160"/>
            <w:shd w:val="clear" w:color="auto" w:fill="1A1A2E"/>
          </w:tcPr>
          <w:p>
            <w:r>
              <w:rPr>
                <w:b/>
                <w:color w:val="FFFFFF"/>
                <w:sz w:val="20"/>
              </w:rPr>
              <w:t>Status</w:t>
            </w:r>
          </w:p>
        </w:tc>
        <w:tc>
          <w:tcPr>
            <w:tcW w:type="dxa" w:w="2160"/>
            <w:shd w:val="clear" w:color="auto" w:fill="1A1A2E"/>
          </w:tcPr>
          <w:p>
            <w:r>
              <w:rPr>
                <w:b/>
                <w:color w:val="FFFFFF"/>
                <w:sz w:val="20"/>
              </w:rPr>
              <w:t>Details</w:t>
            </w:r>
          </w:p>
        </w:tc>
      </w:tr>
      <w:tr>
        <w:tc>
          <w:tcPr>
            <w:tcW w:type="dxa" w:w="2160"/>
          </w:tcPr>
          <w:p>
            <w:r>
              <w:rPr>
                <w:sz w:val="18"/>
              </w:rPr>
              <w:t>1</w:t>
            </w:r>
          </w:p>
        </w:tc>
        <w:tc>
          <w:tcPr>
            <w:tcW w:type="dxa" w:w="2160"/>
          </w:tcPr>
          <w:p>
            <w:r>
              <w:rPr>
                <w:sz w:val="18"/>
              </w:rPr>
              <w:t>13-Step FAERS Ingestion Pipeline</w:t>
            </w:r>
          </w:p>
        </w:tc>
        <w:tc>
          <w:tcPr>
            <w:tcW w:type="dxa" w:w="2160"/>
          </w:tcPr>
          <w:p>
            <w:r>
              <w:rPr>
                <w:sz w:val="18"/>
              </w:rPr>
              <w:t>✅ Complete</w:t>
            </w:r>
          </w:p>
        </w:tc>
        <w:tc>
          <w:tcPr>
            <w:tcW w:type="dxa" w:w="2160"/>
          </w:tcPr>
          <w:p>
            <w:r>
              <w:rPr>
                <w:sz w:val="18"/>
              </w:rPr>
              <w:t>Automated pipeline: file detection → deduplication → demographic normalisation → age banding (ICH E11) → RxNorm drug name standardisation → human quality gate</w:t>
            </w:r>
          </w:p>
        </w:tc>
      </w:tr>
      <w:tr>
        <w:tc>
          <w:tcPr>
            <w:tcW w:type="dxa" w:w="2160"/>
          </w:tcPr>
          <w:p>
            <w:r>
              <w:rPr>
                <w:sz w:val="18"/>
              </w:rPr>
              <w:t>2</w:t>
            </w:r>
          </w:p>
        </w:tc>
        <w:tc>
          <w:tcPr>
            <w:tcW w:type="dxa" w:w="2160"/>
          </w:tcPr>
          <w:p>
            <w:r>
              <w:rPr>
                <w:sz w:val="18"/>
              </w:rPr>
              <w:t>PostgreSQL Database Setup</w:t>
            </w:r>
          </w:p>
        </w:tc>
        <w:tc>
          <w:tcPr>
            <w:tcW w:type="dxa" w:w="2160"/>
          </w:tcPr>
          <w:p>
            <w:r>
              <w:rPr>
                <w:sz w:val="18"/>
              </w:rPr>
              <w:t>✅ Complete</w:t>
            </w:r>
          </w:p>
        </w:tc>
        <w:tc>
          <w:tcPr>
            <w:tcW w:type="dxa" w:w="2160"/>
          </w:tcPr>
          <w:p>
            <w:r>
              <w:rPr>
                <w:sz w:val="18"/>
              </w:rPr>
              <w:t>faers_pediatric database with 7 normalised tables (demo, drug, reac, outc, rpsr, ther, indi)</w:t>
            </w:r>
          </w:p>
        </w:tc>
      </w:tr>
      <w:tr>
        <w:tc>
          <w:tcPr>
            <w:tcW w:type="dxa" w:w="2160"/>
          </w:tcPr>
          <w:p>
            <w:r>
              <w:rPr>
                <w:sz w:val="18"/>
              </w:rPr>
              <w:t>3</w:t>
            </w:r>
          </w:p>
        </w:tc>
        <w:tc>
          <w:tcPr>
            <w:tcW w:type="dxa" w:w="2160"/>
          </w:tcPr>
          <w:p>
            <w:r>
              <w:rPr>
                <w:sz w:val="18"/>
              </w:rPr>
              <w:t>20-Quarter Data Load</w:t>
            </w:r>
          </w:p>
        </w:tc>
        <w:tc>
          <w:tcPr>
            <w:tcW w:type="dxa" w:w="2160"/>
          </w:tcPr>
          <w:p>
            <w:r>
              <w:rPr>
                <w:sz w:val="18"/>
              </w:rPr>
              <w:t>✅ Complete</w:t>
            </w:r>
          </w:p>
        </w:tc>
        <w:tc>
          <w:tcPr>
            <w:tcW w:type="dxa" w:w="2160"/>
          </w:tcPr>
          <w:p>
            <w:r>
              <w:rPr>
                <w:sz w:val="18"/>
              </w:rPr>
              <w:t>Q1/2021 through Q4/2025 loaded = 3,420,201 patient records</w:t>
            </w:r>
          </w:p>
        </w:tc>
      </w:tr>
      <w:tr>
        <w:tc>
          <w:tcPr>
            <w:tcW w:type="dxa" w:w="2160"/>
          </w:tcPr>
          <w:p>
            <w:r>
              <w:rPr>
                <w:sz w:val="18"/>
              </w:rPr>
              <w:t>4</w:t>
            </w:r>
          </w:p>
        </w:tc>
        <w:tc>
          <w:tcPr>
            <w:tcW w:type="dxa" w:w="2160"/>
          </w:tcPr>
          <w:p>
            <w:r>
              <w:rPr>
                <w:sz w:val="18"/>
              </w:rPr>
              <w:t>ICH E11(R1) Age Banding</w:t>
            </w:r>
          </w:p>
        </w:tc>
        <w:tc>
          <w:tcPr>
            <w:tcW w:type="dxa" w:w="2160"/>
          </w:tcPr>
          <w:p>
            <w:r>
              <w:rPr>
                <w:sz w:val="18"/>
              </w:rPr>
              <w:t>✅ Complete</w:t>
            </w:r>
          </w:p>
        </w:tc>
        <w:tc>
          <w:tcPr>
            <w:tcW w:type="dxa" w:w="2160"/>
          </w:tcPr>
          <w:p>
            <w:r>
              <w:rPr>
                <w:sz w:val="18"/>
              </w:rPr>
              <w:t>5 bands: Neonate (&lt;28d), Infant (&lt;2y), Child (&lt;12y), Adolescent (&lt;18y), Unknown</w:t>
            </w:r>
          </w:p>
        </w:tc>
      </w:tr>
      <w:tr>
        <w:tc>
          <w:tcPr>
            <w:tcW w:type="dxa" w:w="2160"/>
          </w:tcPr>
          <w:p>
            <w:r>
              <w:rPr>
                <w:sz w:val="18"/>
              </w:rPr>
              <w:t>5</w:t>
            </w:r>
          </w:p>
        </w:tc>
        <w:tc>
          <w:tcPr>
            <w:tcW w:type="dxa" w:w="2160"/>
          </w:tcPr>
          <w:p>
            <w:r>
              <w:rPr>
                <w:sz w:val="18"/>
              </w:rPr>
              <w:t>RxNorm Drug Normalisation</w:t>
            </w:r>
          </w:p>
        </w:tc>
        <w:tc>
          <w:tcPr>
            <w:tcW w:type="dxa" w:w="2160"/>
          </w:tcPr>
          <w:p>
            <w:r>
              <w:rPr>
                <w:sz w:val="18"/>
              </w:rPr>
              <w:t>✅ Complete</w:t>
            </w:r>
          </w:p>
        </w:tc>
        <w:tc>
          <w:tcPr>
            <w:tcW w:type="dxa" w:w="2160"/>
          </w:tcPr>
          <w:p>
            <w:r>
              <w:rPr>
                <w:sz w:val="18"/>
              </w:rPr>
              <w:t>~94% drug names resolved via NLM RxNorm API; persistent cache for performance</w:t>
            </w:r>
          </w:p>
        </w:tc>
      </w:tr>
      <w:tr>
        <w:tc>
          <w:tcPr>
            <w:tcW w:type="dxa" w:w="2160"/>
          </w:tcPr>
          <w:p>
            <w:r>
              <w:rPr>
                <w:sz w:val="18"/>
              </w:rPr>
              <w:t>6</w:t>
            </w:r>
          </w:p>
        </w:tc>
        <w:tc>
          <w:tcPr>
            <w:tcW w:type="dxa" w:w="2160"/>
          </w:tcPr>
          <w:p>
            <w:r>
              <w:rPr>
                <w:sz w:val="18"/>
              </w:rPr>
              <w:t>Human Quality Gate (Step 13)</w:t>
            </w:r>
          </w:p>
        </w:tc>
        <w:tc>
          <w:tcPr>
            <w:tcW w:type="dxa" w:w="2160"/>
          </w:tcPr>
          <w:p>
            <w:r>
              <w:rPr>
                <w:sz w:val="18"/>
              </w:rPr>
              <w:t>✅ Complete</w:t>
            </w:r>
          </w:p>
        </w:tc>
        <w:tc>
          <w:tcPr>
            <w:tcW w:type="dxa" w:w="2160"/>
          </w:tcPr>
          <w:p>
            <w:r>
              <w:rPr>
                <w:sz w:val="18"/>
              </w:rPr>
              <w:t>Mandatory preview/approve before any DB write — ensures auditability</w:t>
            </w:r>
          </w:p>
        </w:tc>
      </w:tr>
      <w:tr>
        <w:tc>
          <w:tcPr>
            <w:tcW w:type="dxa" w:w="2160"/>
          </w:tcPr>
          <w:p>
            <w:r>
              <w:rPr>
                <w:sz w:val="18"/>
              </w:rPr>
              <w:t>7</w:t>
            </w:r>
          </w:p>
        </w:tc>
        <w:tc>
          <w:tcPr>
            <w:tcW w:type="dxa" w:w="2160"/>
          </w:tcPr>
          <w:p>
            <w:r>
              <w:rPr>
                <w:sz w:val="18"/>
              </w:rPr>
              <w:t>Upload Hub UI Module</w:t>
            </w:r>
          </w:p>
        </w:tc>
        <w:tc>
          <w:tcPr>
            <w:tcW w:type="dxa" w:w="2160"/>
          </w:tcPr>
          <w:p>
            <w:r>
              <w:rPr>
                <w:sz w:val="18"/>
              </w:rPr>
              <w:t>✅ Complete</w:t>
            </w:r>
          </w:p>
        </w:tc>
        <w:tc>
          <w:tcPr>
            <w:tcW w:type="dxa" w:w="2160"/>
          </w:tcPr>
          <w:p>
            <w:r>
              <w:rPr>
                <w:sz w:val="18"/>
              </w:rPr>
              <w:t>Drag-and-drop 7-file upload with live progress, load ledger showing all 20 quarters</w:t>
            </w:r>
          </w:p>
        </w:tc>
      </w:tr>
    </w:tbl>
    <w:p/>
    <w:p>
      <w:pPr>
        <w:pStyle w:val="Heading2"/>
      </w:pPr>
      <w:r>
        <w:rPr>
          <w:color w:val="1A1A2E"/>
        </w:rPr>
        <w:t>Key Metrics — Week 1</w:t>
      </w:r>
    </w:p>
    <w:p>
      <w:pPr>
        <w:pStyle w:val="ListBullet"/>
      </w:pPr>
      <w:r>
        <w:rPr>
          <w:b/>
          <w:sz w:val="22"/>
        </w:rPr>
        <w:t xml:space="preserve">Records: </w:t>
      </w:r>
      <w:r>
        <w:rPr>
          <w:sz w:val="22"/>
        </w:rPr>
        <w:t>3,420,201 patient records loaded across 20 quarters</w:t>
      </w:r>
    </w:p>
    <w:p>
      <w:pPr>
        <w:pStyle w:val="ListBullet"/>
      </w:pPr>
      <w:r>
        <w:rPr>
          <w:b/>
          <w:sz w:val="22"/>
        </w:rPr>
        <w:t xml:space="preserve">Drugs: </w:t>
      </w:r>
      <w:r>
        <w:rPr>
          <w:sz w:val="22"/>
        </w:rPr>
        <w:t>1,902 unique suspect drugs (RxNorm-normalised)</w:t>
      </w:r>
    </w:p>
    <w:p>
      <w:pPr>
        <w:pStyle w:val="ListBullet"/>
      </w:pPr>
      <w:r>
        <w:rPr>
          <w:b/>
          <w:sz w:val="22"/>
        </w:rPr>
        <w:t xml:space="preserve">ADRs: </w:t>
      </w:r>
      <w:r>
        <w:rPr>
          <w:sz w:val="22"/>
        </w:rPr>
        <w:t>4,416 unique ADR preferred terms (MedDRA v28.1)</w:t>
      </w:r>
    </w:p>
    <w:p>
      <w:pPr>
        <w:pStyle w:val="ListBullet"/>
      </w:pPr>
      <w:r>
        <w:rPr>
          <w:b/>
          <w:sz w:val="22"/>
        </w:rPr>
        <w:t xml:space="preserve">Age Distribution: </w:t>
      </w:r>
      <w:r>
        <w:rPr>
          <w:sz w:val="22"/>
        </w:rPr>
        <w:t>Neonate: 23,704 | Infant: 29,963 | Child: 149,389 | Adolescent: 403,278 | Unknown: 2,813,867</w:t>
      </w:r>
    </w:p>
    <w:p/>
    <w:p>
      <w:pPr>
        <w:pStyle w:val="Heading2"/>
      </w:pPr>
      <w:r>
        <w:rPr>
          <w:color w:val="1A1A2E"/>
        </w:rPr>
        <w:t>Screenshot: Upload Hub (13-Step Pipeline)</w:t>
      </w:r>
    </w:p>
    <w:p>
      <w:r>
        <w:drawing>
          <wp:inline xmlns:a="http://schemas.openxmlformats.org/drawingml/2006/main" xmlns:pic="http://schemas.openxmlformats.org/drawingml/2006/picture">
            <wp:extent cx="5029200" cy="258674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029200" cy="2586746"/>
                    </a:xfrm>
                    <a:prstGeom prst="rect"/>
                  </pic:spPr>
                </pic:pic>
              </a:graphicData>
            </a:graphic>
          </wp:inline>
        </w:drawing>
      </w:r>
    </w:p>
    <w:p>
      <w:pPr>
        <w:jc w:val="center"/>
      </w:pPr>
      <w:r>
        <w:rPr>
          <w:i/>
          <w:sz w:val="18"/>
        </w:rPr>
        <w:t>Figure 1: PulseTech Upload Hub showing the 13-step data ingestion pipeline with 20-quarter load ledger.</w:t>
      </w:r>
    </w:p>
    <w:p>
      <w:r>
        <w:br w:type="page"/>
      </w:r>
    </w:p>
    <w:p>
      <w:pPr>
        <w:pStyle w:val="Heading1"/>
      </w:pPr>
      <w:r>
        <w:rPr>
          <w:color w:val="1A1A2E"/>
        </w:rPr>
        <w:t>3. Week 2 Report: Signal Detection Engine &amp; GNN Implementation</w:t>
      </w:r>
    </w:p>
    <w:p>
      <w:r>
        <w:rPr>
          <w:b/>
        </w:rPr>
        <w:t xml:space="preserve">Period: </w:t>
      </w:r>
      <w:r>
        <w:t>22 September – 28 September 2026</w:t>
      </w:r>
    </w:p>
    <w:p>
      <w:pPr>
        <w:pStyle w:val="Heading2"/>
      </w:pPr>
      <w:r>
        <w:rPr>
          <w:color w:val="1A1A2E"/>
        </w:rPr>
        <w:t>Tasks Completed</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1A1A2E"/>
          </w:tcPr>
          <w:p>
            <w:r>
              <w:rPr>
                <w:b/>
                <w:color w:val="FFFFFF"/>
                <w:sz w:val="20"/>
              </w:rPr>
              <w:t>#</w:t>
            </w:r>
          </w:p>
        </w:tc>
        <w:tc>
          <w:tcPr>
            <w:tcW w:type="dxa" w:w="2160"/>
            <w:shd w:val="clear" w:color="auto" w:fill="1A1A2E"/>
          </w:tcPr>
          <w:p>
            <w:r>
              <w:rPr>
                <w:b/>
                <w:color w:val="FFFFFF"/>
                <w:sz w:val="20"/>
              </w:rPr>
              <w:t>Task</w:t>
            </w:r>
          </w:p>
        </w:tc>
        <w:tc>
          <w:tcPr>
            <w:tcW w:type="dxa" w:w="2160"/>
            <w:shd w:val="clear" w:color="auto" w:fill="1A1A2E"/>
          </w:tcPr>
          <w:p>
            <w:r>
              <w:rPr>
                <w:b/>
                <w:color w:val="FFFFFF"/>
                <w:sz w:val="20"/>
              </w:rPr>
              <w:t>Status</w:t>
            </w:r>
          </w:p>
        </w:tc>
        <w:tc>
          <w:tcPr>
            <w:tcW w:type="dxa" w:w="2160"/>
            <w:shd w:val="clear" w:color="auto" w:fill="1A1A2E"/>
          </w:tcPr>
          <w:p>
            <w:r>
              <w:rPr>
                <w:b/>
                <w:color w:val="FFFFFF"/>
                <w:sz w:val="20"/>
              </w:rPr>
              <w:t>Details</w:t>
            </w:r>
          </w:p>
        </w:tc>
      </w:tr>
      <w:tr>
        <w:tc>
          <w:tcPr>
            <w:tcW w:type="dxa" w:w="2160"/>
          </w:tcPr>
          <w:p>
            <w:r>
              <w:rPr>
                <w:sz w:val="18"/>
              </w:rPr>
              <w:t>1</w:t>
            </w:r>
          </w:p>
        </w:tc>
        <w:tc>
          <w:tcPr>
            <w:tcW w:type="dxa" w:w="2160"/>
          </w:tcPr>
          <w:p>
            <w:r>
              <w:rPr>
                <w:sz w:val="18"/>
              </w:rPr>
              <w:t>Disproportionality Analysis Engine</w:t>
            </w:r>
          </w:p>
        </w:tc>
        <w:tc>
          <w:tcPr>
            <w:tcW w:type="dxa" w:w="2160"/>
          </w:tcPr>
          <w:p>
            <w:r>
              <w:rPr>
                <w:sz w:val="18"/>
              </w:rPr>
              <w:t>✅ Complete</w:t>
            </w:r>
          </w:p>
        </w:tc>
        <w:tc>
          <w:tcPr>
            <w:tcW w:type="dxa" w:w="2160"/>
          </w:tcPr>
          <w:p>
            <w:r>
              <w:rPr>
                <w:sz w:val="18"/>
              </w:rPr>
              <w:t>Four gold-standard metrics: PRR (Proportional Reporting Ratio), ROR (Reporting Odds Ratio), IC (Information Component / BCPNN), EBGM (Empirical Bayes Geometric Mean)</w:t>
            </w:r>
          </w:p>
        </w:tc>
      </w:tr>
      <w:tr>
        <w:tc>
          <w:tcPr>
            <w:tcW w:type="dxa" w:w="2160"/>
          </w:tcPr>
          <w:p>
            <w:r>
              <w:rPr>
                <w:sz w:val="18"/>
              </w:rPr>
              <w:t>2</w:t>
            </w:r>
          </w:p>
        </w:tc>
        <w:tc>
          <w:tcPr>
            <w:tcW w:type="dxa" w:w="2160"/>
          </w:tcPr>
          <w:p>
            <w:r>
              <w:rPr>
                <w:sz w:val="18"/>
              </w:rPr>
              <w:t>Signal Detection Module UI</w:t>
            </w:r>
          </w:p>
        </w:tc>
        <w:tc>
          <w:tcPr>
            <w:tcW w:type="dxa" w:w="2160"/>
          </w:tcPr>
          <w:p>
            <w:r>
              <w:rPr>
                <w:sz w:val="18"/>
              </w:rPr>
              <w:t>✅ Complete</w:t>
            </w:r>
          </w:p>
        </w:tc>
        <w:tc>
          <w:tcPr>
            <w:tcW w:type="dxa" w:w="2160"/>
          </w:tcPr>
          <w:p>
            <w:r>
              <w:rPr>
                <w:sz w:val="18"/>
              </w:rPr>
              <w:t>In-dashboard signal table with automatic Signal/No-Signal flagging, sortable by all 4 metrics</w:t>
            </w:r>
          </w:p>
        </w:tc>
      </w:tr>
      <w:tr>
        <w:tc>
          <w:tcPr>
            <w:tcW w:type="dxa" w:w="2160"/>
          </w:tcPr>
          <w:p>
            <w:r>
              <w:rPr>
                <w:sz w:val="18"/>
              </w:rPr>
              <w:t>3</w:t>
            </w:r>
          </w:p>
        </w:tc>
        <w:tc>
          <w:tcPr>
            <w:tcW w:type="dxa" w:w="2160"/>
          </w:tcPr>
          <w:p>
            <w:r>
              <w:rPr>
                <w:sz w:val="18"/>
              </w:rPr>
              <w:t>HANConv GNN Model Architecture</w:t>
            </w:r>
          </w:p>
        </w:tc>
        <w:tc>
          <w:tcPr>
            <w:tcW w:type="dxa" w:w="2160"/>
          </w:tcPr>
          <w:p>
            <w:r>
              <w:rPr>
                <w:sz w:val="18"/>
              </w:rPr>
              <w:t>✅ Complete</w:t>
            </w:r>
          </w:p>
        </w:tc>
        <w:tc>
          <w:tcPr>
            <w:tcW w:type="dxa" w:w="2160"/>
          </w:tcPr>
          <w:p>
            <w:r>
              <w:rPr>
                <w:sz w:val="18"/>
              </w:rPr>
              <w:t>PediatricADRHAN: 2-layer HANConv, 64-dim hidden, 4-head attention, ReLU activation, Adam optimiser, 200 epochs</w:t>
            </w:r>
          </w:p>
        </w:tc>
      </w:tr>
      <w:tr>
        <w:tc>
          <w:tcPr>
            <w:tcW w:type="dxa" w:w="2160"/>
          </w:tcPr>
          <w:p>
            <w:r>
              <w:rPr>
                <w:sz w:val="18"/>
              </w:rPr>
              <w:t>4</w:t>
            </w:r>
          </w:p>
        </w:tc>
        <w:tc>
          <w:tcPr>
            <w:tcW w:type="dxa" w:w="2160"/>
          </w:tcPr>
          <w:p>
            <w:r>
              <w:rPr>
                <w:sz w:val="18"/>
              </w:rPr>
              <w:t>Heterogeneous Graph Construction</w:t>
            </w:r>
          </w:p>
        </w:tc>
        <w:tc>
          <w:tcPr>
            <w:tcW w:type="dxa" w:w="2160"/>
          </w:tcPr>
          <w:p>
            <w:r>
              <w:rPr>
                <w:sz w:val="18"/>
              </w:rPr>
              <w:t>✅ Complete</w:t>
            </w:r>
          </w:p>
        </w:tc>
        <w:tc>
          <w:tcPr>
            <w:tcW w:type="dxa" w:w="2160"/>
          </w:tcPr>
          <w:p>
            <w:r>
              <w:rPr>
                <w:sz w:val="18"/>
              </w:rPr>
              <w:t>CHILD-band graph: 79 drug nodes, 259 ADR nodes, 500 edges — 419 edges (83.8%) are confirmed statistical signals</w:t>
            </w:r>
          </w:p>
        </w:tc>
      </w:tr>
      <w:tr>
        <w:tc>
          <w:tcPr>
            <w:tcW w:type="dxa" w:w="2160"/>
          </w:tcPr>
          <w:p>
            <w:r>
              <w:rPr>
                <w:sz w:val="18"/>
              </w:rPr>
              <w:t>5</w:t>
            </w:r>
          </w:p>
        </w:tc>
        <w:tc>
          <w:tcPr>
            <w:tcW w:type="dxa" w:w="2160"/>
          </w:tcPr>
          <w:p>
            <w:r>
              <w:rPr>
                <w:sz w:val="18"/>
              </w:rPr>
              <w:t>GNN Network View Module</w:t>
            </w:r>
          </w:p>
        </w:tc>
        <w:tc>
          <w:tcPr>
            <w:tcW w:type="dxa" w:w="2160"/>
          </w:tcPr>
          <w:p>
            <w:r>
              <w:rPr>
                <w:sz w:val="18"/>
              </w:rPr>
              <w:t>✅ Complete</w:t>
            </w:r>
          </w:p>
        </w:tc>
        <w:tc>
          <w:tcPr>
            <w:tcW w:type="dxa" w:w="2160"/>
          </w:tcPr>
          <w:p>
            <w:r>
              <w:rPr>
                <w:sz w:val="18"/>
              </w:rPr>
              <w:t>Interactive force-directed graph with Drug/ADR node types, Classical/GNN Predicted/Both toggle, hover tooltips with role breakdown</w:t>
            </w:r>
          </w:p>
        </w:tc>
      </w:tr>
      <w:tr>
        <w:tc>
          <w:tcPr>
            <w:tcW w:type="dxa" w:w="2160"/>
          </w:tcPr>
          <w:p>
            <w:r>
              <w:rPr>
                <w:sz w:val="18"/>
              </w:rPr>
              <w:t>6</w:t>
            </w:r>
          </w:p>
        </w:tc>
        <w:tc>
          <w:tcPr>
            <w:tcW w:type="dxa" w:w="2160"/>
          </w:tcPr>
          <w:p>
            <w:r>
              <w:rPr>
                <w:sz w:val="18"/>
              </w:rPr>
              <w:t>GNN Link Prediction</w:t>
            </w:r>
          </w:p>
        </w:tc>
        <w:tc>
          <w:tcPr>
            <w:tcW w:type="dxa" w:w="2160"/>
          </w:tcPr>
          <w:p>
            <w:r>
              <w:rPr>
                <w:sz w:val="18"/>
              </w:rPr>
              <w:t>✅ Complete</w:t>
            </w:r>
          </w:p>
        </w:tc>
        <w:tc>
          <w:tcPr>
            <w:tcW w:type="dxa" w:w="2160"/>
          </w:tcPr>
          <w:p>
            <w:r>
              <w:rPr>
                <w:sz w:val="18"/>
              </w:rPr>
              <w:t>Novel drug–ADR associations predicted: e.g., Dupixent→Acute Pulmonary Oedema (score 0.87), idursulfase→Abdominal Neoplasm (score 0.82)</w:t>
            </w:r>
          </w:p>
        </w:tc>
      </w:tr>
      <w:tr>
        <w:tc>
          <w:tcPr>
            <w:tcW w:type="dxa" w:w="2160"/>
          </w:tcPr>
          <w:p>
            <w:r>
              <w:rPr>
                <w:sz w:val="18"/>
              </w:rPr>
              <w:t>7</w:t>
            </w:r>
          </w:p>
        </w:tc>
        <w:tc>
          <w:tcPr>
            <w:tcW w:type="dxa" w:w="2160"/>
          </w:tcPr>
          <w:p>
            <w:r>
              <w:rPr>
                <w:sz w:val="18"/>
              </w:rPr>
              <w:t>Demographics Module</w:t>
            </w:r>
          </w:p>
        </w:tc>
        <w:tc>
          <w:tcPr>
            <w:tcW w:type="dxa" w:w="2160"/>
          </w:tcPr>
          <w:p>
            <w:r>
              <w:rPr>
                <w:sz w:val="18"/>
              </w:rPr>
              <w:t>✅ Complete</w:t>
            </w:r>
          </w:p>
        </w:tc>
        <w:tc>
          <w:tcPr>
            <w:tcW w:type="dxa" w:w="2160"/>
          </w:tcPr>
          <w:p>
            <w:r>
              <w:rPr>
                <w:sz w:val="18"/>
              </w:rPr>
              <w:t>Age–sex distribution pyramid, sex donut chart, ICH E11 age band breakdown</w:t>
            </w:r>
          </w:p>
        </w:tc>
      </w:tr>
      <w:tr>
        <w:tc>
          <w:tcPr>
            <w:tcW w:type="dxa" w:w="2160"/>
          </w:tcPr>
          <w:p>
            <w:r>
              <w:rPr>
                <w:sz w:val="18"/>
              </w:rPr>
              <w:t>8</w:t>
            </w:r>
          </w:p>
        </w:tc>
        <w:tc>
          <w:tcPr>
            <w:tcW w:type="dxa" w:w="2160"/>
          </w:tcPr>
          <w:p>
            <w:r>
              <w:rPr>
                <w:sz w:val="18"/>
              </w:rPr>
              <w:t>ADR Analysis Module</w:t>
            </w:r>
          </w:p>
        </w:tc>
        <w:tc>
          <w:tcPr>
            <w:tcW w:type="dxa" w:w="2160"/>
          </w:tcPr>
          <w:p>
            <w:r>
              <w:rPr>
                <w:sz w:val="18"/>
              </w:rPr>
              <w:t>✅ Complete</w:t>
            </w:r>
          </w:p>
        </w:tc>
        <w:tc>
          <w:tcPr>
            <w:tcW w:type="dxa" w:w="2160"/>
          </w:tcPr>
          <w:p>
            <w:r>
              <w:rPr>
                <w:sz w:val="18"/>
              </w:rPr>
              <w:t>Top-20 ADRs bar chart, ADR×Age Group heatmap, drug–ADR co-occurrence table</w:t>
            </w:r>
          </w:p>
        </w:tc>
      </w:tr>
    </w:tbl>
    <w:p/>
    <w:p>
      <w:pPr>
        <w:pStyle w:val="Heading2"/>
      </w:pPr>
      <w:r>
        <w:rPr>
          <w:color w:val="1A1A2E"/>
        </w:rPr>
        <w:t>Key Metrics — Week 2</w:t>
      </w:r>
    </w:p>
    <w:p>
      <w:pPr>
        <w:pStyle w:val="ListBullet"/>
      </w:pPr>
      <w:r>
        <w:rPr>
          <w:b/>
          <w:sz w:val="22"/>
        </w:rPr>
        <w:t xml:space="preserve">Total Signals: </w:t>
      </w:r>
      <w:r>
        <w:rPr>
          <w:sz w:val="22"/>
        </w:rPr>
        <w:t>82,650 confirmed disproportionality signals detected across all age bands</w:t>
      </w:r>
    </w:p>
    <w:p>
      <w:pPr>
        <w:pStyle w:val="ListBullet"/>
      </w:pPr>
      <w:r>
        <w:rPr>
          <w:b/>
          <w:sz w:val="22"/>
        </w:rPr>
        <w:t xml:space="preserve">GNN Graph: </w:t>
      </w:r>
      <w:r>
        <w:rPr>
          <w:sz w:val="22"/>
        </w:rPr>
        <w:t>79 drug nodes, 259 ADR nodes, 500 edges (CHILD band)</w:t>
      </w:r>
    </w:p>
    <w:p>
      <w:pPr>
        <w:pStyle w:val="ListBullet"/>
      </w:pPr>
      <w:r>
        <w:rPr>
          <w:b/>
          <w:sz w:val="22"/>
        </w:rPr>
        <w:t xml:space="preserve">Signal Density: </w:t>
      </w:r>
      <w:r>
        <w:rPr>
          <w:sz w:val="22"/>
        </w:rPr>
        <w:t>419/500 edges (83.8%) confirmed as statistical signals</w:t>
      </w:r>
    </w:p>
    <w:p>
      <w:pPr>
        <w:pStyle w:val="ListBullet"/>
      </w:pPr>
      <w:r>
        <w:rPr>
          <w:b/>
          <w:sz w:val="22"/>
        </w:rPr>
        <w:t xml:space="preserve">Novel Predictions: </w:t>
      </w:r>
      <w:r>
        <w:rPr>
          <w:sz w:val="22"/>
        </w:rPr>
        <w:t>Dupixent &amp; idursulfase share 401 ADR neighbours — model predicts novel links</w:t>
      </w:r>
    </w:p>
    <w:p>
      <w:pPr>
        <w:pStyle w:val="ListBullet"/>
      </w:pPr>
      <w:r>
        <w:rPr>
          <w:b/>
          <w:sz w:val="22"/>
        </w:rPr>
        <w:t xml:space="preserve">Model Architecture: </w:t>
      </w:r>
      <w:r>
        <w:rPr>
          <w:sz w:val="22"/>
        </w:rPr>
        <w:t>2-layer HANConv, 64-dim hidden, 4-head attention, 200 epochs</w:t>
      </w:r>
    </w:p>
    <w:p/>
    <w:p>
      <w:pPr>
        <w:pStyle w:val="Heading2"/>
      </w:pPr>
      <w:r>
        <w:rPr>
          <w:color w:val="1A1A2E"/>
        </w:rPr>
        <w:t>Screenshot: Signal Detection Module</w:t>
      </w:r>
    </w:p>
    <w:p>
      <w:r>
        <w:drawing>
          <wp:inline xmlns:a="http://schemas.openxmlformats.org/drawingml/2006/main" xmlns:pic="http://schemas.openxmlformats.org/drawingml/2006/picture">
            <wp:extent cx="5029200" cy="2586746"/>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029200" cy="2586746"/>
                    </a:xfrm>
                    <a:prstGeom prst="rect"/>
                  </pic:spPr>
                </pic:pic>
              </a:graphicData>
            </a:graphic>
          </wp:inline>
        </w:drawing>
      </w:r>
    </w:p>
    <w:p>
      <w:pPr>
        <w:jc w:val="center"/>
      </w:pPr>
      <w:r>
        <w:rPr>
          <w:i/>
          <w:sz w:val="18"/>
        </w:rPr>
        <w:t>Figure 2: Signal Detection module showing PRR/ROR/IC/EBGM disproportionality analysis with automatic signal flagging.</w:t>
      </w:r>
    </w:p>
    <w:p/>
    <w:p>
      <w:pPr>
        <w:pStyle w:val="Heading2"/>
      </w:pPr>
      <w:r>
        <w:rPr>
          <w:color w:val="1A1A2E"/>
        </w:rPr>
        <w:t>Screenshot: GNN Network View (Heterogeneous Graph)</w:t>
      </w:r>
    </w:p>
    <w:p>
      <w:r>
        <w:drawing>
          <wp:inline xmlns:a="http://schemas.openxmlformats.org/drawingml/2006/main" xmlns:pic="http://schemas.openxmlformats.org/drawingml/2006/picture">
            <wp:extent cx="5029200" cy="2576252"/>
            <wp:docPr id="3" name="Picture 3"/>
            <wp:cNvGraphicFramePr>
              <a:graphicFrameLocks noChangeAspect="1"/>
            </wp:cNvGraphicFramePr>
            <a:graphic>
              <a:graphicData uri="http://schemas.openxmlformats.org/drawingml/2006/picture">
                <pic:pic>
                  <pic:nvPicPr>
                    <pic:cNvPr id="0" name="Fig5.png"/>
                    <pic:cNvPicPr/>
                  </pic:nvPicPr>
                  <pic:blipFill>
                    <a:blip r:embed="rId11"/>
                    <a:stretch>
                      <a:fillRect/>
                    </a:stretch>
                  </pic:blipFill>
                  <pic:spPr>
                    <a:xfrm>
                      <a:off x="0" y="0"/>
                      <a:ext cx="5029200" cy="2576252"/>
                    </a:xfrm>
                    <a:prstGeom prst="rect"/>
                  </pic:spPr>
                </pic:pic>
              </a:graphicData>
            </a:graphic>
          </wp:inline>
        </w:drawing>
      </w:r>
    </w:p>
    <w:p>
      <w:pPr>
        <w:jc w:val="center"/>
      </w:pPr>
      <w:r>
        <w:rPr>
          <w:i/>
          <w:sz w:val="18"/>
        </w:rPr>
        <w:t>Figure 3: Interactive GNN Network View showing the heterogeneous bipartite graph between drug nodes (circles) and ADR nodes (diamonds). Red edges = confirmed signals, green = GNN predicted.</w:t>
      </w:r>
    </w:p>
    <w:p/>
    <w:p>
      <w:pPr>
        <w:pStyle w:val="Heading2"/>
      </w:pPr>
      <w:r>
        <w:rPr>
          <w:color w:val="1A1A2E"/>
        </w:rPr>
        <w:t>Screenshot: GNN Node Detail (Genotropin)</w:t>
      </w:r>
    </w:p>
    <w:p>
      <w:r>
        <w:drawing>
          <wp:inline xmlns:a="http://schemas.openxmlformats.org/drawingml/2006/main" xmlns:pic="http://schemas.openxmlformats.org/drawingml/2006/picture">
            <wp:extent cx="5029200" cy="2261435"/>
            <wp:docPr id="4" name="Picture 4"/>
            <wp:cNvGraphicFramePr>
              <a:graphicFrameLocks noChangeAspect="1"/>
            </wp:cNvGraphicFramePr>
            <a:graphic>
              <a:graphicData uri="http://schemas.openxmlformats.org/drawingml/2006/picture">
                <pic:pic>
                  <pic:nvPicPr>
                    <pic:cNvPr id="0" name="Fig8.png"/>
                    <pic:cNvPicPr/>
                  </pic:nvPicPr>
                  <pic:blipFill>
                    <a:blip r:embed="rId12"/>
                    <a:stretch>
                      <a:fillRect/>
                    </a:stretch>
                  </pic:blipFill>
                  <pic:spPr>
                    <a:xfrm>
                      <a:off x="0" y="0"/>
                      <a:ext cx="5029200" cy="2261435"/>
                    </a:xfrm>
                    <a:prstGeom prst="rect"/>
                  </pic:spPr>
                </pic:pic>
              </a:graphicData>
            </a:graphic>
          </wp:inline>
        </w:drawing>
      </w:r>
    </w:p>
    <w:p>
      <w:pPr>
        <w:jc w:val="center"/>
      </w:pPr>
      <w:r>
        <w:rPr>
          <w:i/>
          <w:sz w:val="18"/>
        </w:rPr>
        <w:t>Figure 4: Detail view of GNN graph with drug-node tooltip showing Genotropin (3,461 reports, 37 connections, 28 signals). Role breakdown: PS=11,303, SS=3,828.</w:t>
      </w:r>
    </w:p>
    <w:p>
      <w:r>
        <w:br w:type="page"/>
      </w:r>
    </w:p>
    <w:p>
      <w:pPr>
        <w:pStyle w:val="Heading1"/>
      </w:pPr>
      <w:r>
        <w:rPr>
          <w:color w:val="1A1A2E"/>
        </w:rPr>
        <w:t>4. Week 3 Report: Dashboard Integration &amp; PLOS ONE Submission Package</w:t>
      </w:r>
    </w:p>
    <w:p>
      <w:r>
        <w:rPr>
          <w:b/>
        </w:rPr>
        <w:t xml:space="preserve">Period: </w:t>
      </w:r>
      <w:r>
        <w:t>29 September – 05 October 2026</w:t>
      </w:r>
    </w:p>
    <w:p>
      <w:pPr>
        <w:pStyle w:val="Heading2"/>
      </w:pPr>
      <w:r>
        <w:rPr>
          <w:color w:val="1A1A2E"/>
        </w:rPr>
        <w:t>Tasks Completed</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1A1A2E"/>
          </w:tcPr>
          <w:p>
            <w:r>
              <w:rPr>
                <w:b/>
                <w:color w:val="FFFFFF"/>
                <w:sz w:val="20"/>
              </w:rPr>
              <w:t>#</w:t>
            </w:r>
          </w:p>
        </w:tc>
        <w:tc>
          <w:tcPr>
            <w:tcW w:type="dxa" w:w="2160"/>
            <w:shd w:val="clear" w:color="auto" w:fill="1A1A2E"/>
          </w:tcPr>
          <w:p>
            <w:r>
              <w:rPr>
                <w:b/>
                <w:color w:val="FFFFFF"/>
                <w:sz w:val="20"/>
              </w:rPr>
              <w:t>Task</w:t>
            </w:r>
          </w:p>
        </w:tc>
        <w:tc>
          <w:tcPr>
            <w:tcW w:type="dxa" w:w="2160"/>
            <w:shd w:val="clear" w:color="auto" w:fill="1A1A2E"/>
          </w:tcPr>
          <w:p>
            <w:r>
              <w:rPr>
                <w:b/>
                <w:color w:val="FFFFFF"/>
                <w:sz w:val="20"/>
              </w:rPr>
              <w:t>Status</w:t>
            </w:r>
          </w:p>
        </w:tc>
        <w:tc>
          <w:tcPr>
            <w:tcW w:type="dxa" w:w="2160"/>
            <w:shd w:val="clear" w:color="auto" w:fill="1A1A2E"/>
          </w:tcPr>
          <w:p>
            <w:r>
              <w:rPr>
                <w:b/>
                <w:color w:val="FFFFFF"/>
                <w:sz w:val="20"/>
              </w:rPr>
              <w:t>Details</w:t>
            </w:r>
          </w:p>
        </w:tc>
      </w:tr>
      <w:tr>
        <w:tc>
          <w:tcPr>
            <w:tcW w:type="dxa" w:w="2160"/>
          </w:tcPr>
          <w:p>
            <w:r>
              <w:rPr>
                <w:sz w:val="18"/>
              </w:rPr>
              <w:t>1</w:t>
            </w:r>
          </w:p>
        </w:tc>
        <w:tc>
          <w:tcPr>
            <w:tcW w:type="dxa" w:w="2160"/>
          </w:tcPr>
          <w:p>
            <w:r>
              <w:rPr>
                <w:sz w:val="18"/>
              </w:rPr>
              <w:t>Outcomes &amp; Severity Module</w:t>
            </w:r>
          </w:p>
        </w:tc>
        <w:tc>
          <w:tcPr>
            <w:tcW w:type="dxa" w:w="2160"/>
          </w:tcPr>
          <w:p>
            <w:r>
              <w:rPr>
                <w:sz w:val="18"/>
              </w:rPr>
              <w:t>✅ Complete</w:t>
            </w:r>
          </w:p>
        </w:tc>
        <w:tc>
          <w:tcPr>
            <w:tcW w:type="dxa" w:w="2160"/>
          </w:tcPr>
          <w:p>
            <w:r>
              <w:rPr>
                <w:sz w:val="18"/>
              </w:rPr>
              <w:t>Seven-category outcome distribution (Death, Hospitalisation, Disability, Life-Threatening, etc.) with stacked severity chart</w:t>
            </w:r>
          </w:p>
        </w:tc>
      </w:tr>
      <w:tr>
        <w:tc>
          <w:tcPr>
            <w:tcW w:type="dxa" w:w="2160"/>
          </w:tcPr>
          <w:p>
            <w:r>
              <w:rPr>
                <w:sz w:val="18"/>
              </w:rPr>
              <w:t>2</w:t>
            </w:r>
          </w:p>
        </w:tc>
        <w:tc>
          <w:tcPr>
            <w:tcW w:type="dxa" w:w="2160"/>
          </w:tcPr>
          <w:p>
            <w:r>
              <w:rPr>
                <w:sz w:val="18"/>
              </w:rPr>
              <w:t>Report Builder Module</w:t>
            </w:r>
          </w:p>
        </w:tc>
        <w:tc>
          <w:tcPr>
            <w:tcW w:type="dxa" w:w="2160"/>
          </w:tcPr>
          <w:p>
            <w:r>
              <w:rPr>
                <w:sz w:val="18"/>
              </w:rPr>
              <w:t>✅ Complete</w:t>
            </w:r>
          </w:p>
        </w:tc>
        <w:tc>
          <w:tcPr>
            <w:tcW w:type="dxa" w:w="2160"/>
          </w:tcPr>
          <w:p>
            <w:r>
              <w:rPr>
                <w:sz w:val="18"/>
              </w:rPr>
              <w:t>Section-selectable one-click PDF export with live preview — generates regulatory-grade reports in &lt;60 seconds</w:t>
            </w:r>
          </w:p>
        </w:tc>
      </w:tr>
      <w:tr>
        <w:tc>
          <w:tcPr>
            <w:tcW w:type="dxa" w:w="2160"/>
          </w:tcPr>
          <w:p>
            <w:r>
              <w:rPr>
                <w:sz w:val="18"/>
              </w:rPr>
              <w:t>3</w:t>
            </w:r>
          </w:p>
        </w:tc>
        <w:tc>
          <w:tcPr>
            <w:tcW w:type="dxa" w:w="2160"/>
          </w:tcPr>
          <w:p>
            <w:r>
              <w:rPr>
                <w:sz w:val="18"/>
              </w:rPr>
              <w:t>Full Dashboard Integration</w:t>
            </w:r>
          </w:p>
        </w:tc>
        <w:tc>
          <w:tcPr>
            <w:tcW w:type="dxa" w:w="2160"/>
          </w:tcPr>
          <w:p>
            <w:r>
              <w:rPr>
                <w:sz w:val="18"/>
              </w:rPr>
              <w:t>✅ Complete</w:t>
            </w:r>
          </w:p>
        </w:tc>
        <w:tc>
          <w:tcPr>
            <w:tcW w:type="dxa" w:w="2160"/>
          </w:tcPr>
          <w:p>
            <w:r>
              <w:rPr>
                <w:sz w:val="18"/>
              </w:rPr>
              <w:t>All 7 modules operational: Upload Hub, Demographics, ADR Analysis, Signal Detection, GNN Network, Outcomes, Report Builder</w:t>
            </w:r>
          </w:p>
        </w:tc>
      </w:tr>
      <w:tr>
        <w:tc>
          <w:tcPr>
            <w:tcW w:type="dxa" w:w="2160"/>
          </w:tcPr>
          <w:p>
            <w:r>
              <w:rPr>
                <w:sz w:val="18"/>
              </w:rPr>
              <w:t>4</w:t>
            </w:r>
          </w:p>
        </w:tc>
        <w:tc>
          <w:tcPr>
            <w:tcW w:type="dxa" w:w="2160"/>
          </w:tcPr>
          <w:p>
            <w:r>
              <w:rPr>
                <w:sz w:val="18"/>
              </w:rPr>
              <w:t>Research Paper (PLOS ONE)</w:t>
            </w:r>
          </w:p>
        </w:tc>
        <w:tc>
          <w:tcPr>
            <w:tcW w:type="dxa" w:w="2160"/>
          </w:tcPr>
          <w:p>
            <w:r>
              <w:rPr>
                <w:sz w:val="18"/>
              </w:rPr>
              <w:t>✅ Complete</w:t>
            </w:r>
          </w:p>
        </w:tc>
        <w:tc>
          <w:tcPr>
            <w:tcW w:type="dxa" w:w="2160"/>
          </w:tcPr>
          <w:p>
            <w:r>
              <w:rPr>
                <w:sz w:val="18"/>
              </w:rPr>
              <w:t>Full manuscript: 845 lines LaTeX, 9 figures, 13 tables, 32 references, 244-word abstract</w:t>
            </w:r>
          </w:p>
        </w:tc>
      </w:tr>
      <w:tr>
        <w:tc>
          <w:tcPr>
            <w:tcW w:type="dxa" w:w="2160"/>
          </w:tcPr>
          <w:p>
            <w:r>
              <w:rPr>
                <w:sz w:val="18"/>
              </w:rPr>
              <w:t>5</w:t>
            </w:r>
          </w:p>
        </w:tc>
        <w:tc>
          <w:tcPr>
            <w:tcW w:type="dxa" w:w="2160"/>
          </w:tcPr>
          <w:p>
            <w:r>
              <w:rPr>
                <w:sz w:val="18"/>
              </w:rPr>
              <w:t>Supporting Information (S1–S8)</w:t>
            </w:r>
          </w:p>
        </w:tc>
        <w:tc>
          <w:tcPr>
            <w:tcW w:type="dxa" w:w="2160"/>
          </w:tcPr>
          <w:p>
            <w:r>
              <w:rPr>
                <w:sz w:val="18"/>
              </w:rPr>
              <w:t>✅ Complete</w:t>
            </w:r>
          </w:p>
        </w:tc>
        <w:tc>
          <w:tcPr>
            <w:tcW w:type="dxa" w:w="2160"/>
          </w:tcPr>
          <w:p>
            <w:r>
              <w:rPr>
                <w:sz w:val="18"/>
              </w:rPr>
              <w:t>8 supporting Excel tables: STROBE checklist, TRIPOD+AI checklist, pipeline spec, GNN hyperparameters, thresholds, module inventory, feature comparison, full signal cache (6,259 pairs)</w:t>
            </w:r>
          </w:p>
        </w:tc>
      </w:tr>
      <w:tr>
        <w:tc>
          <w:tcPr>
            <w:tcW w:type="dxa" w:w="2160"/>
          </w:tcPr>
          <w:p>
            <w:r>
              <w:rPr>
                <w:sz w:val="18"/>
              </w:rPr>
              <w:t>6</w:t>
            </w:r>
          </w:p>
        </w:tc>
        <w:tc>
          <w:tcPr>
            <w:tcW w:type="dxa" w:w="2160"/>
          </w:tcPr>
          <w:p>
            <w:r>
              <w:rPr>
                <w:sz w:val="18"/>
              </w:rPr>
              <w:t>Data Proof from Live Database</w:t>
            </w:r>
          </w:p>
        </w:tc>
        <w:tc>
          <w:tcPr>
            <w:tcW w:type="dxa" w:w="2160"/>
          </w:tcPr>
          <w:p>
            <w:r>
              <w:rPr>
                <w:sz w:val="18"/>
              </w:rPr>
              <w:t>✅ Complete</w:t>
            </w:r>
          </w:p>
        </w:tc>
        <w:tc>
          <w:tcPr>
            <w:tcW w:type="dxa" w:w="2160"/>
          </w:tcPr>
          <w:p>
            <w:r>
              <w:rPr>
                <w:sz w:val="18"/>
              </w:rPr>
              <w:t>7 Excel files generated directly from PostgreSQL: demographics, drugs, ADRs, co-occurrences, signals, outcomes, RxNorm normalisation (500 drugs)</w:t>
            </w:r>
          </w:p>
        </w:tc>
      </w:tr>
      <w:tr>
        <w:tc>
          <w:tcPr>
            <w:tcW w:type="dxa" w:w="2160"/>
          </w:tcPr>
          <w:p>
            <w:r>
              <w:rPr>
                <w:sz w:val="18"/>
              </w:rPr>
              <w:t>7</w:t>
            </w:r>
          </w:p>
        </w:tc>
        <w:tc>
          <w:tcPr>
            <w:tcW w:type="dxa" w:w="2160"/>
          </w:tcPr>
          <w:p>
            <w:r>
              <w:rPr>
                <w:sz w:val="18"/>
              </w:rPr>
              <w:t>PLOS ONE Compliance Audit</w:t>
            </w:r>
          </w:p>
        </w:tc>
        <w:tc>
          <w:tcPr>
            <w:tcW w:type="dxa" w:w="2160"/>
          </w:tcPr>
          <w:p>
            <w:r>
              <w:rPr>
                <w:sz w:val="18"/>
              </w:rPr>
              <w:t>✅ Complete</w:t>
            </w:r>
          </w:p>
        </w:tc>
        <w:tc>
          <w:tcPr>
            <w:tcW w:type="dxa" w:w="2160"/>
          </w:tcPr>
          <w:p>
            <w:r>
              <w:rPr>
                <w:sz w:val="18"/>
              </w:rPr>
              <w:t>All 7 publication criteria met, 16/16 formatting checks passed, all sections in correct order</w:t>
            </w:r>
          </w:p>
        </w:tc>
      </w:tr>
      <w:tr>
        <w:tc>
          <w:tcPr>
            <w:tcW w:type="dxa" w:w="2160"/>
          </w:tcPr>
          <w:p>
            <w:r>
              <w:rPr>
                <w:sz w:val="18"/>
              </w:rPr>
              <w:t>8</w:t>
            </w:r>
          </w:p>
        </w:tc>
        <w:tc>
          <w:tcPr>
            <w:tcW w:type="dxa" w:w="2160"/>
          </w:tcPr>
          <w:p>
            <w:r>
              <w:rPr>
                <w:sz w:val="18"/>
              </w:rPr>
              <w:t>Figure Generation (Fig 1–9 + S1)</w:t>
            </w:r>
          </w:p>
        </w:tc>
        <w:tc>
          <w:tcPr>
            <w:tcW w:type="dxa" w:w="2160"/>
          </w:tcPr>
          <w:p>
            <w:r>
              <w:rPr>
                <w:sz w:val="18"/>
              </w:rPr>
              <w:t>✅ Complete</w:t>
            </w:r>
          </w:p>
        </w:tc>
        <w:tc>
          <w:tcPr>
            <w:tcW w:type="dxa" w:w="2160"/>
          </w:tcPr>
          <w:p>
            <w:r>
              <w:rPr>
                <w:sz w:val="18"/>
              </w:rPr>
              <w:t>All screenshots captured from live dashboard in PNG + TIFF (300 DPI) + EPS formats</w:t>
            </w:r>
          </w:p>
        </w:tc>
      </w:tr>
    </w:tbl>
    <w:p/>
    <w:p>
      <w:pPr>
        <w:pStyle w:val="Heading2"/>
      </w:pPr>
      <w:r>
        <w:rPr>
          <w:color w:val="1A1A2E"/>
        </w:rPr>
        <w:t>Key Metrics — Week 3</w:t>
      </w:r>
    </w:p>
    <w:p>
      <w:pPr>
        <w:pStyle w:val="ListBullet"/>
      </w:pPr>
      <w:r>
        <w:rPr>
          <w:b/>
          <w:sz w:val="22"/>
        </w:rPr>
        <w:t xml:space="preserve">Dashboard Modules: </w:t>
      </w:r>
      <w:r>
        <w:rPr>
          <w:sz w:val="22"/>
        </w:rPr>
        <w:t>7/7 analyst-facing modules fully operational</w:t>
      </w:r>
    </w:p>
    <w:p>
      <w:pPr>
        <w:pStyle w:val="ListBullet"/>
      </w:pPr>
      <w:r>
        <w:rPr>
          <w:b/>
          <w:sz w:val="22"/>
        </w:rPr>
        <w:t xml:space="preserve">Research Paper: </w:t>
      </w:r>
      <w:r>
        <w:rPr>
          <w:sz w:val="22"/>
        </w:rPr>
        <w:t>845-line LaTeX manuscript meeting all PLOS ONE guidelines</w:t>
      </w:r>
    </w:p>
    <w:p>
      <w:pPr>
        <w:pStyle w:val="ListBullet"/>
      </w:pPr>
      <w:r>
        <w:rPr>
          <w:b/>
          <w:sz w:val="22"/>
        </w:rPr>
        <w:t xml:space="preserve">Figures: </w:t>
      </w:r>
      <w:r>
        <w:rPr>
          <w:sz w:val="22"/>
        </w:rPr>
        <w:t>9 figures + 1 supporting figure (S1 Fig)</w:t>
      </w:r>
    </w:p>
    <w:p>
      <w:pPr>
        <w:pStyle w:val="ListBullet"/>
      </w:pPr>
      <w:r>
        <w:rPr>
          <w:b/>
          <w:sz w:val="22"/>
        </w:rPr>
        <w:t xml:space="preserve">Supporting Docs: </w:t>
      </w:r>
      <w:r>
        <w:rPr>
          <w:sz w:val="22"/>
        </w:rPr>
        <w:t>8 supporting tables (S1–S8) with STROBE/TRIPOD+AI checklists</w:t>
      </w:r>
    </w:p>
    <w:p>
      <w:pPr>
        <w:pStyle w:val="ListBullet"/>
      </w:pPr>
      <w:r>
        <w:rPr>
          <w:b/>
          <w:sz w:val="22"/>
        </w:rPr>
        <w:t xml:space="preserve">Submission Package: </w:t>
      </w:r>
      <w:r>
        <w:rPr>
          <w:sz w:val="22"/>
        </w:rPr>
        <w:t>Full submission package: Manuscript + Cover Letter + Figures + Supporting Info + Code + Data Proof + Manifest</w:t>
      </w:r>
    </w:p>
    <w:p/>
    <w:p>
      <w:pPr>
        <w:pStyle w:val="Heading2"/>
      </w:pPr>
      <w:r>
        <w:rPr>
          <w:color w:val="1A1A2E"/>
        </w:rPr>
        <w:t>Screenshot: ADR Analysis Module</w:t>
      </w:r>
    </w:p>
    <w:p>
      <w:r>
        <w:drawing>
          <wp:inline xmlns:a="http://schemas.openxmlformats.org/drawingml/2006/main" xmlns:pic="http://schemas.openxmlformats.org/drawingml/2006/picture">
            <wp:extent cx="5029200" cy="2573628"/>
            <wp:docPr id="5" name="Picture 5"/>
            <wp:cNvGraphicFramePr>
              <a:graphicFrameLocks noChangeAspect="1"/>
            </wp:cNvGraphicFramePr>
            <a:graphic>
              <a:graphicData uri="http://schemas.openxmlformats.org/drawingml/2006/picture">
                <pic:pic>
                  <pic:nvPicPr>
                    <pic:cNvPr id="0" name="Fig7.png"/>
                    <pic:cNvPicPr/>
                  </pic:nvPicPr>
                  <pic:blipFill>
                    <a:blip r:embed="rId13"/>
                    <a:stretch>
                      <a:fillRect/>
                    </a:stretch>
                  </pic:blipFill>
                  <pic:spPr>
                    <a:xfrm>
                      <a:off x="0" y="0"/>
                      <a:ext cx="5029200" cy="2573628"/>
                    </a:xfrm>
                    <a:prstGeom prst="rect"/>
                  </pic:spPr>
                </pic:pic>
              </a:graphicData>
            </a:graphic>
          </wp:inline>
        </w:drawing>
      </w:r>
    </w:p>
    <w:p>
      <w:pPr>
        <w:jc w:val="center"/>
      </w:pPr>
      <w:r>
        <w:rPr>
          <w:i/>
          <w:sz w:val="18"/>
        </w:rPr>
        <w:t>Figure 5: ADR Analysis module showing Top-20 adverse reactions, ADR×Age Group heatmap, and top drug–ADR co-occurrences.</w:t>
      </w:r>
    </w:p>
    <w:p/>
    <w:p>
      <w:pPr>
        <w:pStyle w:val="Heading2"/>
      </w:pPr>
      <w:r>
        <w:rPr>
          <w:color w:val="1A1A2E"/>
        </w:rPr>
        <w:t>Screenshot: Report Builder</w:t>
      </w:r>
    </w:p>
    <w:p>
      <w:r>
        <w:drawing>
          <wp:inline xmlns:a="http://schemas.openxmlformats.org/drawingml/2006/main" xmlns:pic="http://schemas.openxmlformats.org/drawingml/2006/picture">
            <wp:extent cx="5029200" cy="2531652"/>
            <wp:docPr id="6" name="Picture 6"/>
            <wp:cNvGraphicFramePr>
              <a:graphicFrameLocks noChangeAspect="1"/>
            </wp:cNvGraphicFramePr>
            <a:graphic>
              <a:graphicData uri="http://schemas.openxmlformats.org/drawingml/2006/picture">
                <pic:pic>
                  <pic:nvPicPr>
                    <pic:cNvPr id="0" name="Fig9.png"/>
                    <pic:cNvPicPr/>
                  </pic:nvPicPr>
                  <pic:blipFill>
                    <a:blip r:embed="rId14"/>
                    <a:stretch>
                      <a:fillRect/>
                    </a:stretch>
                  </pic:blipFill>
                  <pic:spPr>
                    <a:xfrm>
                      <a:off x="0" y="0"/>
                      <a:ext cx="5029200" cy="2531652"/>
                    </a:xfrm>
                    <a:prstGeom prst="rect"/>
                  </pic:spPr>
                </pic:pic>
              </a:graphicData>
            </a:graphic>
          </wp:inline>
        </w:drawing>
      </w:r>
    </w:p>
    <w:p>
      <w:pPr>
        <w:jc w:val="center"/>
      </w:pPr>
      <w:r>
        <w:rPr>
          <w:i/>
          <w:sz w:val="18"/>
        </w:rPr>
        <w:t>Figure 6: Report Builder module with section-selectable PDF export and live preview of the generated FAERS Pediatric ADR Analysis Report.</w:t>
      </w:r>
    </w:p>
    <w:p>
      <w:r>
        <w:br w:type="page"/>
      </w:r>
    </w:p>
    <w:p>
      <w:pPr>
        <w:pStyle w:val="Heading1"/>
      </w:pPr>
      <w:r>
        <w:rPr>
          <w:color w:val="1A1A2E"/>
        </w:rPr>
        <w:t>5. Current System Status</w:t>
      </w:r>
    </w:p>
    <w:tbl>
      <w:tblPr>
        <w:tblW w:type="auto" w:w="0"/>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Component</w:t>
            </w:r>
          </w:p>
        </w:tc>
        <w:tc>
          <w:tcPr>
            <w:tcW w:type="dxa" w:w="2880"/>
            <w:shd w:val="clear" w:color="auto" w:fill="1A1A2E"/>
          </w:tcPr>
          <w:p>
            <w:r>
              <w:rPr>
                <w:b/>
                <w:color w:val="FFFFFF"/>
                <w:sz w:val="20"/>
              </w:rPr>
              <w:t>Status</w:t>
            </w:r>
          </w:p>
        </w:tc>
        <w:tc>
          <w:tcPr>
            <w:tcW w:type="dxa" w:w="2880"/>
            <w:shd w:val="clear" w:color="auto" w:fill="1A1A2E"/>
          </w:tcPr>
          <w:p>
            <w:r>
              <w:rPr>
                <w:b/>
                <w:color w:val="FFFFFF"/>
                <w:sz w:val="20"/>
              </w:rPr>
              <w:t>Completion</w:t>
            </w:r>
          </w:p>
        </w:tc>
      </w:tr>
      <w:tr>
        <w:tc>
          <w:tcPr>
            <w:tcW w:type="dxa" w:w="2880"/>
          </w:tcPr>
          <w:p>
            <w:r>
              <w:rPr>
                <w:sz w:val="20"/>
              </w:rPr>
              <w:t>13-Step FAERS Ingestion Pipeline</w:t>
            </w:r>
          </w:p>
        </w:tc>
        <w:tc>
          <w:tcPr>
            <w:tcW w:type="dxa" w:w="2880"/>
          </w:tcPr>
          <w:p>
            <w:r>
              <w:rPr>
                <w:sz w:val="20"/>
              </w:rPr>
              <w:t>✅ Fully Operational</w:t>
            </w:r>
          </w:p>
        </w:tc>
        <w:tc>
          <w:tcPr>
            <w:tcW w:type="dxa" w:w="2880"/>
            <w:shd w:val="clear" w:color="auto" w:fill="E8F5E9"/>
          </w:tcPr>
          <w:p>
            <w:r>
              <w:rPr>
                <w:sz w:val="20"/>
              </w:rPr>
              <w:t>100%</w:t>
            </w:r>
          </w:p>
        </w:tc>
      </w:tr>
      <w:tr>
        <w:tc>
          <w:tcPr>
            <w:tcW w:type="dxa" w:w="2880"/>
          </w:tcPr>
          <w:p>
            <w:r>
              <w:rPr>
                <w:sz w:val="20"/>
              </w:rPr>
              <w:t>PostgreSQL Database (20 quarters)</w:t>
            </w:r>
          </w:p>
        </w:tc>
        <w:tc>
          <w:tcPr>
            <w:tcW w:type="dxa" w:w="2880"/>
          </w:tcPr>
          <w:p>
            <w:r>
              <w:rPr>
                <w:sz w:val="20"/>
              </w:rPr>
              <w:t>✅ Fully Loaded</w:t>
            </w:r>
          </w:p>
        </w:tc>
        <w:tc>
          <w:tcPr>
            <w:tcW w:type="dxa" w:w="2880"/>
            <w:shd w:val="clear" w:color="auto" w:fill="E8F5E9"/>
          </w:tcPr>
          <w:p>
            <w:r>
              <w:rPr>
                <w:sz w:val="20"/>
              </w:rPr>
              <w:t>100%</w:t>
            </w:r>
          </w:p>
        </w:tc>
      </w:tr>
      <w:tr>
        <w:tc>
          <w:tcPr>
            <w:tcW w:type="dxa" w:w="2880"/>
          </w:tcPr>
          <w:p>
            <w:r>
              <w:rPr>
                <w:sz w:val="20"/>
              </w:rPr>
              <w:t>RxNorm Drug Normalisation</w:t>
            </w:r>
          </w:p>
        </w:tc>
        <w:tc>
          <w:tcPr>
            <w:tcW w:type="dxa" w:w="2880"/>
          </w:tcPr>
          <w:p>
            <w:r>
              <w:rPr>
                <w:sz w:val="20"/>
              </w:rPr>
              <w:t>✅ Operational (~94% resolved)</w:t>
            </w:r>
          </w:p>
        </w:tc>
        <w:tc>
          <w:tcPr>
            <w:tcW w:type="dxa" w:w="2880"/>
            <w:shd w:val="clear" w:color="auto" w:fill="E8F5E9"/>
          </w:tcPr>
          <w:p>
            <w:r>
              <w:rPr>
                <w:sz w:val="20"/>
              </w:rPr>
              <w:t>100%</w:t>
            </w:r>
          </w:p>
        </w:tc>
      </w:tr>
      <w:tr>
        <w:tc>
          <w:tcPr>
            <w:tcW w:type="dxa" w:w="2880"/>
          </w:tcPr>
          <w:p>
            <w:r>
              <w:rPr>
                <w:sz w:val="20"/>
              </w:rPr>
              <w:t>Upload Hub Module</w:t>
            </w:r>
          </w:p>
        </w:tc>
        <w:tc>
          <w:tcPr>
            <w:tcW w:type="dxa" w:w="2880"/>
          </w:tcPr>
          <w:p>
            <w:r>
              <w:rPr>
                <w:sz w:val="20"/>
              </w:rPr>
              <w:t>✅ Complete</w:t>
            </w:r>
          </w:p>
        </w:tc>
        <w:tc>
          <w:tcPr>
            <w:tcW w:type="dxa" w:w="2880"/>
            <w:shd w:val="clear" w:color="auto" w:fill="E8F5E9"/>
          </w:tcPr>
          <w:p>
            <w:r>
              <w:rPr>
                <w:sz w:val="20"/>
              </w:rPr>
              <w:t>100%</w:t>
            </w:r>
          </w:p>
        </w:tc>
      </w:tr>
      <w:tr>
        <w:tc>
          <w:tcPr>
            <w:tcW w:type="dxa" w:w="2880"/>
          </w:tcPr>
          <w:p>
            <w:r>
              <w:rPr>
                <w:sz w:val="20"/>
              </w:rPr>
              <w:t>Demographics Module</w:t>
            </w:r>
          </w:p>
        </w:tc>
        <w:tc>
          <w:tcPr>
            <w:tcW w:type="dxa" w:w="2880"/>
          </w:tcPr>
          <w:p>
            <w:r>
              <w:rPr>
                <w:sz w:val="20"/>
              </w:rPr>
              <w:t>✅ Complete</w:t>
            </w:r>
          </w:p>
        </w:tc>
        <w:tc>
          <w:tcPr>
            <w:tcW w:type="dxa" w:w="2880"/>
            <w:shd w:val="clear" w:color="auto" w:fill="E8F5E9"/>
          </w:tcPr>
          <w:p>
            <w:r>
              <w:rPr>
                <w:sz w:val="20"/>
              </w:rPr>
              <w:t>100%</w:t>
            </w:r>
          </w:p>
        </w:tc>
      </w:tr>
      <w:tr>
        <w:tc>
          <w:tcPr>
            <w:tcW w:type="dxa" w:w="2880"/>
          </w:tcPr>
          <w:p>
            <w:r>
              <w:rPr>
                <w:sz w:val="20"/>
              </w:rPr>
              <w:t>ADR Analysis Module</w:t>
            </w:r>
          </w:p>
        </w:tc>
        <w:tc>
          <w:tcPr>
            <w:tcW w:type="dxa" w:w="2880"/>
          </w:tcPr>
          <w:p>
            <w:r>
              <w:rPr>
                <w:sz w:val="20"/>
              </w:rPr>
              <w:t>✅ Complete</w:t>
            </w:r>
          </w:p>
        </w:tc>
        <w:tc>
          <w:tcPr>
            <w:tcW w:type="dxa" w:w="2880"/>
            <w:shd w:val="clear" w:color="auto" w:fill="E8F5E9"/>
          </w:tcPr>
          <w:p>
            <w:r>
              <w:rPr>
                <w:sz w:val="20"/>
              </w:rPr>
              <w:t>100%</w:t>
            </w:r>
          </w:p>
        </w:tc>
      </w:tr>
      <w:tr>
        <w:tc>
          <w:tcPr>
            <w:tcW w:type="dxa" w:w="2880"/>
          </w:tcPr>
          <w:p>
            <w:r>
              <w:rPr>
                <w:sz w:val="20"/>
              </w:rPr>
              <w:t>Signal Detection Engine (PRR/ROR/IC/EBGM)</w:t>
            </w:r>
          </w:p>
        </w:tc>
        <w:tc>
          <w:tcPr>
            <w:tcW w:type="dxa" w:w="2880"/>
          </w:tcPr>
          <w:p>
            <w:r>
              <w:rPr>
                <w:sz w:val="20"/>
              </w:rPr>
              <w:t>✅ Complete</w:t>
            </w:r>
          </w:p>
        </w:tc>
        <w:tc>
          <w:tcPr>
            <w:tcW w:type="dxa" w:w="2880"/>
            <w:shd w:val="clear" w:color="auto" w:fill="E8F5E9"/>
          </w:tcPr>
          <w:p>
            <w:r>
              <w:rPr>
                <w:sz w:val="20"/>
              </w:rPr>
              <w:t>100%</w:t>
            </w:r>
          </w:p>
        </w:tc>
      </w:tr>
      <w:tr>
        <w:tc>
          <w:tcPr>
            <w:tcW w:type="dxa" w:w="2880"/>
          </w:tcPr>
          <w:p>
            <w:r>
              <w:rPr>
                <w:sz w:val="20"/>
              </w:rPr>
              <w:t>HANConv GNN Model</w:t>
            </w:r>
          </w:p>
        </w:tc>
        <w:tc>
          <w:tcPr>
            <w:tcW w:type="dxa" w:w="2880"/>
          </w:tcPr>
          <w:p>
            <w:r>
              <w:rPr>
                <w:sz w:val="20"/>
              </w:rPr>
              <w:t>✅ Trained &amp; Deployed</w:t>
            </w:r>
          </w:p>
        </w:tc>
        <w:tc>
          <w:tcPr>
            <w:tcW w:type="dxa" w:w="2880"/>
            <w:shd w:val="clear" w:color="auto" w:fill="E8F5E9"/>
          </w:tcPr>
          <w:p>
            <w:r>
              <w:rPr>
                <w:sz w:val="20"/>
              </w:rPr>
              <w:t>100%</w:t>
            </w:r>
          </w:p>
        </w:tc>
      </w:tr>
      <w:tr>
        <w:tc>
          <w:tcPr>
            <w:tcW w:type="dxa" w:w="2880"/>
          </w:tcPr>
          <w:p>
            <w:r>
              <w:rPr>
                <w:sz w:val="20"/>
              </w:rPr>
              <w:t>GNN Network View Module</w:t>
            </w:r>
          </w:p>
        </w:tc>
        <w:tc>
          <w:tcPr>
            <w:tcW w:type="dxa" w:w="2880"/>
          </w:tcPr>
          <w:p>
            <w:r>
              <w:rPr>
                <w:sz w:val="20"/>
              </w:rPr>
              <w:t>✅ Complete</w:t>
            </w:r>
          </w:p>
        </w:tc>
        <w:tc>
          <w:tcPr>
            <w:tcW w:type="dxa" w:w="2880"/>
            <w:shd w:val="clear" w:color="auto" w:fill="E8F5E9"/>
          </w:tcPr>
          <w:p>
            <w:r>
              <w:rPr>
                <w:sz w:val="20"/>
              </w:rPr>
              <w:t>100%</w:t>
            </w:r>
          </w:p>
        </w:tc>
      </w:tr>
      <w:tr>
        <w:tc>
          <w:tcPr>
            <w:tcW w:type="dxa" w:w="2880"/>
          </w:tcPr>
          <w:p>
            <w:r>
              <w:rPr>
                <w:sz w:val="20"/>
              </w:rPr>
              <w:t>Outcomes &amp; Severity Module</w:t>
            </w:r>
          </w:p>
        </w:tc>
        <w:tc>
          <w:tcPr>
            <w:tcW w:type="dxa" w:w="2880"/>
          </w:tcPr>
          <w:p>
            <w:r>
              <w:rPr>
                <w:sz w:val="20"/>
              </w:rPr>
              <w:t>✅ Complete</w:t>
            </w:r>
          </w:p>
        </w:tc>
        <w:tc>
          <w:tcPr>
            <w:tcW w:type="dxa" w:w="2880"/>
            <w:shd w:val="clear" w:color="auto" w:fill="E8F5E9"/>
          </w:tcPr>
          <w:p>
            <w:r>
              <w:rPr>
                <w:sz w:val="20"/>
              </w:rPr>
              <w:t>100%</w:t>
            </w:r>
          </w:p>
        </w:tc>
      </w:tr>
      <w:tr>
        <w:tc>
          <w:tcPr>
            <w:tcW w:type="dxa" w:w="2880"/>
          </w:tcPr>
          <w:p>
            <w:r>
              <w:rPr>
                <w:sz w:val="20"/>
              </w:rPr>
              <w:t>Report Builder (PDF Export)</w:t>
            </w:r>
          </w:p>
        </w:tc>
        <w:tc>
          <w:tcPr>
            <w:tcW w:type="dxa" w:w="2880"/>
          </w:tcPr>
          <w:p>
            <w:r>
              <w:rPr>
                <w:sz w:val="20"/>
              </w:rPr>
              <w:t>✅ Complete</w:t>
            </w:r>
          </w:p>
        </w:tc>
        <w:tc>
          <w:tcPr>
            <w:tcW w:type="dxa" w:w="2880"/>
            <w:shd w:val="clear" w:color="auto" w:fill="E8F5E9"/>
          </w:tcPr>
          <w:p>
            <w:r>
              <w:rPr>
                <w:sz w:val="20"/>
              </w:rPr>
              <w:t>100%</w:t>
            </w:r>
          </w:p>
        </w:tc>
      </w:tr>
      <w:tr>
        <w:tc>
          <w:tcPr>
            <w:tcW w:type="dxa" w:w="2880"/>
          </w:tcPr>
          <w:p>
            <w:r>
              <w:rPr>
                <w:sz w:val="20"/>
              </w:rPr>
              <w:t>PLOS ONE Research Paper</w:t>
            </w:r>
          </w:p>
        </w:tc>
        <w:tc>
          <w:tcPr>
            <w:tcW w:type="dxa" w:w="2880"/>
          </w:tcPr>
          <w:p>
            <w:r>
              <w:rPr>
                <w:sz w:val="20"/>
              </w:rPr>
              <w:t>✅ Draft Complete</w:t>
            </w:r>
          </w:p>
        </w:tc>
        <w:tc>
          <w:tcPr>
            <w:tcW w:type="dxa" w:w="2880"/>
            <w:shd w:val="clear" w:color="auto" w:fill="E8F5E9"/>
          </w:tcPr>
          <w:p>
            <w:r>
              <w:rPr>
                <w:sz w:val="20"/>
              </w:rPr>
              <w:t>100%</w:t>
            </w:r>
          </w:p>
        </w:tc>
      </w:tr>
      <w:tr>
        <w:tc>
          <w:tcPr>
            <w:tcW w:type="dxa" w:w="2880"/>
          </w:tcPr>
          <w:p>
            <w:r>
              <w:rPr>
                <w:sz w:val="20"/>
              </w:rPr>
              <w:t>Supporting Information (S1–S8)</w:t>
            </w:r>
          </w:p>
        </w:tc>
        <w:tc>
          <w:tcPr>
            <w:tcW w:type="dxa" w:w="2880"/>
          </w:tcPr>
          <w:p>
            <w:r>
              <w:rPr>
                <w:sz w:val="20"/>
              </w:rPr>
              <w:t>✅ Complete</w:t>
            </w:r>
          </w:p>
        </w:tc>
        <w:tc>
          <w:tcPr>
            <w:tcW w:type="dxa" w:w="2880"/>
            <w:shd w:val="clear" w:color="auto" w:fill="E8F5E9"/>
          </w:tcPr>
          <w:p>
            <w:r>
              <w:rPr>
                <w:sz w:val="20"/>
              </w:rPr>
              <w:t>100%</w:t>
            </w:r>
          </w:p>
        </w:tc>
      </w:tr>
      <w:tr>
        <w:tc>
          <w:tcPr>
            <w:tcW w:type="dxa" w:w="2880"/>
          </w:tcPr>
          <w:p>
            <w:r>
              <w:rPr>
                <w:sz w:val="20"/>
              </w:rPr>
              <w:t>Formal Usability Study</w:t>
            </w:r>
          </w:p>
        </w:tc>
        <w:tc>
          <w:tcPr>
            <w:tcW w:type="dxa" w:w="2880"/>
          </w:tcPr>
          <w:p>
            <w:r>
              <w:rPr>
                <w:sz w:val="20"/>
              </w:rPr>
              <w:t>⏳ Planned</w:t>
            </w:r>
          </w:p>
        </w:tc>
        <w:tc>
          <w:tcPr>
            <w:tcW w:type="dxa" w:w="2880"/>
            <w:shd w:val="clear" w:color="auto" w:fill="FFF3E0"/>
          </w:tcPr>
          <w:p>
            <w:r>
              <w:rPr>
                <w:sz w:val="20"/>
              </w:rPr>
              <w:t>0%</w:t>
            </w:r>
          </w:p>
        </w:tc>
      </w:tr>
    </w:tbl>
    <w:p/>
    <w:p>
      <w:pPr>
        <w:pStyle w:val="Heading1"/>
      </w:pPr>
      <w:r>
        <w:rPr>
          <w:color w:val="1A1A2E"/>
        </w:rPr>
        <w:t>6. Key Metrics &amp; Achievements Summary</w:t>
      </w:r>
    </w:p>
    <w:tbl>
      <w:tblPr>
        <w:tblW w:type="auto" w:w="0"/>
        <w:tblLook w:firstColumn="1" w:firstRow="1" w:lastColumn="0" w:lastRow="0" w:noHBand="0" w:noVBand="1" w:val="04A0"/>
      </w:tblPr>
      <w:tblGrid>
        <w:gridCol w:w="4320"/>
        <w:gridCol w:w="4320"/>
      </w:tblGrid>
      <w:tr>
        <w:tc>
          <w:tcPr>
            <w:tcW w:type="dxa" w:w="4320"/>
            <w:shd w:val="clear" w:color="auto" w:fill="1A1A2E"/>
          </w:tcPr>
          <w:p>
            <w:r>
              <w:rPr>
                <w:b/>
                <w:color w:val="FFFFFF"/>
                <w:sz w:val="20"/>
              </w:rPr>
              <w:t>Metric</w:t>
            </w:r>
          </w:p>
        </w:tc>
        <w:tc>
          <w:tcPr>
            <w:tcW w:type="dxa" w:w="4320"/>
            <w:shd w:val="clear" w:color="auto" w:fill="1A1A2E"/>
          </w:tcPr>
          <w:p>
            <w:r>
              <w:rPr>
                <w:b/>
                <w:color w:val="FFFFFF"/>
                <w:sz w:val="20"/>
              </w:rPr>
              <w:t>Value</w:t>
            </w:r>
          </w:p>
        </w:tc>
      </w:tr>
      <w:tr>
        <w:tc>
          <w:tcPr>
            <w:tcW w:type="dxa" w:w="4320"/>
          </w:tcPr>
          <w:p>
            <w:r>
              <w:rPr>
                <w:b/>
                <w:sz w:val="20"/>
              </w:rPr>
              <w:t>Total Patient Records</w:t>
            </w:r>
          </w:p>
        </w:tc>
        <w:tc>
          <w:tcPr>
            <w:tcW w:type="dxa" w:w="4320"/>
          </w:tcPr>
          <w:p>
            <w:r>
              <w:rPr>
                <w:sz w:val="20"/>
              </w:rPr>
              <w:t>3,420,201</w:t>
            </w:r>
          </w:p>
        </w:tc>
      </w:tr>
      <w:tr>
        <w:tc>
          <w:tcPr>
            <w:tcW w:type="dxa" w:w="4320"/>
          </w:tcPr>
          <w:p>
            <w:r>
              <w:rPr>
                <w:b/>
                <w:sz w:val="20"/>
              </w:rPr>
              <w:t>FAERS Quarters Loaded</w:t>
            </w:r>
          </w:p>
        </w:tc>
        <w:tc>
          <w:tcPr>
            <w:tcW w:type="dxa" w:w="4320"/>
          </w:tcPr>
          <w:p>
            <w:r>
              <w:rPr>
                <w:sz w:val="20"/>
              </w:rPr>
              <w:t>20 (2021Q1 – 2025Q4)</w:t>
            </w:r>
          </w:p>
        </w:tc>
      </w:tr>
      <w:tr>
        <w:tc>
          <w:tcPr>
            <w:tcW w:type="dxa" w:w="4320"/>
          </w:tcPr>
          <w:p>
            <w:r>
              <w:rPr>
                <w:b/>
                <w:sz w:val="20"/>
              </w:rPr>
              <w:t>Unique Suspect Drugs</w:t>
            </w:r>
          </w:p>
        </w:tc>
        <w:tc>
          <w:tcPr>
            <w:tcW w:type="dxa" w:w="4320"/>
          </w:tcPr>
          <w:p>
            <w:r>
              <w:rPr>
                <w:sz w:val="20"/>
              </w:rPr>
              <w:t>1,902</w:t>
            </w:r>
          </w:p>
        </w:tc>
      </w:tr>
      <w:tr>
        <w:tc>
          <w:tcPr>
            <w:tcW w:type="dxa" w:w="4320"/>
          </w:tcPr>
          <w:p>
            <w:r>
              <w:rPr>
                <w:b/>
                <w:sz w:val="20"/>
              </w:rPr>
              <w:t>Unique ADR Preferred Terms</w:t>
            </w:r>
          </w:p>
        </w:tc>
        <w:tc>
          <w:tcPr>
            <w:tcW w:type="dxa" w:w="4320"/>
          </w:tcPr>
          <w:p>
            <w:r>
              <w:rPr>
                <w:sz w:val="20"/>
              </w:rPr>
              <w:t>4,416</w:t>
            </w:r>
          </w:p>
        </w:tc>
      </w:tr>
      <w:tr>
        <w:tc>
          <w:tcPr>
            <w:tcW w:type="dxa" w:w="4320"/>
          </w:tcPr>
          <w:p>
            <w:r>
              <w:rPr>
                <w:b/>
                <w:sz w:val="20"/>
              </w:rPr>
              <w:t>Confirmed Disproportionality Signals</w:t>
            </w:r>
          </w:p>
        </w:tc>
        <w:tc>
          <w:tcPr>
            <w:tcW w:type="dxa" w:w="4320"/>
          </w:tcPr>
          <w:p>
            <w:r>
              <w:rPr>
                <w:sz w:val="20"/>
              </w:rPr>
              <w:t>82,650</w:t>
            </w:r>
          </w:p>
        </w:tc>
      </w:tr>
      <w:tr>
        <w:tc>
          <w:tcPr>
            <w:tcW w:type="dxa" w:w="4320"/>
          </w:tcPr>
          <w:p>
            <w:r>
              <w:rPr>
                <w:b/>
                <w:sz w:val="20"/>
              </w:rPr>
              <w:t>ICH E11(R1) Pediatric Age Bands</w:t>
            </w:r>
          </w:p>
        </w:tc>
        <w:tc>
          <w:tcPr>
            <w:tcW w:type="dxa" w:w="4320"/>
          </w:tcPr>
          <w:p>
            <w:r>
              <w:rPr>
                <w:sz w:val="20"/>
              </w:rPr>
              <w:t>5 (Neonate, Infant, Child, Adolescent, Unknown)</w:t>
            </w:r>
          </w:p>
        </w:tc>
      </w:tr>
      <w:tr>
        <w:tc>
          <w:tcPr>
            <w:tcW w:type="dxa" w:w="4320"/>
          </w:tcPr>
          <w:p>
            <w:r>
              <w:rPr>
                <w:b/>
                <w:sz w:val="20"/>
              </w:rPr>
              <w:t>GNN Graph — Drug Nodes (CHILD)</w:t>
            </w:r>
          </w:p>
        </w:tc>
        <w:tc>
          <w:tcPr>
            <w:tcW w:type="dxa" w:w="4320"/>
          </w:tcPr>
          <w:p>
            <w:r>
              <w:rPr>
                <w:sz w:val="20"/>
              </w:rPr>
              <w:t>79</w:t>
            </w:r>
          </w:p>
        </w:tc>
      </w:tr>
      <w:tr>
        <w:tc>
          <w:tcPr>
            <w:tcW w:type="dxa" w:w="4320"/>
          </w:tcPr>
          <w:p>
            <w:r>
              <w:rPr>
                <w:b/>
                <w:sz w:val="20"/>
              </w:rPr>
              <w:t>GNN Graph — ADR Nodes (CHILD)</w:t>
            </w:r>
          </w:p>
        </w:tc>
        <w:tc>
          <w:tcPr>
            <w:tcW w:type="dxa" w:w="4320"/>
          </w:tcPr>
          <w:p>
            <w:r>
              <w:rPr>
                <w:sz w:val="20"/>
              </w:rPr>
              <w:t>259</w:t>
            </w:r>
          </w:p>
        </w:tc>
      </w:tr>
      <w:tr>
        <w:tc>
          <w:tcPr>
            <w:tcW w:type="dxa" w:w="4320"/>
          </w:tcPr>
          <w:p>
            <w:r>
              <w:rPr>
                <w:b/>
                <w:sz w:val="20"/>
              </w:rPr>
              <w:t>GNN Graph — Edges</w:t>
            </w:r>
          </w:p>
        </w:tc>
        <w:tc>
          <w:tcPr>
            <w:tcW w:type="dxa" w:w="4320"/>
          </w:tcPr>
          <w:p>
            <w:r>
              <w:rPr>
                <w:sz w:val="20"/>
              </w:rPr>
              <w:t>500</w:t>
            </w:r>
          </w:p>
        </w:tc>
      </w:tr>
      <w:tr>
        <w:tc>
          <w:tcPr>
            <w:tcW w:type="dxa" w:w="4320"/>
          </w:tcPr>
          <w:p>
            <w:r>
              <w:rPr>
                <w:b/>
                <w:sz w:val="20"/>
              </w:rPr>
              <w:t>Signal Edge Density</w:t>
            </w:r>
          </w:p>
        </w:tc>
        <w:tc>
          <w:tcPr>
            <w:tcW w:type="dxa" w:w="4320"/>
          </w:tcPr>
          <w:p>
            <w:r>
              <w:rPr>
                <w:sz w:val="20"/>
              </w:rPr>
              <w:t>83.8% (419/500)</w:t>
            </w:r>
          </w:p>
        </w:tc>
      </w:tr>
      <w:tr>
        <w:tc>
          <w:tcPr>
            <w:tcW w:type="dxa" w:w="4320"/>
          </w:tcPr>
          <w:p>
            <w:r>
              <w:rPr>
                <w:b/>
                <w:sz w:val="20"/>
              </w:rPr>
              <w:t>GNN Architecture</w:t>
            </w:r>
          </w:p>
        </w:tc>
        <w:tc>
          <w:tcPr>
            <w:tcW w:type="dxa" w:w="4320"/>
          </w:tcPr>
          <w:p>
            <w:r>
              <w:rPr>
                <w:sz w:val="20"/>
              </w:rPr>
              <w:t>2-layer HANConv, 64-dim, 4-head attention</w:t>
            </w:r>
          </w:p>
        </w:tc>
      </w:tr>
      <w:tr>
        <w:tc>
          <w:tcPr>
            <w:tcW w:type="dxa" w:w="4320"/>
          </w:tcPr>
          <w:p>
            <w:r>
              <w:rPr>
                <w:b/>
                <w:sz w:val="20"/>
              </w:rPr>
              <w:t>GNN Training</w:t>
            </w:r>
          </w:p>
        </w:tc>
        <w:tc>
          <w:tcPr>
            <w:tcW w:type="dxa" w:w="4320"/>
          </w:tcPr>
          <w:p>
            <w:r>
              <w:rPr>
                <w:sz w:val="20"/>
              </w:rPr>
              <w:t>200 epochs, Adam optimiser</w:t>
            </w:r>
          </w:p>
        </w:tc>
      </w:tr>
      <w:tr>
        <w:tc>
          <w:tcPr>
            <w:tcW w:type="dxa" w:w="4320"/>
          </w:tcPr>
          <w:p>
            <w:r>
              <w:rPr>
                <w:b/>
                <w:sz w:val="20"/>
              </w:rPr>
              <w:t>RxNorm Resolution Rate</w:t>
            </w:r>
          </w:p>
        </w:tc>
        <w:tc>
          <w:tcPr>
            <w:tcW w:type="dxa" w:w="4320"/>
          </w:tcPr>
          <w:p>
            <w:r>
              <w:rPr>
                <w:sz w:val="20"/>
              </w:rPr>
              <w:t>~94%</w:t>
            </w:r>
          </w:p>
        </w:tc>
      </w:tr>
      <w:tr>
        <w:tc>
          <w:tcPr>
            <w:tcW w:type="dxa" w:w="4320"/>
          </w:tcPr>
          <w:p>
            <w:r>
              <w:rPr>
                <w:b/>
                <w:sz w:val="20"/>
              </w:rPr>
              <w:t>Pipeline Runtime</w:t>
            </w:r>
          </w:p>
        </w:tc>
        <w:tc>
          <w:tcPr>
            <w:tcW w:type="dxa" w:w="4320"/>
          </w:tcPr>
          <w:p>
            <w:r>
              <w:rPr>
                <w:sz w:val="20"/>
              </w:rPr>
              <w:t>4–12 minutes per quarter</w:t>
            </w:r>
          </w:p>
        </w:tc>
      </w:tr>
      <w:tr>
        <w:tc>
          <w:tcPr>
            <w:tcW w:type="dxa" w:w="4320"/>
          </w:tcPr>
          <w:p>
            <w:r>
              <w:rPr>
                <w:b/>
                <w:sz w:val="20"/>
              </w:rPr>
              <w:t>Dashboard Modules</w:t>
            </w:r>
          </w:p>
        </w:tc>
        <w:tc>
          <w:tcPr>
            <w:tcW w:type="dxa" w:w="4320"/>
          </w:tcPr>
          <w:p>
            <w:r>
              <w:rPr>
                <w:sz w:val="20"/>
              </w:rPr>
              <w:t>7 fully operational</w:t>
            </w:r>
          </w:p>
        </w:tc>
      </w:tr>
      <w:tr>
        <w:tc>
          <w:tcPr>
            <w:tcW w:type="dxa" w:w="4320"/>
          </w:tcPr>
          <w:p>
            <w:r>
              <w:rPr>
                <w:b/>
                <w:sz w:val="20"/>
              </w:rPr>
              <w:t>Research Paper</w:t>
            </w:r>
          </w:p>
        </w:tc>
        <w:tc>
          <w:tcPr>
            <w:tcW w:type="dxa" w:w="4320"/>
          </w:tcPr>
          <w:p>
            <w:r>
              <w:rPr>
                <w:sz w:val="20"/>
              </w:rPr>
              <w:t>PLOS ONE format, 845 lines, 32 references</w:t>
            </w:r>
          </w:p>
        </w:tc>
      </w:tr>
    </w:tbl>
    <w:p>
      <w:r>
        <w:br w:type="page"/>
      </w:r>
    </w:p>
    <w:p>
      <w:pPr>
        <w:pStyle w:val="Heading1"/>
      </w:pPr>
      <w:r>
        <w:rPr>
          <w:color w:val="1A1A2E"/>
        </w:rPr>
        <w:t>7. Dashboard Screenshots &amp; Evidence</w:t>
      </w:r>
    </w:p>
    <w:p>
      <w:pPr>
        <w:spacing w:after="160"/>
      </w:pPr>
      <w:r>
        <w:t>The following screenshots were captured from the live PulseTech dashboard running on the development server:</w:t>
      </w:r>
    </w:p>
    <w:p>
      <w:r>
        <w:drawing>
          <wp:inline xmlns:a="http://schemas.openxmlformats.org/drawingml/2006/main" xmlns:pic="http://schemas.openxmlformats.org/drawingml/2006/picture">
            <wp:extent cx="4572000" cy="2291962"/>
            <wp:docPr id="7" name="Picture 7"/>
            <wp:cNvGraphicFramePr>
              <a:graphicFrameLocks noChangeAspect="1"/>
            </wp:cNvGraphicFramePr>
            <a:graphic>
              <a:graphicData uri="http://schemas.openxmlformats.org/drawingml/2006/picture">
                <pic:pic>
                  <pic:nvPicPr>
                    <pic:cNvPr id="0" name="Fig4.png"/>
                    <pic:cNvPicPr/>
                  </pic:nvPicPr>
                  <pic:blipFill>
                    <a:blip r:embed="rId15"/>
                    <a:stretch>
                      <a:fillRect/>
                    </a:stretch>
                  </pic:blipFill>
                  <pic:spPr>
                    <a:xfrm>
                      <a:off x="0" y="0"/>
                      <a:ext cx="4572000" cy="2291962"/>
                    </a:xfrm>
                    <a:prstGeom prst="rect"/>
                  </pic:spPr>
                </pic:pic>
              </a:graphicData>
            </a:graphic>
          </wp:inline>
        </w:drawing>
      </w:r>
    </w:p>
    <w:p>
      <w:pPr>
        <w:jc w:val="center"/>
      </w:pPr>
      <w:r>
        <w:rPr>
          <w:i/>
          <w:sz w:val="18"/>
        </w:rPr>
        <w:t>Demographics Module: ICH E11(R1) age band distribution with age–sex pyramid</w:t>
      </w:r>
    </w:p>
    <w:p/>
    <w:p>
      <w:r>
        <w:drawing>
          <wp:inline xmlns:a="http://schemas.openxmlformats.org/drawingml/2006/main" xmlns:pic="http://schemas.openxmlformats.org/drawingml/2006/picture">
            <wp:extent cx="4572000" cy="2990067"/>
            <wp:docPr id="8" name="Picture 8"/>
            <wp:cNvGraphicFramePr>
              <a:graphicFrameLocks noChangeAspect="1"/>
            </wp:cNvGraphicFramePr>
            <a:graphic>
              <a:graphicData uri="http://schemas.openxmlformats.org/drawingml/2006/picture">
                <pic:pic>
                  <pic:nvPicPr>
                    <pic:cNvPr id="0" name="Fig3.png"/>
                    <pic:cNvPicPr/>
                  </pic:nvPicPr>
                  <pic:blipFill>
                    <a:blip r:embed="rId16"/>
                    <a:stretch>
                      <a:fillRect/>
                    </a:stretch>
                  </pic:blipFill>
                  <pic:spPr>
                    <a:xfrm>
                      <a:off x="0" y="0"/>
                      <a:ext cx="4572000" cy="2990067"/>
                    </a:xfrm>
                    <a:prstGeom prst="rect"/>
                  </pic:spPr>
                </pic:pic>
              </a:graphicData>
            </a:graphic>
          </wp:inline>
        </w:drawing>
      </w:r>
    </w:p>
    <w:p>
      <w:pPr>
        <w:jc w:val="center"/>
      </w:pPr>
      <w:r>
        <w:rPr>
          <w:i/>
          <w:sz w:val="18"/>
        </w:rPr>
        <w:t>PediatricADRHAN Architecture: 2-layer HANConv with semantic attention</w:t>
      </w:r>
    </w:p>
    <w:p/>
    <w:p>
      <w:r>
        <w:drawing>
          <wp:inline xmlns:a="http://schemas.openxmlformats.org/drawingml/2006/main" xmlns:pic="http://schemas.openxmlformats.org/drawingml/2006/picture">
            <wp:extent cx="4572000" cy="2351587"/>
            <wp:docPr id="9" name="Picture 9"/>
            <wp:cNvGraphicFramePr>
              <a:graphicFrameLocks noChangeAspect="1"/>
            </wp:cNvGraphicFramePr>
            <a:graphic>
              <a:graphicData uri="http://schemas.openxmlformats.org/drawingml/2006/picture">
                <pic:pic>
                  <pic:nvPicPr>
                    <pic:cNvPr id="0" name="Fig6.png"/>
                    <pic:cNvPicPr/>
                  </pic:nvPicPr>
                  <pic:blipFill>
                    <a:blip r:embed="rId17"/>
                    <a:stretch>
                      <a:fillRect/>
                    </a:stretch>
                  </pic:blipFill>
                  <pic:spPr>
                    <a:xfrm>
                      <a:off x="0" y="0"/>
                      <a:ext cx="4572000" cy="2351587"/>
                    </a:xfrm>
                    <a:prstGeom prst="rect"/>
                  </pic:spPr>
                </pic:pic>
              </a:graphicData>
            </a:graphic>
          </wp:inline>
        </w:drawing>
      </w:r>
    </w:p>
    <w:p>
      <w:pPr>
        <w:jc w:val="center"/>
      </w:pPr>
      <w:r>
        <w:rPr>
          <w:i/>
          <w:sz w:val="18"/>
        </w:rPr>
        <w:t>Outcomes Module: Seven-category outcome distribution across the 20-quarter corpus</w:t>
      </w:r>
    </w:p>
    <w:p/>
    <w:p>
      <w:r>
        <w:br w:type="page"/>
      </w:r>
    </w:p>
    <w:p>
      <w:pPr>
        <w:pStyle w:val="Heading1"/>
      </w:pPr>
      <w:r>
        <w:rPr>
          <w:color w:val="1A1A2E"/>
        </w:rPr>
        <w:t>8. Next Steps &amp; Planned Activities</w:t>
      </w:r>
    </w:p>
    <w:tbl>
      <w:tblPr>
        <w:tblW w:type="auto" w:w="0"/>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w:t>
            </w:r>
          </w:p>
        </w:tc>
        <w:tc>
          <w:tcPr>
            <w:tcW w:type="dxa" w:w="2880"/>
            <w:shd w:val="clear" w:color="auto" w:fill="1A1A2E"/>
          </w:tcPr>
          <w:p>
            <w:r>
              <w:rPr>
                <w:b/>
                <w:color w:val="FFFFFF"/>
                <w:sz w:val="20"/>
              </w:rPr>
              <w:t>Planned Task</w:t>
            </w:r>
          </w:p>
        </w:tc>
        <w:tc>
          <w:tcPr>
            <w:tcW w:type="dxa" w:w="2880"/>
            <w:shd w:val="clear" w:color="auto" w:fill="1A1A2E"/>
          </w:tcPr>
          <w:p>
            <w:r>
              <w:rPr>
                <w:b/>
                <w:color w:val="FFFFFF"/>
                <w:sz w:val="20"/>
              </w:rPr>
              <w:t>Target</w:t>
            </w:r>
          </w:p>
        </w:tc>
      </w:tr>
      <w:tr>
        <w:tc>
          <w:tcPr>
            <w:tcW w:type="dxa" w:w="2880"/>
          </w:tcPr>
          <w:p>
            <w:r>
              <w:rPr>
                <w:sz w:val="20"/>
              </w:rPr>
              <w:t>1</w:t>
            </w:r>
          </w:p>
        </w:tc>
        <w:tc>
          <w:tcPr>
            <w:tcW w:type="dxa" w:w="2880"/>
          </w:tcPr>
          <w:p>
            <w:r>
              <w:rPr>
                <w:sz w:val="20"/>
              </w:rPr>
              <w:t>PLOS ONE submission via Editorial Manager</w:t>
            </w:r>
          </w:p>
        </w:tc>
        <w:tc>
          <w:tcPr>
            <w:tcW w:type="dxa" w:w="2880"/>
          </w:tcPr>
          <w:p>
            <w:r>
              <w:rPr>
                <w:sz w:val="20"/>
              </w:rPr>
              <w:t>Week 4</w:t>
            </w:r>
          </w:p>
        </w:tc>
      </w:tr>
      <w:tr>
        <w:tc>
          <w:tcPr>
            <w:tcW w:type="dxa" w:w="2880"/>
          </w:tcPr>
          <w:p>
            <w:r>
              <w:rPr>
                <w:sz w:val="20"/>
              </w:rPr>
              <w:t>2</w:t>
            </w:r>
          </w:p>
        </w:tc>
        <w:tc>
          <w:tcPr>
            <w:tcW w:type="dxa" w:w="2880"/>
          </w:tcPr>
          <w:p>
            <w:r>
              <w:rPr>
                <w:sz w:val="20"/>
              </w:rPr>
              <w:t>Cross-age-band GNN benchmarking (NEONATE, INFANT, ADOLESCENT)</w:t>
            </w:r>
          </w:p>
        </w:tc>
        <w:tc>
          <w:tcPr>
            <w:tcW w:type="dxa" w:w="2880"/>
          </w:tcPr>
          <w:p>
            <w:r>
              <w:rPr>
                <w:sz w:val="20"/>
              </w:rPr>
              <w:t>Week 4–5</w:t>
            </w:r>
          </w:p>
        </w:tc>
      </w:tr>
      <w:tr>
        <w:tc>
          <w:tcPr>
            <w:tcW w:type="dxa" w:w="2880"/>
          </w:tcPr>
          <w:p>
            <w:r>
              <w:rPr>
                <w:sz w:val="20"/>
              </w:rPr>
              <w:t>3</w:t>
            </w:r>
          </w:p>
        </w:tc>
        <w:tc>
          <w:tcPr>
            <w:tcW w:type="dxa" w:w="2880"/>
          </w:tcPr>
          <w:p>
            <w:r>
              <w:rPr>
                <w:sz w:val="20"/>
              </w:rPr>
              <w:t>Formal usability evaluation (SUS / heuristic evaluation)</w:t>
            </w:r>
          </w:p>
        </w:tc>
        <w:tc>
          <w:tcPr>
            <w:tcW w:type="dxa" w:w="2880"/>
          </w:tcPr>
          <w:p>
            <w:r>
              <w:rPr>
                <w:sz w:val="20"/>
              </w:rPr>
              <w:t>Week 5–6</w:t>
            </w:r>
          </w:p>
        </w:tc>
      </w:tr>
      <w:tr>
        <w:tc>
          <w:tcPr>
            <w:tcW w:type="dxa" w:w="2880"/>
          </w:tcPr>
          <w:p>
            <w:r>
              <w:rPr>
                <w:sz w:val="20"/>
              </w:rPr>
              <w:t>4</w:t>
            </w:r>
          </w:p>
        </w:tc>
        <w:tc>
          <w:tcPr>
            <w:tcW w:type="dxa" w:w="2880"/>
          </w:tcPr>
          <w:p>
            <w:r>
              <w:rPr>
                <w:sz w:val="20"/>
              </w:rPr>
              <w:t>VigiBase / EudraVigilance comparison study</w:t>
            </w:r>
          </w:p>
        </w:tc>
        <w:tc>
          <w:tcPr>
            <w:tcW w:type="dxa" w:w="2880"/>
          </w:tcPr>
          <w:p>
            <w:r>
              <w:rPr>
                <w:sz w:val="20"/>
              </w:rPr>
              <w:t>Week 6</w:t>
            </w:r>
          </w:p>
        </w:tc>
      </w:tr>
      <w:tr>
        <w:tc>
          <w:tcPr>
            <w:tcW w:type="dxa" w:w="2880"/>
          </w:tcPr>
          <w:p>
            <w:r>
              <w:rPr>
                <w:sz w:val="20"/>
              </w:rPr>
              <w:t>5</w:t>
            </w:r>
          </w:p>
        </w:tc>
        <w:tc>
          <w:tcPr>
            <w:tcW w:type="dxa" w:w="2880"/>
          </w:tcPr>
          <w:p>
            <w:r>
              <w:rPr>
                <w:sz w:val="20"/>
              </w:rPr>
              <w:t>Final project presentation preparation</w:t>
            </w:r>
          </w:p>
        </w:tc>
        <w:tc>
          <w:tcPr>
            <w:tcW w:type="dxa" w:w="2880"/>
          </w:tcPr>
          <w:p>
            <w:r>
              <w:rPr>
                <w:sz w:val="20"/>
              </w:rPr>
              <w:t>Week 7</w:t>
            </w:r>
          </w:p>
        </w:tc>
      </w:tr>
    </w:tbl>
    <w:p/>
    <w:p/>
    <w:p>
      <w:r>
        <w:rPr>
          <w:b/>
        </w:rPr>
        <w:t>Prepared by:</w:t>
      </w:r>
    </w:p>
    <w:p>
      <w:r>
        <w:t>Atharv Telkar &amp; Amey Telkar</w:t>
      </w:r>
    </w:p>
    <w:p>
      <w:r>
        <w:t>Date: 05/10/2026</w:t>
      </w:r>
    </w:p>
    <w:p/>
    <w:p>
      <w:r>
        <w:rPr>
          <w:b/>
        </w:rPr>
        <w:t xml:space="preserve">Guide Signature: </w:t>
      </w:r>
      <w:r>
        <w:t>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