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S3 Table. READUS-PV Checklist for Disproportionality Analysis Reporting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Section/Topic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Item No.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Checklist Item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Reported on Page/Section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Database and study period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Specify the database(s) used and the time period of included reports</w:t>
            </w:r>
          </w:p>
        </w:tc>
        <w:tc>
          <w:tcPr>
            <w:tcW w:type="dxa" w:w="2160"/>
          </w:tcPr>
          <w:p>
            <w:r>
              <w:t>FAERS 2021Q1–2025Q4 (Methods, Data Curation, Cohort Construction, and Preprocessing, 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Drug exposure definition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Define how drug exposure was identified (generic names, brand names, ATC codes)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2.3); RxNorm normalisation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Event definition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Define how adverse events were coded (MedDRA level, version)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2.3); MedDRA Preferred Terms from REAC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Comparator/Reference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Define the reference group (full database, non-cases, specific comparators)</w:t>
            </w:r>
          </w:p>
        </w:tc>
        <w:tc>
          <w:tcPr>
            <w:tcW w:type="dxa" w:w="2160"/>
          </w:tcPr>
          <w:p>
            <w:r>
              <w:t>Full FAERS database (all other drug–event pairs)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Deduplication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deduplication strategy applied to the database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2.3); case-version deduplication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Restriction criteria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any restriction criteria applied to the analysis (age, sex, indication, reporter)</w:t>
            </w:r>
          </w:p>
        </w:tc>
        <w:tc>
          <w:tcPr>
            <w:tcW w:type="dxa" w:w="2160"/>
          </w:tcPr>
          <w:p>
            <w:r>
              <w:t>Restricted to adolescent age band 12.0–17.0 years (ICH E11(R1))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Disproportionality measures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which disproportionality measures were used (PRR, ROR, EBGM, IC)</w:t>
            </w:r>
          </w:p>
        </w:tc>
        <w:tc>
          <w:tcPr>
            <w:tcW w:type="dxa" w:w="2160"/>
          </w:tcPr>
          <w:p>
            <w:r>
              <w:t>PRR, ROR, EBGM, IC₀₂₅ (Methods, Baseline Models and Conventional Disproportionality Analysis, Section 2.5)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Signal threshold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State the thresholds used for signal detection</w:t>
            </w:r>
          </w:p>
        </w:tc>
        <w:tc>
          <w:tcPr>
            <w:tcW w:type="dxa" w:w="2160"/>
          </w:tcPr>
          <w:p>
            <w:r>
              <w:t>Methods, Baseline Models and Conventional Disproportionality Analysis (Section 2.5)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Stratification/adjustment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any stratification or adjustment applied</w:t>
            </w:r>
          </w:p>
        </w:tc>
        <w:tc>
          <w:tcPr>
            <w:tcW w:type="dxa" w:w="2160"/>
          </w:tcPr>
          <w:p>
            <w:r>
              <w:t>Primary suspect reports; age-restricted cohort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Sensitivity analyses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any sensitivity analyses performed for the disproportionality analysis</w:t>
            </w:r>
          </w:p>
        </w:tc>
        <w:tc>
          <w:tcPr>
            <w:tcW w:type="dxa" w:w="2160"/>
          </w:tcPr>
          <w:p>
            <w:r>
              <w:t>Cohort-definition sensitivity across four pharmacotherapy panels (Results, Section 3.6)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Masking/notoriety bias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Discuss the potential impact of masking, notoriety bias, or Weber effect</w:t>
            </w:r>
          </w:p>
        </w:tc>
        <w:tc>
          <w:tcPr>
            <w:tcW w:type="dxa" w:w="2160"/>
          </w:tcPr>
          <w:p>
            <w:r>
              <w:t>Discussion, Strengths and Limitations (Section 4.6)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Interpretation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Provide a clear interpretation noting that disproportionality does not imply causation</w:t>
            </w:r>
          </w:p>
        </w:tc>
        <w:tc>
          <w:tcPr>
            <w:tcW w:type="dxa" w:w="2160"/>
          </w:tcPr>
          <w:p>
            <w:r>
              <w:t>Discussion (Section 4); Fig 5 caption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Visualisation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Present results in appropriate tables or figures</w:t>
            </w:r>
          </w:p>
        </w:tc>
        <w:tc>
          <w:tcPr>
            <w:tcW w:type="dxa" w:w="2160"/>
          </w:tcPr>
          <w:p>
            <w:r>
              <w:t>Fig 5 (heatmap); Table for complementary ML/disproportionality findings (Section 3.8)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Reproducibility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Provide sufficient detail to allow reproducibility of the analysis</w:t>
            </w:r>
          </w:p>
        </w:tc>
        <w:tc>
          <w:tcPr>
            <w:tcW w:type="dxa" w:w="2160"/>
          </w:tcPr>
          <w:p>
            <w:r>
              <w:t>GitHub repository; Methods Sections 2.3–2.5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