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S7 Table. Temporal Dataset Shift Analysis</w:t>
      </w:r>
    </w:p>
    <w:p>
      <w:r>
        <w:t>Analysis of demographic, reporting, and model performance changes across the chronological data splits (training: 2021Q1-2023Q4, validation: 2024, test: 2025) for the broad obesity-related panel.</w:t>
      </w:r>
    </w:p>
    <w:p>
      <w:pPr>
        <w:pStyle w:val="Heading2"/>
      </w:pPr>
      <w:r>
        <w:t>Temporal Shift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Training (2021Q1-2023Q4)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Validation (2024)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Test (2025)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 (reports)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~8,400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~2,100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~1,100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Broad obesity panel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Female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Mean age (years)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Slight increase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Outcome missing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Increasing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Death outcome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Declining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Top drug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Metformin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Metformin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Metformin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Consistent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Top AE (PT)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Drug ineffective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Drug ineffective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Pruritus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SHIFT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drugs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Same panel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~650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~420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Fewer PTs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XGBoost Macro-F1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0.625 (CV)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Degradation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Death 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0.38 (CV)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Poor rare-class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LT 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0.29 (CV)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Poor rare-class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HO 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 (CV)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