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S9 Table. Quarter-wise FAERS reporting volume for the adolescent cohort (12-17 years) from 2021 to 2025 across all four drug-exposure panels.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Quarter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Adolescent Reports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Broad Obesity-Related</w:t>
              <w:br/>
              <w:t>Panel (14)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Selected Obesity</w:t>
              <w:br/>
              <w:t>Panel (4)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Broad Diabetes</w:t>
              <w:br/>
              <w:t>Panel (10)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Selected Diabetes</w:t>
              <w:br/>
              <w:t>Panel (4)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2021Q1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19,795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2021Q2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21,366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2021Q3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16,262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2021Q4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18,584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2022Q1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19,354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2022Q2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17,372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2022Q3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19,158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2022Q4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20,052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2023Q1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20,439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2023Q2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19,712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2023Q3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19,334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2023Q4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17,574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2024Q1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19,238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2024Q2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17,628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2024Q3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19,324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2024Q4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22,492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2025Q1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21,746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2025Q2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22,108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2025Q3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26,877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2025Q4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24,863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403,278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11,701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10,701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5,208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342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