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Atherv Telkar and Amey Telkar</w:t>
        <w:br/>
      </w:r>
      <w:r>
        <w:t>School of Computing, MIT Vishwaprayag University</w:t>
        <w:br/>
        <w:t>Solapur, Maharashtra, India</w:t>
        <w:br/>
        <w:t>Email: athervtelkar08@gmail.com | ameytelkar08@gmail.com</w:t>
        <w:br/>
        <w:br/>
      </w:r>
      <w:r>
        <w:t>21 August 2026</w:t>
        <w:br/>
        <w:br/>
      </w:r>
      <w:r>
        <w:t>Academic Editor</w:t>
        <w:br/>
        <w:t>PLOS ONE</w:t>
        <w:br/>
        <w:br/>
      </w:r>
    </w:p>
    <w:p>
      <w:r>
        <w:rPr>
          <w:b/>
        </w:rPr>
        <w:t>Subject: Resubmission of Manuscript PONE-D-26-39961 for Consideration as a Research Article</w:t>
      </w:r>
    </w:p>
    <w:p>
      <w:r>
        <w:t>Dear Academic Editor,</w:t>
      </w:r>
    </w:p>
    <w:p>
      <w:pPr>
        <w:jc w:val="both"/>
      </w:pPr>
      <w:r>
        <w:t>We are pleased to submit our revised manuscript entitled "Machine learning as a pharmacovigilance triage tool for serious adverse events in adolescents: A leakage-aware FAERS study" for consideration as a Research Article in PLOS ONE.</w:t>
      </w:r>
    </w:p>
    <w:p>
      <w:pPr>
        <w:jc w:val="both"/>
      </w:pPr>
      <w:r>
        <w:t>In response to the previous editorial decision regarding the strength of evidence supporting our conclusions (Criteria 3 and 4), we have extensively restructured and reframed our manuscript to rigorously demonstrate its true clinical utility. Previously, our manuscript focused heavily on the difficulties of exact multi-class classification and the impact of pseudo-label leakage. We have since shifted the core narrative to evaluate the model's performance as a practical triage tool designed to distinguish Serious from Non-Serious cases.</w:t>
      </w:r>
    </w:p>
    <w:p>
      <w:pPr>
        <w:jc w:val="both"/>
      </w:pPr>
      <w:r>
        <w:t>The updated evaluation firmly supports the model's operational utility. While separating ambiguous multi-class regulatory outcomes remains noisy, our leakage-aware temporal validation proves the model is highly effective at risk-stratification. It successfully identifies severe pathology with 95.7\% (113/118) precision in the top 5\% of prioritized cases and 89.3\% (419/469) precision in the top 20\%, establishing it as a highly practical prioritization tool capable of streamlining human safety review.</w:t>
      </w:r>
    </w:p>
    <w:p>
      <w:pPr>
        <w:jc w:val="both"/>
      </w:pPr>
      <w:r>
        <w:t>Furthermore, we have updated the manuscript structure to strictly adhere to PLOS ONE guidelines. This includes adding robust statistical confidence intervals (via 1,000-resample bootstrapping) and pairwise significance testing (McNemar's) for all key metrics. We have also ensured full compliance with reporting guidelines (TRIPOD+AI, STROBE, and READUS-PV), relocated the Ethics Statement, formatted a standalone Acknowledgments section, and included all relevant software versions and public GitHub repository links directly in the Methods section.</w:t>
      </w:r>
    </w:p>
    <w:p>
      <w:pPr>
        <w:jc w:val="both"/>
      </w:pPr>
      <w:r>
        <w:t>This manuscript contains original research that has not been published previously and is not under consideration elsewhere. All authors have reviewed the revised manuscript, approved the final version, and agree to be accountable for all aspects of the work. There are no competing interests to declare. We have no prior interactions with PLOS ONE regarding this manuscript other than the original submission (PONE-D-26-39961) and this revision.</w:t>
      </w:r>
    </w:p>
    <w:p>
      <w:pPr>
        <w:jc w:val="both"/>
      </w:pPr>
      <w:r>
        <w:t>We respectfully suggest Dr. [Editor Name] or Dr. [Editor Name] as Academic Editors given their expertise in clinical informatics and pharmacovigilance. We have no opposed reviewers.</w:t>
      </w:r>
    </w:p>
    <w:p>
      <w:pPr>
        <w:jc w:val="both"/>
      </w:pPr>
      <w:r>
        <w:t>We believe this study represents a major methodological benchmark that will significantly benefit the PLOS ONE readership interested in digital health, drug safety, and the robust evaluation of machine learning in clinical informatics. Thank you for your time and consideration.</w:t>
      </w:r>
    </w:p>
    <w:p>
      <w:r>
        <w:br/>
        <w:t>Sincerely,</w:t>
        <w:br/>
      </w:r>
    </w:p>
    <w:p>
      <w:r>
        <w:rPr>
          <w:b/>
        </w:rPr>
        <w:t>Atherv Telkar and Amey Telkar</w:t>
        <w:br/>
      </w:r>
      <w:r>
        <w:t>Co-first Authors</w:t>
        <w:br/>
        <w:t>MIT Vishwaprayag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