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br/>
      </w:r>
    </w:p>
    <w:p>
      <w:pPr>
        <w:pStyle w:val="BodyText"/>
      </w:pPr>
      <w:r>
        <w:rPr>
          <w:bCs/>
          <w:b/>
        </w:rPr>
        <w:t xml:space="preserve">Safety of anti-obesity and anti-diabetic medications in adolescents: A disproportionality analysis and machine-learning validation from 2021-2025 on the basis of the FAERS database</w:t>
      </w:r>
    </w:p>
    <w:p>
      <w:pPr>
        <w:pStyle w:val="BodyText"/>
      </w:pPr>
      <w:r>
        <w:rPr>
          <w:bCs/>
          <w:b/>
        </w:rPr>
        <w:t xml:space="preserve">Short title:</w:t>
      </w:r>
      <w:r>
        <w:t xml:space="preserve"> </w:t>
      </w:r>
      <w:r>
        <w:t xml:space="preserve">Adolescent anti-obesity and anti-diabetic drug safety via FAERS disproportionality analysis</w:t>
      </w:r>
    </w:p>
    <w:p>
      <w:pPr>
        <w:pStyle w:val="BodyText"/>
      </w:pPr>
      <w:r>
        <w:t xml:space="preserve">Atherv Telkar</w:t>
      </w:r>
      <w:r>
        <w:rPr>
          <w:vertAlign w:val="superscript"/>
        </w:rPr>
        <w:t xml:space="preserve">1,¶,*</w:t>
      </w:r>
      <w:r>
        <w:t xml:space="preserve">,</w:t>
      </w:r>
      <w:r>
        <w:t xml:space="preserve"> </w:t>
      </w:r>
      <w:r>
        <w:t xml:space="preserve">Amey Telkar</w:t>
      </w:r>
      <w:r>
        <w:rPr>
          <w:vertAlign w:val="superscript"/>
        </w:rPr>
        <w:t xml:space="preserve">1,¶,*</w:t>
      </w:r>
      <w:r>
        <w:t xml:space="preserve">,</w:t>
      </w:r>
      <w:r>
        <w:t xml:space="preserve"> </w:t>
      </w:r>
      <w:r>
        <w:t xml:space="preserve">Akshay Javalgikar</w:t>
      </w:r>
      <w:r>
        <w:rPr>
          <w:vertAlign w:val="superscript"/>
        </w:rPr>
        <w:t xml:space="preserve">2</w:t>
      </w:r>
      <w:r>
        <w:t xml:space="preserve">,</w:t>
      </w:r>
      <w:r>
        <w:t xml:space="preserve"> </w:t>
      </w:r>
      <w:r>
        <w:t xml:space="preserve">Nitin Madanwale</w:t>
      </w:r>
      <w:r>
        <w:rPr>
          <w:vertAlign w:val="superscript"/>
        </w:rPr>
        <w:t xml:space="preserve">2</w:t>
      </w:r>
      <w:r>
        <w:t xml:space="preserve">,</w:t>
      </w:r>
      <w:r>
        <w:t xml:space="preserve"> </w:t>
      </w:r>
      <w:r>
        <w:t xml:space="preserve">Darshan Ruikar</w:t>
      </w:r>
      <w:r>
        <w:rPr>
          <w:vertAlign w:val="superscript"/>
        </w:rPr>
        <w:t xml:space="preserve">1</w:t>
      </w:r>
      <w:r>
        <w:t xml:space="preserve">,</w:t>
      </w:r>
      <w:r>
        <w:t xml:space="preserve"> </w:t>
      </w:r>
      <w:r>
        <w:t xml:space="preserve">Preethi Baligar</w:t>
      </w:r>
      <w:r>
        <w:rPr>
          <w:vertAlign w:val="superscript"/>
        </w:rPr>
        <w:t xml:space="preserve">1</w:t>
      </w:r>
    </w:p>
    <w:p>
      <w:pPr>
        <w:pStyle w:val="BodyText"/>
      </w:pPr>
      <w:r>
        <w:rPr>
          <w:bCs/>
          <w:b/>
        </w:rPr>
        <w:t xml:space="preserve">1</w:t>
      </w:r>
      <w:r>
        <w:t xml:space="preserve"> </w:t>
      </w:r>
      <w:r>
        <w:t xml:space="preserve">School of Computing, Maharashtra Institute of Technology</w:t>
      </w:r>
      <w:r>
        <w:t xml:space="preserve"> </w:t>
      </w:r>
      <w:r>
        <w:t xml:space="preserve">(MIT) Vishwaprayag University, Solapur, Maharashtra, India</w:t>
      </w:r>
      <w:r>
        <w:br/>
      </w:r>
      <w:r>
        <w:rPr>
          <w:bCs/>
          <w:b/>
        </w:rPr>
        <w:t xml:space="preserve">2</w:t>
      </w:r>
      <w:r>
        <w:t xml:space="preserve"> </w:t>
      </w:r>
      <w:r>
        <w:t xml:space="preserve">School of Pharmacy, Maharashtra Institute of Technology</w:t>
      </w:r>
      <w:r>
        <w:t xml:space="preserve"> </w:t>
      </w:r>
      <w:r>
        <w:t xml:space="preserve">(MIT) Vishwaprayag University, Solapur, Maharashtra, India</w:t>
      </w:r>
    </w:p>
    <w:p>
      <w:pPr>
        <w:pStyle w:val="BodyText"/>
      </w:pPr>
      <w:r>
        <w:t xml:space="preserve">¶These authors contributed equally to this work.</w:t>
      </w:r>
      <w:r>
        <w:br/>
      </w:r>
      <w:r>
        <w:t xml:space="preserve">* Corresponding authors.</w:t>
      </w:r>
      <w:r>
        <w:br/>
      </w:r>
      <w:r>
        <w:t xml:space="preserve">E-mail: athervtelkar08@gmail.com (AT); ameytelkar08@gmail.com (AmT)</w:t>
      </w:r>
    </w:p>
    <w:p>
      <w:pPr>
        <w:pStyle w:val="BodyText"/>
      </w:pPr>
      <w:r>
        <w:t xml:space="preserve">%% —- ABSTRACT —-</w:t>
      </w:r>
    </w:p>
    <w:bookmarkStart w:id="24" w:name="abstract"/>
    <w:p>
      <w:pPr>
        <w:pStyle w:val="Heading1"/>
      </w:pPr>
      <w:r>
        <w:t xml:space="preserve">Abstract</w:t>
      </w:r>
    </w:p>
    <w:bookmarkStart w:id="20" w:name="background"/>
    <w:p>
      <w:pPr>
        <w:pStyle w:val="Heading2"/>
      </w:pPr>
      <w:r>
        <w:t xml:space="preserve">Background</w:t>
      </w:r>
    </w:p>
    <w:p>
      <w:pPr>
        <w:pStyle w:val="FirstParagraph"/>
      </w:pPr>
      <w:r>
        <w:t xml:space="preserve">Adolescent obesity and type 2 diabetes have risen sharply, driving increased prescribing of anti-obesity and anti-diabetic agents in patients aged 12-17 years, many prescribed off-label with limited post-marketing safety data. This study aimed to analyse adverse events (AEs) associated with these medications in adolescents using the FDA Adverse Event Reporting System (FAERS).</w:t>
      </w:r>
    </w:p>
    <w:bookmarkEnd w:id="20"/>
    <w:bookmarkStart w:id="21" w:name="methods"/>
    <w:p>
      <w:pPr>
        <w:pStyle w:val="Heading2"/>
      </w:pPr>
      <w:r>
        <w:t xml:space="preserve">Methods</w:t>
      </w:r>
    </w:p>
    <w:p>
      <w:pPr>
        <w:pStyle w:val="FirstParagraph"/>
      </w:pPr>
      <w:r>
        <w:t xml:space="preserve">AE reports for adolescents aged 12-17 years were extracted from FAERS (2021Q1-2025Q4). Fourteen obesity-related and 10 diabetes-related medications were included. AEs were classified using MedDRA (version 28.1) at the Preferred Term level. Signal detection used four disproportionality methods (ROR, PRR, IC, EBGM), complemented by an XGBoost classifier for case-level outcome triage.</w:t>
      </w:r>
    </w:p>
    <w:bookmarkEnd w:id="21"/>
    <w:bookmarkStart w:id="22" w:name="results"/>
    <w:p>
      <w:pPr>
        <w:pStyle w:val="Heading2"/>
      </w:pPr>
      <w:r>
        <w:t xml:space="preserve">Results</w:t>
      </w:r>
    </w:p>
    <w:p>
      <w:pPr>
        <w:pStyle w:val="FirstParagraph"/>
      </w:pPr>
      <w:r>
        <w:t xml:space="preserve">From 7,612,804 raw FAERS records, 403,278 adolescent reports were identified (11,701 obesity-related panel; 5,208 diabetes-related panel; approximately 54% female; mean age 14.57 years). Applying the stated criteria (N ≥ 3 and 95% CI lower bound &gt; 1), 360 drug-event pairs met the ROR signal threshold. Key disproportionality signals included metformin-lactic acidosis (ROR = 61.22, 95% CI 25.21-148.68, N = 214), atorvastatin-myalgia (ROR = 16.89, N = 46), and dapagliflozin-cardiac failure (ROR = 40.24, N = 30). A semaglutide-optic ischaemic neuropathy association showed an extreme ROR (439.23, N = 14) which also met the EBGM shrinkage criterion (EBGM = 18.79, EB05 = 11.67), qualifying it as a four-metric concordant signal warranting further investigation. The XGBoost model achieved a temporal Macro-F1 of 0.389 on the obesity-related panel, significantly outperforming learned baselines (McNemar’s p &lt; 0.001); a random-split Macro-F1 of 0.629 is reported for comparison only, as that pipeline fitted preprocessing before splitting. The PT-term lookup heuristic exceeded XGBoost (Macro-F1 0.594), reflecting partial label derivation from adverse-event terms.</w:t>
      </w:r>
    </w:p>
    <w:bookmarkEnd w:id="22"/>
    <w:bookmarkStart w:id="23" w:name="conclusion"/>
    <w:p>
      <w:pPr>
        <w:pStyle w:val="Heading2"/>
      </w:pPr>
      <w:r>
        <w:t xml:space="preserve">Conclusion</w:t>
      </w:r>
    </w:p>
    <w:p>
      <w:pPr>
        <w:pStyle w:val="FirstParagraph"/>
      </w:pPr>
      <w:r>
        <w:t xml:space="preserve">This study provides a comprehensive assessment combining broad adolescent medication panels, multi-metric disproportionality analysis, and case-level machine learning outcome triage. The findings confirm known signals while identifying reporting patterns warranting further investigation, and may inform clinical practice and regulatory monitoring for this vulnerable population.</w:t>
      </w:r>
    </w:p>
    <w:p>
      <w:pPr>
        <w:pStyle w:val="BodyText"/>
      </w:pPr>
      <w:r>
        <w:t xml:space="preserve">%% —- INTRODUCTION —-</w:t>
      </w:r>
    </w:p>
    <w:bookmarkEnd w:id="23"/>
    <w:bookmarkEnd w:id="24"/>
    <w:bookmarkStart w:id="25" w:name="introduction"/>
    <w:p>
      <w:pPr>
        <w:pStyle w:val="Heading1"/>
      </w:pPr>
      <w:r>
        <w:t xml:space="preserve">Introduction</w:t>
      </w:r>
    </w:p>
    <w:p>
      <w:pPr>
        <w:pStyle w:val="FirstParagraph"/>
      </w:pPr>
      <w:r>
        <w:t xml:space="preserve">Adolescent obesity and type 2 diabetes mellitus have emerged as critical public health challenges over the past two decades. Among U.S. youth aged 2-19 years, obesity prevalence rose from 19.3% in 2017-2018 to 21.1% in 2021-2023 [1], with the sharpest increases observed among adolescents aged 12-17 years. Concurrently, the incidence of type 2 diabetes in youth has been climbing at approximately 4.8% per year [2], driven by the parallel rise in childhood obesity. These intertwined epidemics have led to increasingly early pharmacological intervention in adolescent populations.</w:t>
      </w:r>
    </w:p>
    <w:p>
      <w:pPr>
        <w:pStyle w:val="BodyText"/>
      </w:pPr>
      <w:r>
        <w:t xml:space="preserve">The pharmacological landscape for adolescent obesity and diabetes has expanded considerably. Anti-obesity medications (AOMs) now available or used off-label in this population include GLP-1 receptor agonists (semaglutide, liraglutide), lipase inhibitors (orlistat), and combination therapies (phentermine-topiramate). For type 2 diabetes, metformin remains the first-line agent [3], supplemented by insulin preparations, SGLT2 inhibitors (empagliflozin), DPP-4 inhibitors (sitagliptin), and newer GLP-1 receptor agonists. While some of these agents have received paediatric indications (semaglutide 2.4 mg was approved by the FDA for adolescents ≥12 years with obesity in December 2020 [4], and liraglutide 3.0 mg for the same indication in 2020 [5]), many others are prescribed off-label with limited clinical trial safety data specific to this age group, consistent with broader FAERS reporting patterns in paediatric populations, where off-label use is the single most frequently reported adverse-event category [6].</w:t>
      </w:r>
    </w:p>
    <w:p>
      <w:pPr>
        <w:pStyle w:val="BodyText"/>
      </w:pPr>
      <w:r>
        <w:t xml:space="preserve">Children and adolescents are not simply</w:t>
      </w:r>
      <w:r>
        <w:t xml:space="preserve"> </w:t>
      </w:r>
      <w:r>
        <w:t xml:space="preserve">“</w:t>
      </w:r>
      <w:r>
        <w:t xml:space="preserve">small adults</w:t>
      </w:r>
      <w:r>
        <w:t xml:space="preserve">”</w:t>
      </w:r>
      <w:r>
        <w:t xml:space="preserve">; their pharmacokinetics differ substantially due to developmental variations in hepatic metabolism, renal clearance, body composition, and neuroendocrine regulation [6,7]. These age-specific pharmacological and pharmacokinetic variations may predispose adolescent populations to increased drug toxicity risks or to adverse event profiles that diverge from those documented in adult populations. Of particular concern are gastrointestinal effects of GLP-1 agonists [8], the metabolic acidosis risk with metformin [9], psychiatric effects including suicidal ideation reported with some AOMs [10], and cardiovascular safety in a population with developing cardiac systems [7].</w:t>
      </w:r>
    </w:p>
    <w:p>
      <w:pPr>
        <w:pStyle w:val="BodyText"/>
      </w:pPr>
      <w:r>
        <w:t xml:space="preserve">Post-marketing pharmacovigilance through the FDA Adverse Event Reporting System (FAERS) has become an essential tool for identifying drug safety signals that clinical trials, often limited in sample size and duration, cannot detect [11,12]. Disproportionality analysis, which compares the observed reporting frequency of a specific drug-event combination against the expected frequency based on the entire database, has been widely used to detect safety signals across a broad range of drug classes and populations [13,14]. Recent studies have applied these methods to antidepressants in children aged 6-17 years [13], respiratory medications [15] and TNF-α inhibitors [16] in paediatric patients, and, in the general population, to drug-induced acute respiratory distress syndrome [14] and drug-related cardiovascular risk [17], the latter using the same four-metric framework adopted here. However, no study has systematically analysed the full spectrum of anti-obesity and anti-diabetic drug safety signals specifically in adolescents using FAERS data with multiple disproportionality metrics.</w:t>
      </w:r>
    </w:p>
    <w:p>
      <w:pPr>
        <w:pStyle w:val="BodyText"/>
      </w:pPr>
      <w:r>
        <w:t xml:space="preserve">To address this gap, the current study employed the FAERS database covering 2021Q1-2025Q4 to conduct a comprehensive evaluation of adverse events associated with commonly prescribed obesity-related and anti-diabetic medications in adolescents aged 12-17 years. The study applied four established signal detection methods (PRR, ROR, IC, EBGM) for population-level analysis, complemented by a machine-learning model (XGBoost) for case-level outcome triage. Through this dual-method approach, the analysis aims to provide evidence-based guidance for clinical practice and regulatory monitoring in this vulnerable population.</w:t>
      </w:r>
    </w:p>
    <w:p>
      <w:pPr>
        <w:pStyle w:val="BodyText"/>
      </w:pPr>
      <w:r>
        <w:t xml:space="preserve">%% —- MATERIALS AND METHODS —-</w:t>
      </w:r>
    </w:p>
    <w:bookmarkEnd w:id="25"/>
    <w:bookmarkStart w:id="34" w:name="materials-and-methods"/>
    <w:p>
      <w:pPr>
        <w:pStyle w:val="Heading1"/>
      </w:pPr>
      <w:r>
        <w:t xml:space="preserve">Materials and methods</w:t>
      </w:r>
    </w:p>
    <w:bookmarkStart w:id="26" w:name="ethics-statement"/>
    <w:p>
      <w:pPr>
        <w:pStyle w:val="Heading2"/>
      </w:pPr>
      <w:r>
        <w:t xml:space="preserve">Ethics statement</w:t>
      </w:r>
    </w:p>
    <w:p>
      <w:pPr>
        <w:pStyle w:val="FirstParagraph"/>
      </w:pPr>
      <w:r>
        <w:t xml:space="preserve">This study used publicly available ASCII text data files from the FAERS database, covering the period 2021Q1-2025Q4. As these files are de-identified and no personally identifiable information was accessed, formal ethical approval was not required. All procedures adhered to the ethical principles of the Declaration of Helsinki.</w:t>
      </w:r>
    </w:p>
    <w:bookmarkEnd w:id="26"/>
    <w:bookmarkStart w:id="28" w:name="research-subjects"/>
    <w:p>
      <w:pPr>
        <w:pStyle w:val="Heading2"/>
      </w:pPr>
      <w:r>
        <w:t xml:space="preserve">Research subjects</w:t>
      </w:r>
    </w:p>
    <w:p>
      <w:pPr>
        <w:pStyle w:val="FirstParagraph"/>
      </w:pPr>
      <w:r>
        <w:t xml:space="preserve">The study examined two therapeutic panels of medications commonly prescribed to adolescents for obesity and type 2 diabetes management, summarised in Table 1.</w:t>
      </w:r>
    </w:p>
    <w:p>
      <w:pPr>
        <w:pStyle w:val="BodyText"/>
      </w:pPr>
      <w:r>
        <w:t xml:space="preserve">%% Table 1: Drug panels</w:t>
      </w:r>
    </w:p>
    <w:bookmarkStart w:id="27" w:name="tab:panels"/>
    <w:p>
      <w:pPr>
        <w:pStyle w:val="TableCaption"/>
      </w:pPr>
      <w:r>
        <w:t xml:space="preserve">Drug panels included in the disproportionality analysis.</w:t>
      </w:r>
    </w:p>
    <w:tbl>
      <w:tblPr>
        <w:tblStyle w:val="Table"/>
        <w:tblW w:type="auto" w:w="0"/>
        <w:tblLook w:firstRow="1" w:lastRow="0" w:firstColumn="0" w:lastColumn="0" w:noHBand="0" w:noVBand="0" w:val="0020"/>
        <w:jc w:val="start"/>
        <w:tblCaption w:val="Drug panels included in the disproportionality analysis."/>
      </w:tblPr>
      <w:tblGrid>
        <w:gridCol w:w="2640"/>
        <w:gridCol w:w="2640"/>
        <w:gridCol w:w="2640"/>
      </w:tblGrid>
      <w:tr>
        <w:trPr>
          <w:tblHeader w:val="true"/>
        </w:trPr>
        <w:tc>
          <w:tcPr/>
          <w:p>
            <w:pPr>
              <w:pStyle w:val="Compact"/>
              <w:jc w:val="left"/>
            </w:pPr>
            <w:r>
              <w:rPr>
                <w:bCs/>
                <w:b/>
              </w:rPr>
              <w:t xml:space="preserve">Panel</w:t>
            </w:r>
          </w:p>
        </w:tc>
        <w:tc>
          <w:tcPr/>
          <w:p>
            <w:pPr>
              <w:pStyle w:val="Compact"/>
              <w:jc w:val="center"/>
            </w:pPr>
            <w:r>
              <w:rPr>
                <w:bCs/>
                <w:b/>
              </w:rPr>
              <w:t xml:space="preserve">N</w:t>
            </w:r>
          </w:p>
        </w:tc>
        <w:tc>
          <w:tcPr/>
          <w:p>
            <w:pPr>
              <w:pStyle w:val="Compact"/>
              <w:jc w:val="left"/>
            </w:pPr>
            <w:r>
              <w:rPr>
                <w:bCs/>
                <w:b/>
              </w:rPr>
              <w:t xml:space="preserve">Drugs</w:t>
            </w:r>
          </w:p>
        </w:tc>
      </w:tr>
      <w:tr>
        <w:tc>
          <w:tcPr/>
          <w:p>
            <w:pPr>
              <w:pStyle w:val="Compact"/>
              <w:jc w:val="left"/>
            </w:pPr>
            <w:r>
              <w:t xml:space="preserve">Broad obesity-related (14 drugs)</w:t>
            </w:r>
          </w:p>
        </w:tc>
        <w:tc>
          <w:tcPr/>
          <w:p>
            <w:pPr>
              <w:pStyle w:val="Compact"/>
              <w:jc w:val="center"/>
            </w:pPr>
            <w:r>
              <w:t xml:space="preserve">11,701</w:t>
            </w:r>
          </w:p>
        </w:tc>
        <w:tc>
          <w:tcPr/>
          <w:p>
            <w:pPr>
              <w:pStyle w:val="Compact"/>
              <w:jc w:val="left"/>
            </w:pPr>
            <w:r>
              <w:t xml:space="preserve">Metformin, atorvastatin, lisinopril, losartan, semaglutide, liraglutide, tirzepatide, orlistat, empagliflozin, dapagliflozin, sitagliptin, glipizide, pioglitazone, insulin (regular, aspart, glargine, lispro)</w:t>
            </w:r>
          </w:p>
        </w:tc>
      </w:tr>
      <w:tr>
        <w:tc>
          <w:tcPr/>
          <w:p>
            <w:pPr>
              <w:pStyle w:val="Compact"/>
              <w:jc w:val="left"/>
            </w:pPr>
            <w:r>
              <w:t xml:space="preserve">Selected obesity-related (4 drugs)</w:t>
            </w:r>
          </w:p>
        </w:tc>
        <w:tc>
          <w:tcPr/>
          <w:p>
            <w:pPr>
              <w:pStyle w:val="Compact"/>
              <w:jc w:val="center"/>
            </w:pPr>
            <w:r>
              <w:t xml:space="preserve">10,701</w:t>
            </w:r>
          </w:p>
        </w:tc>
        <w:tc>
          <w:tcPr/>
          <w:p>
            <w:pPr>
              <w:pStyle w:val="Compact"/>
              <w:jc w:val="left"/>
            </w:pPr>
            <w:r>
              <w:t xml:space="preserve">Metformin, atorvastatin, lisinopril, losartan</w:t>
            </w:r>
          </w:p>
        </w:tc>
      </w:tr>
      <w:tr>
        <w:tc>
          <w:tcPr/>
          <w:p>
            <w:pPr>
              <w:pStyle w:val="Compact"/>
              <w:jc w:val="left"/>
            </w:pPr>
            <w:r>
              <w:t xml:space="preserve">Broad diabetes-related (10 drugs)</w:t>
            </w:r>
          </w:p>
        </w:tc>
        <w:tc>
          <w:tcPr/>
          <w:p>
            <w:pPr>
              <w:pStyle w:val="Compact"/>
              <w:jc w:val="center"/>
            </w:pPr>
            <w:r>
              <w:t xml:space="preserve">5,208</w:t>
            </w:r>
          </w:p>
        </w:tc>
        <w:tc>
          <w:tcPr/>
          <w:p>
            <w:pPr>
              <w:pStyle w:val="Compact"/>
              <w:jc w:val="left"/>
            </w:pPr>
            <w:r>
              <w:t xml:space="preserve">Semaglutide, liraglutide, tirzepatide, empagliflozin, dapagliflozin, sitagliptin, glipizide, pioglitazone, insulin (aspart, regular, lispro, glargine), metformin</w:t>
            </w:r>
          </w:p>
        </w:tc>
      </w:tr>
      <w:tr>
        <w:tc>
          <w:tcPr/>
          <w:p>
            <w:pPr>
              <w:pStyle w:val="Compact"/>
              <w:jc w:val="left"/>
            </w:pPr>
            <w:r>
              <w:t xml:space="preserve">Selected diabetes-related (4 drugs)</w:t>
            </w:r>
          </w:p>
        </w:tc>
        <w:tc>
          <w:tcPr/>
          <w:p>
            <w:pPr>
              <w:pStyle w:val="Compact"/>
              <w:jc w:val="center"/>
            </w:pPr>
            <w:r>
              <w:t xml:space="preserve">342</w:t>
            </w:r>
          </w:p>
        </w:tc>
        <w:tc>
          <w:tcPr/>
          <w:p>
            <w:pPr>
              <w:pStyle w:val="Compact"/>
              <w:jc w:val="left"/>
            </w:pPr>
            <w:r>
              <w:t xml:space="preserve">Semaglutide, liraglutide, tirzepatide, empagliflozin</w:t>
            </w:r>
          </w:p>
        </w:tc>
      </w:tr>
    </w:tbl>
    <w:bookmarkEnd w:id="27"/>
    <w:p>
      <w:pPr>
        <w:pStyle w:val="BodyText"/>
      </w:pPr>
      <w:r>
        <w:t xml:space="preserve">The broad obesity-related panel included both anti-obesity and commonly co-prescribed medications in adolescents with obesity-related comorbidities (hypertension, dyslipidaemia, type 2 diabetes). The selected obesity-related panel comprised the four most frequently prescribed agents in this population. It should be noted explicitly that these four agents (metformin, atorvastatin, lisinopril, losartan) are not themselves anti-obesity medications; they are a biguanide, a statin, an ACE inhibitor, and an angiotensin receptor blocker, respectively, and are included because they dominate the prescribing profile of adolescents managed for obesity-related comorbidity. The label</w:t>
      </w:r>
      <w:r>
        <w:t xml:space="preserve"> </w:t>
      </w:r>
      <w:r>
        <w:t xml:space="preserve">“</w:t>
      </w:r>
      <w:r>
        <w:t xml:space="preserve">obesity-related</w:t>
      </w:r>
      <w:r>
        <w:t xml:space="preserve">”</w:t>
      </w:r>
      <w:r>
        <w:t xml:space="preserve"> </w:t>
      </w:r>
      <w:r>
        <w:t xml:space="preserve">therefore denotes the clinical context of prescribing rather than the pharmacological class, and results from this panel should be read accordingly. The selected diabetes-related panel comprised newer agents with emerging adolescent safety data.</w:t>
      </w:r>
    </w:p>
    <w:p>
      <w:pPr>
        <w:pStyle w:val="BodyText"/>
      </w:pPr>
      <w:r>
        <w:t xml:space="preserve">While the initial research scope included a broader set of medications, preliminary data analysis indicated insufficient AE reports for several agents to support a comprehensive safety evaluation within the adolescent age band. The drugs listed above were those with adequate reporting volume (≥3 reports for at least one drug-event combination) to permit meaningful disproportionality analysis. Drug names were normalised to standardised RxNorm Concept Unique Identifiers (RxCUIs) using the National Library of Medicine RxNorm REST API, with secondary fuzzy matching (RapidFuzz, threshold ≥85) for variants not resolved by the API. Several medications (e.g., metformin, dapagliflozin, semaglutide, empagliflozin, tirzepatide) were evaluated in both the obesity and diabetes panels. Where a single active ingredient appeared under more than one product entry (for example insulin lispro and insulin lispro Junior KwikPen), the per-drug case totals quoted in the Results are the sum across those entries, whereas S8 Table reports each product entry separately. Consequently, the per-drug case counts reported in the Results section are pooled totals across both panels to reflect the complete adolescent reporting volume for each agent. Certain agents that form part of the adolescent anti-obesity treatment landscape, notably orlistat and the phentermine-topiramate combination, were screened but yielded too few adolescent reports to support disproportionality estimation; they are therefore listed in the panel definition but do not appear in the drug-specific results, and their absence should not be read as evidence of a favourable safety profile.</w:t>
      </w:r>
    </w:p>
    <w:bookmarkEnd w:id="28"/>
    <w:bookmarkStart w:id="29" w:name="data-source-and-preprocessing"/>
    <w:p>
      <w:pPr>
        <w:pStyle w:val="Heading2"/>
      </w:pPr>
      <w:r>
        <w:t xml:space="preserve">Data source and preprocessing</w:t>
      </w:r>
    </w:p>
    <w:p>
      <w:pPr>
        <w:pStyle w:val="FirstParagraph"/>
      </w:pPr>
      <w:r>
        <w:t xml:space="preserve">The FAERS database is a publicly accessible pharmacovigilance repository maintained by the FDA and refreshed on a quarterly basis; it formed the sole data source for this retrospective analysis [18]. The study downloaded 20 consecutive quarters of ASCII data files from 2021Q1 through 2025Q4, encompassing the demographic (DEMO), drug (DRUG), reaction (REAC), outcome (OUTC), therapy (THER), indication (INDI), and report-source (RPSR) tables. Following FDA guidelines, the dataset was processed by removing duplicate reports, retaining only the most recent version of each case based on the</w:t>
      </w:r>
      <w:r>
        <w:t xml:space="preserve"> </w:t>
      </w:r>
      <w:r>
        <w:rPr>
          <w:rStyle w:val="VerbatimChar"/>
        </w:rPr>
        <w:t xml:space="preserve">FDA_DT</w:t>
      </w:r>
      <w:r>
        <w:t xml:space="preserve"> </w:t>
      </w:r>
      <w:r>
        <w:t xml:space="preserve">field. Analyses were restricted to reports involving patients aged 12-17 years (adolescents). AEs were classified using the Medical Dictionary for Regulatory Activities (MedDRA, version 28.1) [19], with events coded at the Preferred Term (PT) level and mapped to System Organ Class (SOC) and High Level Group Term (HLGT) categories. Preferred Terms in the FAERS REAC files arrive pre-coded by the FDA using the MedDRA version current at each quarterly extract; the authors used MedDRA version 28.1 specifically for mapping those PTs to primary System Organ Class and HLGT. The study design is illustrated in Fig 1.</w:t>
      </w:r>
    </w:p>
    <w:p>
      <w:pPr>
        <w:pStyle w:val="BodyText"/>
      </w:pPr>
      <w:r>
        <w:rPr>
          <w:bCs/>
          <w:b/>
        </w:rPr>
        <w:t xml:space="preserve">Fig 1.</w:t>
      </w:r>
      <w:r>
        <w:t xml:space="preserve"> </w:t>
      </w:r>
      <w:r>
        <w:t xml:space="preserve">Study flowchart of FAERS reports. STROBE-compliant case-selection flow from 7,612,804 raw FAERS records through deduplication (6,985,217 cases), age restriction to 12-17 years (403,278 reports), and drug-panel filtering to the final analytical cohorts.</w:t>
      </w:r>
    </w:p>
    <w:bookmarkEnd w:id="29"/>
    <w:bookmarkStart w:id="32" w:name="data-analysis"/>
    <w:p>
      <w:pPr>
        <w:pStyle w:val="Heading2"/>
      </w:pPr>
      <w:r>
        <w:t xml:space="preserve">Data analysis</w:t>
      </w:r>
    </w:p>
    <w:p>
      <w:pPr>
        <w:pStyle w:val="FirstParagraph"/>
      </w:pPr>
      <w:r>
        <w:t xml:space="preserve">Potential AE signals were flagged using the fourfold disproportionality framework (Table 2), scored against four established detection algorithms (Table 3). Rather than relying on a single metric, this multi-algorithm approach cross-checks each candidate signal along two independent axes: how strongly the drug-event pair is statistically associated (intensity) and how often it has actually been reported (frequency).</w:t>
      </w:r>
    </w:p>
    <w:p>
      <w:pPr>
        <w:pStyle w:val="BodyText"/>
      </w:pPr>
      <w:r>
        <w:t xml:space="preserve">%% Table 2: Fourfold table</w:t>
      </w:r>
    </w:p>
    <w:bookmarkStart w:id="30" w:name="tab:fourfold"/>
    <w:p>
      <w:pPr>
        <w:pStyle w:val="TableCaption"/>
      </w:pPr>
      <w:r>
        <w:t xml:space="preserve">Fourfold table for disproportionality analyses.</w:t>
      </w:r>
    </w:p>
    <w:tbl>
      <w:tblPr>
        <w:tblStyle w:val="Table"/>
        <w:tblW w:type="auto" w:w="0"/>
        <w:tblLook w:firstRow="1" w:lastRow="0" w:firstColumn="0" w:lastColumn="0" w:noHBand="0" w:noVBand="0" w:val="0020"/>
        <w:jc w:val="start"/>
        <w:tblCaption w:val="Fourfold table for disproportionality analyses."/>
      </w:tblPr>
      <w:tblGrid>
        <w:gridCol w:w="1980"/>
        <w:gridCol w:w="1980"/>
        <w:gridCol w:w="1980"/>
        <w:gridCol w:w="1980"/>
      </w:tblGrid>
      <w:tr>
        <w:trPr>
          <w:tblHeader w:val="true"/>
        </w:trPr>
        <w:tc>
          <w:tcPr/>
          <w:p>
            <w:pPr>
              <w:pStyle w:val="Compact"/>
              <w:jc w:val="left"/>
            </w:pPr>
            <w:r>
              <w:rPr>
                <w:bCs/>
                <w:b/>
              </w:rPr>
              <w:t xml:space="preserve">Event groups</w:t>
            </w:r>
          </w:p>
        </w:tc>
        <w:tc>
          <w:tcPr/>
          <w:p>
            <w:pPr>
              <w:pStyle w:val="Compact"/>
              <w:jc w:val="center"/>
            </w:pPr>
            <w:r>
              <w:rPr>
                <w:bCs/>
                <w:b/>
              </w:rPr>
              <w:t xml:space="preserve">Drug used</w:t>
            </w:r>
          </w:p>
        </w:tc>
        <w:tc>
          <w:tcPr/>
          <w:p>
            <w:pPr>
              <w:pStyle w:val="Compact"/>
              <w:jc w:val="center"/>
            </w:pPr>
            <w:r>
              <w:rPr>
                <w:bCs/>
                <w:b/>
              </w:rPr>
              <w:t xml:space="preserve">Other drugs</w:t>
            </w:r>
          </w:p>
        </w:tc>
        <w:tc>
          <w:tcPr/>
          <w:p>
            <w:pPr>
              <w:pStyle w:val="Compact"/>
              <w:jc w:val="center"/>
            </w:pPr>
            <w:r>
              <w:rPr>
                <w:bCs/>
                <w:b/>
              </w:rPr>
              <w:t xml:space="preserve">Sums</w:t>
            </w:r>
          </w:p>
        </w:tc>
      </w:tr>
      <w:tr>
        <w:tc>
          <w:tcPr/>
          <w:p>
            <w:pPr>
              <w:pStyle w:val="Compact"/>
              <w:jc w:val="left"/>
            </w:pPr>
            <w:r>
              <w:t xml:space="preserve">Event</w:t>
            </w:r>
          </w:p>
        </w:tc>
        <w:tc>
          <w:tcPr/>
          <w:p>
            <w:pPr>
              <w:pStyle w:val="Compact"/>
              <w:jc w:val="center"/>
            </w:pPr>
            <w:r>
              <w:t xml:space="preserve">a</w:t>
            </w:r>
          </w:p>
        </w:tc>
        <w:tc>
          <w:tcPr/>
          <w:p>
            <w:pPr>
              <w:pStyle w:val="Compact"/>
              <w:jc w:val="center"/>
            </w:pPr>
            <w:r>
              <w:t xml:space="preserve">c</w:t>
            </w:r>
          </w:p>
        </w:tc>
        <w:tc>
          <w:tcPr/>
          <w:p>
            <w:pPr>
              <w:pStyle w:val="Compact"/>
              <w:jc w:val="center"/>
            </w:pPr>
            <w:r>
              <w:t xml:space="preserve">a + c</w:t>
            </w:r>
          </w:p>
        </w:tc>
      </w:tr>
      <w:tr>
        <w:tc>
          <w:tcPr/>
          <w:p>
            <w:pPr>
              <w:pStyle w:val="Compact"/>
              <w:jc w:val="left"/>
            </w:pPr>
            <w:r>
              <w:t xml:space="preserve">Other events</w:t>
            </w:r>
          </w:p>
        </w:tc>
        <w:tc>
          <w:tcPr/>
          <w:p>
            <w:pPr>
              <w:pStyle w:val="Compact"/>
              <w:jc w:val="center"/>
            </w:pPr>
            <w:r>
              <w:t xml:space="preserve">b</w:t>
            </w:r>
          </w:p>
        </w:tc>
        <w:tc>
          <w:tcPr/>
          <w:p>
            <w:pPr>
              <w:pStyle w:val="Compact"/>
              <w:jc w:val="center"/>
            </w:pPr>
            <w:r>
              <w:t xml:space="preserve">d</w:t>
            </w:r>
          </w:p>
        </w:tc>
        <w:tc>
          <w:tcPr/>
          <w:p>
            <w:pPr>
              <w:pStyle w:val="Compact"/>
              <w:jc w:val="center"/>
            </w:pPr>
            <w:r>
              <w:t xml:space="preserve">b + d</w:t>
            </w:r>
          </w:p>
        </w:tc>
      </w:tr>
      <w:tr>
        <w:tc>
          <w:tcPr/>
          <w:p>
            <w:pPr>
              <w:pStyle w:val="Compact"/>
              <w:jc w:val="left"/>
            </w:pPr>
            <w:r>
              <w:t xml:space="preserve">Sums</w:t>
            </w:r>
          </w:p>
        </w:tc>
        <w:tc>
          <w:tcPr/>
          <w:p>
            <w:pPr>
              <w:pStyle w:val="Compact"/>
              <w:jc w:val="center"/>
            </w:pPr>
            <w:r>
              <w:t xml:space="preserve">a + b</w:t>
            </w:r>
          </w:p>
        </w:tc>
        <w:tc>
          <w:tcPr/>
          <w:p>
            <w:pPr>
              <w:pStyle w:val="Compact"/>
              <w:jc w:val="center"/>
            </w:pPr>
            <w:r>
              <w:t xml:space="preserve">c + d</w:t>
            </w:r>
          </w:p>
        </w:tc>
        <w:tc>
          <w:tcPr/>
          <w:p>
            <w:pPr>
              <w:pStyle w:val="Compact"/>
              <w:jc w:val="center"/>
            </w:pPr>
            <w:r>
              <w:t xml:space="preserve">a + b + c + d</w:t>
            </w:r>
          </w:p>
        </w:tc>
      </w:tr>
    </w:tbl>
    <w:bookmarkEnd w:id="30"/>
    <w:p>
      <w:pPr>
        <w:pStyle w:val="BodyText"/>
      </w:pPr>
      <w:r>
        <w:t xml:space="preserve">%% Table 3: Signal detection formulas</w:t>
      </w:r>
    </w:p>
    <w:bookmarkStart w:id="31" w:name="tab:signal_formulas"/>
    <w:p>
      <w:pPr>
        <w:pStyle w:val="TableCaption"/>
      </w:pPr>
      <w:r>
        <w:t xml:space="preserve">Computational formulae and thresholds of signal detection.</w:t>
      </w:r>
    </w:p>
    <w:tbl>
      <w:tblPr>
        <w:tblStyle w:val="Table"/>
        <w:tblW w:type="auto" w:w="0"/>
        <w:tblLook w:firstRow="1" w:lastRow="0" w:firstColumn="0" w:lastColumn="0" w:noHBand="0" w:noVBand="0" w:val="0020"/>
        <w:jc w:val="start"/>
        <w:tblCaption w:val="Computational formulae and thresholds of signal detection."/>
      </w:tblPr>
      <w:tblGrid>
        <w:gridCol w:w="2640"/>
        <w:gridCol w:w="2640"/>
        <w:gridCol w:w="2640"/>
      </w:tblGrid>
      <w:tr>
        <w:trPr>
          <w:tblHeader w:val="true"/>
        </w:trPr>
        <w:tc>
          <w:tcPr/>
          <w:p>
            <w:pPr>
              <w:pStyle w:val="Compact"/>
              <w:jc w:val="left"/>
            </w:pPr>
            <w:r>
              <w:rPr>
                <w:bCs/>
                <w:b/>
              </w:rPr>
              <w:t xml:space="preserve">Algorithm</w:t>
            </w:r>
          </w:p>
        </w:tc>
        <w:tc>
          <w:tcPr/>
          <w:p>
            <w:pPr>
              <w:pStyle w:val="Compact"/>
              <w:jc w:val="left"/>
            </w:pPr>
            <w:r>
              <w:rPr>
                <w:bCs/>
                <w:b/>
              </w:rPr>
              <w:t xml:space="preserve">Equation</w:t>
            </w:r>
          </w:p>
        </w:tc>
        <w:tc>
          <w:tcPr/>
          <w:p>
            <w:pPr>
              <w:pStyle w:val="Compact"/>
              <w:jc w:val="left"/>
            </w:pPr>
            <w:r>
              <w:rPr>
                <w:bCs/>
                <w:b/>
              </w:rPr>
              <w:t xml:space="preserve">Criteria</w:t>
            </w:r>
          </w:p>
        </w:tc>
      </w:tr>
      <w:tr>
        <w:tc>
          <w:tcPr/>
          <w:p>
            <w:pPr>
              <w:pStyle w:val="Compact"/>
              <w:jc w:val="left"/>
            </w:pPr>
            <w:r>
              <w:t xml:space="preserve">ROR</w:t>
            </w:r>
          </w:p>
        </w:tc>
        <w:tc>
          <w:tcPr/>
          <w:p>
            <w:pPr>
              <w:pStyle w:val="Compact"/>
              <w:jc w:val="left"/>
            </w:pPr>
            <w:r>
              <w:t xml:space="preserve">ROR = ad / bc</w:t>
            </w:r>
          </w:p>
        </w:tc>
        <w:tc>
          <w:tcPr/>
          <w:p>
            <w:pPr>
              <w:pStyle w:val="Compact"/>
              <w:jc w:val="left"/>
            </w:pPr>
            <w:r>
              <w:t xml:space="preserve">95% CI lower bound &gt; 1, N ≥ 3</w:t>
            </w:r>
          </w:p>
        </w:tc>
      </w:tr>
      <w:tr>
        <w:tc>
          <w:tcPr/>
          <w:p>
            <w:pPr>
              <w:pStyle w:val="Compact"/>
              <w:jc w:val="left"/>
            </w:pPr>
            <w:r>
              <w:t xml:space="preserve">PRR</w:t>
            </w:r>
          </w:p>
        </w:tc>
        <w:tc>
          <w:tcPr/>
          <w:p>
            <w:pPr>
              <w:pStyle w:val="Compact"/>
              <w:jc w:val="left"/>
            </w:pPr>
            <w:r>
              <w:t xml:space="preserve">PRR = a(c+d) / c(a+b)</w:t>
            </w:r>
          </w:p>
        </w:tc>
        <w:tc>
          <w:tcPr/>
          <w:p>
            <w:pPr>
              <w:pStyle w:val="Compact"/>
              <w:jc w:val="left"/>
            </w:pPr>
            <w:r>
              <w:t xml:space="preserve">PRR ≥ 2, χ² ≥ 4, N ≥ 3</w:t>
            </w:r>
          </w:p>
        </w:tc>
      </w:tr>
      <w:tr>
        <w:tc>
          <w:tcPr/>
          <w:p>
            <w:pPr>
              <w:pStyle w:val="Compact"/>
              <w:jc w:val="left"/>
            </w:pPr>
            <w:r>
              <w:t xml:space="preserve">IC</w:t>
            </w:r>
          </w:p>
        </w:tc>
        <w:tc>
          <w:tcPr/>
          <w:p>
            <w:pPr>
              <w:pStyle w:val="Compact"/>
              <w:jc w:val="left"/>
            </w:pPr>
            <w:r>
              <w:t xml:space="preserve">IC = log₂ [ a(a+b+c+d) / ((a+b)(a+c)) ]</w:t>
            </w:r>
          </w:p>
        </w:tc>
        <w:tc>
          <w:tcPr/>
          <w:p>
            <w:pPr>
              <w:pStyle w:val="Compact"/>
              <w:jc w:val="left"/>
            </w:pPr>
            <w:r>
              <w:t xml:space="preserve">IC₀₂₅ &gt; 0</w:t>
            </w:r>
          </w:p>
        </w:tc>
      </w:tr>
      <w:tr>
        <w:tc>
          <w:tcPr/>
          <w:p>
            <w:pPr>
              <w:pStyle w:val="Compact"/>
              <w:jc w:val="left"/>
            </w:pPr>
            <w:r>
              <w:t xml:space="preserve">EBGM†</w:t>
            </w:r>
          </w:p>
        </w:tc>
        <w:tc>
          <w:tcPr/>
          <w:p>
            <w:pPr>
              <w:pStyle w:val="Compact"/>
              <w:jc w:val="left"/>
            </w:pPr>
            <w:r>
              <w:t xml:space="preserve">EBGM = a / E, E = (a+b)(a+c) / (a+b+c+d)</w:t>
            </w:r>
          </w:p>
        </w:tc>
        <w:tc>
          <w:tcPr/>
          <w:p>
            <w:pPr>
              <w:pStyle w:val="Compact"/>
              <w:jc w:val="left"/>
            </w:pPr>
            <w:r>
              <w:t xml:space="preserve">EB05 ≥ 2</w:t>
            </w:r>
          </w:p>
        </w:tc>
      </w:tr>
    </w:tbl>
    <w:bookmarkEnd w:id="31"/>
    <w:p>
      <w:pPr>
        <w:pStyle w:val="BodyText"/>
      </w:pPr>
      <w:r>
        <w:t xml:space="preserve">†The equation shown is the crude observed/expected ratio. The reported EBGM values were computed using the Multi-item Gamma Poisson Shrinker (GPS/DuMouchel) with a two-component Gamma mixture prior (α₁ = 0.2, β₁ = 0.06; α₂ = 1.4, β₂ = 1.8; mixing weight w = 0.1), which applies</w:t>
      </w:r>
      <w:r>
        <w:t xml:space="preserve"> </w:t>
      </w:r>
      <w:r>
        <w:t xml:space="preserve">Bayesian shrinkage to the crude ratio, pulling estimates with small cell counts toward the database-wide</w:t>
      </w:r>
      <w:r>
        <w:t xml:space="preserve"> </w:t>
      </w:r>
      <w:r>
        <w:t xml:space="preserve">baseline. These prior hyperparameters were fixed at the values shown rather than estimated from the data by</w:t>
      </w:r>
      <w:r>
        <w:t xml:space="preserve"> </w:t>
      </w:r>
      <w:r>
        <w:t xml:space="preserve">maximum likelihood, a simplification of the original GPS procedure that should be borne in mind when</w:t>
      </w:r>
      <w:r>
        <w:t xml:space="preserve"> </w:t>
      </w:r>
      <w:r>
        <w:t xml:space="preserve">comparing EBGM values with those of other studies.</w:t>
      </w:r>
    </w:p>
    <w:p>
      <w:pPr>
        <w:numPr>
          <w:ilvl w:val="0"/>
          <w:numId w:val="1001"/>
        </w:numPr>
      </w:pPr>
      <w:r>
        <w:rPr>
          <w:bCs/>
          <w:b/>
        </w:rPr>
        <w:t xml:space="preserve">Reporting Odds Ratio (ROR):</w:t>
      </w:r>
      <w:r>
        <w:t xml:space="preserve"> </w:t>
      </w:r>
      <w:r>
        <w:t xml:space="preserve">Signal detected when the lower bound of the 95% CI exceeds 1 and N ≥ 3 [20].</w:t>
      </w:r>
    </w:p>
    <w:p>
      <w:pPr>
        <w:numPr>
          <w:ilvl w:val="0"/>
          <w:numId w:val="1001"/>
        </w:numPr>
      </w:pPr>
      <w:r>
        <w:rPr>
          <w:bCs/>
          <w:b/>
        </w:rPr>
        <w:t xml:space="preserve">Proportional Reporting Ratio (PRR):</w:t>
      </w:r>
      <w:r>
        <w:t xml:space="preserve"> </w:t>
      </w:r>
      <w:r>
        <w:t xml:space="preserve">Signal detected when PRR ≥ 2, χ² ≥ 4, and N ≥ 3 [21].</w:t>
      </w:r>
    </w:p>
    <w:p>
      <w:pPr>
        <w:numPr>
          <w:ilvl w:val="0"/>
          <w:numId w:val="1001"/>
        </w:numPr>
      </w:pPr>
      <w:r>
        <w:rPr>
          <w:bCs/>
          <w:b/>
        </w:rPr>
        <w:t xml:space="preserve">Information Component (IC):</w:t>
      </w:r>
      <w:r>
        <w:t xml:space="preserve"> </w:t>
      </w:r>
      <w:r>
        <w:t xml:space="preserve">Based on Bayesian Confidence Propagation Neural Network (BCPNN). Signal detected when IC₀₂₅ (lower 95% credible interval) &gt; 0 [22].</w:t>
      </w:r>
    </w:p>
    <w:p>
      <w:pPr>
        <w:numPr>
          <w:ilvl w:val="0"/>
          <w:numId w:val="1001"/>
        </w:numPr>
      </w:pPr>
      <w:r>
        <w:rPr>
          <w:bCs/>
          <w:b/>
        </w:rPr>
        <w:t xml:space="preserve">Empirical Bayes Geometric Mean (EBGM):</w:t>
      </w:r>
      <w:r>
        <w:t xml:space="preserve"> </w:t>
      </w:r>
      <w:r>
        <w:t xml:space="preserve">Using Multi-item Gamma Poisson Shrinker (MGPS) with Bayesian shrinkage. Signal detected when EB05 (lower 90% one-sided CI) ≥ 2 [23].</w:t>
      </w:r>
    </w:p>
    <w:p>
      <w:pPr>
        <w:pStyle w:val="FirstParagraph"/>
      </w:pPr>
      <w:r>
        <w:t xml:space="preserve">A drug-event pair was flagged for signal intensity when its ROR 95% CI lower bound exceeded 1 and, independently, when its PRR reached ≥2 with χ² ≥ 4 - both reflecting how strongly the pairing deviates from what would be expected by chance. Signal frequency, in contrast, was simply the raw case count for that pairing, requiring ≥3 reports before a signal was considered evaluable. Only pairs clearing all four algorithmic thresholds simultaneously were classified as high-confidence drug-event associations.</w:t>
      </w:r>
    </w:p>
    <w:p>
      <w:pPr>
        <w:pStyle w:val="BodyText"/>
      </w:pPr>
      <w:r>
        <w:t xml:space="preserve">The clinical characteristics of the patients, including sex, age, reporting country, and reporter type, were analysed descriptively. Dichotomous variables are expressed as frequencies and percentages, whereas continuous variables are presented as means ± standard deviations. Data analysis was performed using Python 3.11 with</w:t>
      </w:r>
      <w:r>
        <w:t xml:space="preserve"> </w:t>
      </w:r>
      <w:r>
        <w:rPr>
          <w:rStyle w:val="VerbatimChar"/>
        </w:rPr>
        <w:t xml:space="preserve">pandas</w:t>
      </w:r>
      <w:r>
        <w:t xml:space="preserve">,</w:t>
      </w:r>
      <w:r>
        <w:t xml:space="preserve"> </w:t>
      </w:r>
      <w:r>
        <w:rPr>
          <w:rStyle w:val="VerbatimChar"/>
        </w:rPr>
        <w:t xml:space="preserve">scikit-learn</w:t>
      </w:r>
      <w:r>
        <w:t xml:space="preserve"> </w:t>
      </w:r>
      <w:r>
        <w:t xml:space="preserve">1.5.0, and PostgreSQL 16 for data storage.</w:t>
      </w:r>
    </w:p>
    <w:bookmarkEnd w:id="32"/>
    <w:bookmarkStart w:id="33" w:name="complementary-machine-learning-analysis"/>
    <w:p>
      <w:pPr>
        <w:pStyle w:val="Heading2"/>
      </w:pPr>
      <w:r>
        <w:t xml:space="preserve">Complementary machine-learning analysis</w:t>
      </w:r>
    </w:p>
    <w:p>
      <w:pPr>
        <w:pStyle w:val="FirstParagraph"/>
      </w:pPr>
      <w:r>
        <w:t xml:space="preserve">As a secondary analysis to complement the population-level disproportionality approach, the study developed a leakage-aware XGBoost classifier [24] to triage individual FAERS case reports by reported outcome severity: Death (DE), Life-Threatening (LT), Hospitalisation (HO), Disability (DS), Required Intervention (RI), and Other (OT). The model used 13 case-level features (age, sex, weight, drug sequence, route, role code, normalised drug name, RxCUI, dose amount/unit/form, indication, and adverse-event PT). Seriousness flags and directly outcome-derived features were excluded. The adverse-event Preferred Term was retained as a predictor; because it was also used to reconstruct missing outcome labels, it remains a residual source of target leakage, which is quantified in the Results and recorded in S6 Table.</w:t>
      </w:r>
    </w:p>
    <w:p>
      <w:pPr>
        <w:pStyle w:val="BodyText"/>
      </w:pPr>
      <w:r>
        <w:t xml:space="preserve">The dataset was split chronologically: training on 2021Q1-2023Q4, validation on 2024, and independent testing on 2025. All preprocessing was fitted on the training quarters alone: category encodings, imputation medians and the feature scaler were learned from 2021-2023 and applied unchanged to 2024 and 2025, with categories absent from training mapped to a reserved unseen level. The temporal pipeline, the baseline comparators, McNemar’s test and the bootstrap intervals are implemented in</w:t>
      </w:r>
      <w:r>
        <w:t xml:space="preserve"> </w:t>
      </w:r>
      <w:r>
        <w:rPr>
          <w:rStyle w:val="VerbatimChar"/>
        </w:rPr>
        <w:t xml:space="preserve">code/train_temporal.py</w:t>
      </w:r>
      <w:r>
        <w:t xml:space="preserve"> </w:t>
      </w:r>
      <w:r>
        <w:t xml:space="preserve">in the accompanying repository. XGBoost was compared against majority-class, logistic regression, decision tree, and random forest baselines using McNemar’s test (α = 0.001) with 1</w:t>
      </w:r>
      <w:r>
        <w:t xml:space="preserve">,</w:t>
      </w:r>
      <w:r>
        <w:t xml:space="preserve">000 bootstrap resamples for confidence intervals [25]. This component was designed as a pharmacovigilance triage tool, not as evidence of causality or a replacement for human review.</w:t>
      </w:r>
    </w:p>
    <w:p>
      <w:pPr>
        <w:pStyle w:val="BodyText"/>
      </w:pPr>
      <w:r>
        <w:t xml:space="preserve">To clarify the outcome-label handling across the study: (1) the descriptive analysis of FAERS outcomes used only genuinely observed outcome codes, with missing outcomes reported as such (approximately 46-51% missingness across panels); (2) the ML model development (training and validation) used observed outcomes supplemented by pseudo-labelled cases generated through a two-stage procedure, expanding the training set but not constituting clinical judgements; and (3) the independent temporal test (2025 data) was drawn from the same modelling dataset and therefore carries the same mixture of observed and pseudo-labelled outcome codes as the training and validation partitions. The reported temporal Macro-F1 must accordingly be read as performance against the constructed outcome column rather than against independently observed outcomes. This is the principal reason the Preferred-Term lookup baseline outperforms the fitted model, and it is quantified in the Results and discussed under Limitations.</w:t>
      </w:r>
    </w:p>
    <w:p>
      <w:pPr>
        <w:pStyle w:val="BodyText"/>
      </w:pPr>
      <w:r>
        <w:t xml:space="preserve">%% —- RESULTS —-</w:t>
      </w:r>
    </w:p>
    <w:bookmarkEnd w:id="33"/>
    <w:bookmarkEnd w:id="34"/>
    <w:bookmarkStart w:id="50" w:name="results-1"/>
    <w:p>
      <w:pPr>
        <w:pStyle w:val="Heading1"/>
      </w:pPr>
      <w:r>
        <w:t xml:space="preserve">Results</w:t>
      </w:r>
    </w:p>
    <w:bookmarkStart w:id="35" w:name="flowchart-of-reporting"/>
    <w:p>
      <w:pPr>
        <w:pStyle w:val="Heading2"/>
      </w:pPr>
      <w:r>
        <w:t xml:space="preserve">Flowchart of reporting</w:t>
      </w:r>
    </w:p>
    <w:p>
      <w:pPr>
        <w:pStyle w:val="FirstParagraph"/>
      </w:pPr>
      <w:r>
        <w:t xml:space="preserve">This study analysed 7,612,804 raw report records from the FAERS database (2021Q1-2025Q4). After removing duplicate case versions, 6,985,217 unique cases remained. Restricting to adolescents aged 12-17 years yielded 403,278 age-eligible reports. Among these, 11,701 cases involved at least one drug from the broad obesity-related panel, 10,701 from the selected obesity-related panel, 5,208 from the broad diabetes-related panel, and 342 from the selected diabetes-related panel (Fig 1).</w:t>
      </w:r>
    </w:p>
    <w:bookmarkEnd w:id="35"/>
    <w:bookmarkStart w:id="37" w:name="basic-characteristics-of-reported-aes"/>
    <w:p>
      <w:pPr>
        <w:pStyle w:val="Heading2"/>
      </w:pPr>
      <w:r>
        <w:t xml:space="preserve">Basic characteristics of reported AEs</w:t>
      </w:r>
    </w:p>
    <w:p>
      <w:pPr>
        <w:pStyle w:val="FirstParagraph"/>
      </w:pPr>
      <w:r>
        <w:t xml:space="preserve">Demographic composition, reporter type, and geographic origin were summarised descriptively across the four study cohorts. Approximately 54% of patients were female across all four panels, consistent with the known higher reporting frequency among female adolescents observed in prior FAERS studies [6]. The mean age was remarkably consistent, ranging from 14.50 to 14.63 years across panels. Most reports originated from healthcare professionals (51-56%), with the United States contributing the majority of reports. Notably, outcome data was missing in approximately half of all reports (45.9-51.3%), a well-documented limitation of spontaneous reporting systems. The detailed demographic characteristics are presented in Table 4.</w:t>
      </w:r>
    </w:p>
    <w:p>
      <w:pPr>
        <w:pStyle w:val="BodyText"/>
      </w:pPr>
      <w:r>
        <w:t xml:space="preserve">%% Table 3: Demographics</w:t>
      </w:r>
    </w:p>
    <w:bookmarkStart w:id="36" w:name="tab:demographics"/>
    <w:p>
      <w:pPr>
        <w:pStyle w:val="TableCaption"/>
      </w:pPr>
      <w:r>
        <w:t xml:space="preserve">Basic information of AE reports.</w:t>
      </w:r>
    </w:p>
    <w:tbl>
      <w:tblPr>
        <w:tblStyle w:val="Table"/>
        <w:tblW w:type="auto" w:w="0"/>
        <w:tblLook w:firstRow="0" w:lastRow="0" w:firstColumn="0" w:lastColumn="0" w:noHBand="0" w:noVBand="0" w:val="0000"/>
        <w:jc w:val="start"/>
        <w:tblCaption w:val="Basic information of AE reports."/>
      </w:tblPr>
      <w:tblGrid>
        <w:gridCol w:w="1584"/>
        <w:gridCol w:w="1584"/>
        <w:gridCol w:w="1584"/>
        <w:gridCol w:w="1584"/>
        <w:gridCol w:w="1584"/>
      </w:tblGrid>
      <w:tr>
        <w:tc>
          <w:tcPr/>
          <w:p>
            <w:pPr>
              <w:pStyle w:val="Compact"/>
              <w:jc w:val="left"/>
            </w:pPr>
            <w:r>
              <w:rPr>
                <w:bCs/>
                <w:b/>
              </w:rPr>
              <w:t xml:space="preserve">Characteristic</w:t>
            </w:r>
          </w:p>
        </w:tc>
        <w:tc>
          <w:tcPr/>
          <w:p>
            <w:pPr>
              <w:pStyle w:val="Compact"/>
              <w:jc w:val="center"/>
            </w:pPr>
            <w:r>
              <w:rPr>
                <w:bCs/>
                <w:b/>
              </w:rPr>
              <w:t xml:space="preserve">Broad Obesity</w:t>
            </w:r>
          </w:p>
        </w:tc>
        <w:tc>
          <w:tcPr/>
          <w:p>
            <w:pPr>
              <w:pStyle w:val="Compact"/>
              <w:jc w:val="center"/>
            </w:pPr>
            <w:r>
              <w:rPr>
                <w:bCs/>
                <w:b/>
              </w:rPr>
              <w:t xml:space="preserve">Selected Obesity</w:t>
            </w:r>
          </w:p>
        </w:tc>
        <w:tc>
          <w:tcPr/>
          <w:p>
            <w:pPr>
              <w:pStyle w:val="Compact"/>
              <w:jc w:val="center"/>
            </w:pPr>
            <w:r>
              <w:rPr>
                <w:bCs/>
                <w:b/>
              </w:rPr>
              <w:t xml:space="preserve">Broad Diabetes</w:t>
            </w:r>
          </w:p>
        </w:tc>
        <w:tc>
          <w:tcPr/>
          <w:p>
            <w:pPr>
              <w:pStyle w:val="Compact"/>
              <w:jc w:val="center"/>
            </w:pPr>
            <w:r>
              <w:rPr>
                <w:bCs/>
                <w:b/>
              </w:rPr>
              <w:t xml:space="preserve">Selected Diabetes</w:t>
            </w:r>
          </w:p>
        </w:tc>
      </w:tr>
      <w:tr>
        <w:tc>
          <w:tcPr/>
          <w:p>
            <w:pPr>
              <w:pStyle w:val="Compact"/>
            </w:pPr>
          </w:p>
        </w:tc>
        <w:tc>
          <w:tcPr/>
          <w:p>
            <w:pPr>
              <w:pStyle w:val="Compact"/>
              <w:jc w:val="center"/>
            </w:pPr>
            <w:r>
              <w:rPr>
                <w:bCs/>
                <w:b/>
              </w:rPr>
              <w:t xml:space="preserve">(N = 11,701)</w:t>
            </w:r>
          </w:p>
        </w:tc>
        <w:tc>
          <w:tcPr/>
          <w:p>
            <w:pPr>
              <w:pStyle w:val="Compact"/>
              <w:jc w:val="center"/>
            </w:pPr>
            <w:r>
              <w:rPr>
                <w:bCs/>
                <w:b/>
              </w:rPr>
              <w:t xml:space="preserve">(N = 10,701)</w:t>
            </w:r>
          </w:p>
        </w:tc>
        <w:tc>
          <w:tcPr/>
          <w:p>
            <w:pPr>
              <w:pStyle w:val="Compact"/>
              <w:jc w:val="center"/>
            </w:pPr>
            <w:r>
              <w:rPr>
                <w:bCs/>
                <w:b/>
              </w:rPr>
              <w:t xml:space="preserve">(N = 5,208)</w:t>
            </w:r>
          </w:p>
        </w:tc>
        <w:tc>
          <w:tcPr/>
          <w:p>
            <w:pPr>
              <w:pStyle w:val="Compact"/>
              <w:jc w:val="center"/>
            </w:pPr>
            <w:r>
              <w:rPr>
                <w:bCs/>
                <w:b/>
              </w:rPr>
              <w:t xml:space="preserve">(N = 342)</w:t>
            </w:r>
          </w:p>
        </w:tc>
      </w:tr>
      <w:tr>
        <w:tc>
          <w:tcPr>
            <w:gridSpan w:val="5"/>
          </w:tcPr>
          <w:p>
            <w:pPr>
              <w:pStyle w:val="Compact"/>
              <w:jc w:val="left"/>
            </w:pPr>
            <w:r>
              <w:rPr>
                <w:bCs/>
                <w:b/>
              </w:rPr>
              <w:t xml:space="preserve">Age (years)</w:t>
            </w:r>
          </w:p>
        </w:tc>
      </w:tr>
      <w:tr>
        <w:tc>
          <w:tcPr/>
          <w:p>
            <w:pPr>
              <w:pStyle w:val="Compact"/>
              <w:jc w:val="left"/>
            </w:pPr>
            <w:r>
              <w:t xml:space="preserve">Mean ± SD</w:t>
            </w:r>
          </w:p>
        </w:tc>
        <w:tc>
          <w:tcPr/>
          <w:p>
            <w:pPr>
              <w:pStyle w:val="Compact"/>
              <w:jc w:val="center"/>
            </w:pPr>
            <w:r>
              <w:t xml:space="preserve">14.57 ± 0.63</w:t>
            </w:r>
          </w:p>
        </w:tc>
        <w:tc>
          <w:tcPr/>
          <w:p>
            <w:pPr>
              <w:pStyle w:val="Compact"/>
              <w:jc w:val="center"/>
            </w:pPr>
            <w:r>
              <w:t xml:space="preserve">14.57 ± 0.61</w:t>
            </w:r>
          </w:p>
        </w:tc>
        <w:tc>
          <w:tcPr/>
          <w:p>
            <w:pPr>
              <w:pStyle w:val="Compact"/>
              <w:jc w:val="center"/>
            </w:pPr>
            <w:r>
              <w:t xml:space="preserve">14.63 ± 0.72</w:t>
            </w:r>
          </w:p>
        </w:tc>
        <w:tc>
          <w:tcPr/>
          <w:p>
            <w:pPr>
              <w:pStyle w:val="Compact"/>
              <w:jc w:val="center"/>
            </w:pPr>
            <w:r>
              <w:t xml:space="preserve">14.50 ± 0.44</w:t>
            </w:r>
          </w:p>
        </w:tc>
      </w:tr>
      <w:tr>
        <w:tc>
          <w:tcPr>
            <w:gridSpan w:val="5"/>
          </w:tcPr>
          <w:p>
            <w:pPr>
              <w:pStyle w:val="Compact"/>
              <w:jc w:val="left"/>
            </w:pPr>
            <w:r>
              <w:rPr>
                <w:bCs/>
                <w:b/>
              </w:rPr>
              <w:t xml:space="preserve">Sex, n (%)</w:t>
            </w:r>
          </w:p>
        </w:tc>
      </w:tr>
      <w:tr>
        <w:tc>
          <w:tcPr/>
          <w:p>
            <w:pPr>
              <w:pStyle w:val="Compact"/>
              <w:jc w:val="left"/>
            </w:pPr>
            <w:r>
              <w:t xml:space="preserve">Female</w:t>
            </w:r>
          </w:p>
        </w:tc>
        <w:tc>
          <w:tcPr/>
          <w:p>
            <w:pPr>
              <w:pStyle w:val="Compact"/>
              <w:jc w:val="center"/>
            </w:pPr>
            <w:r>
              <w:t xml:space="preserve">6,324 (54.1%)</w:t>
            </w:r>
          </w:p>
        </w:tc>
        <w:tc>
          <w:tcPr/>
          <w:p>
            <w:pPr>
              <w:pStyle w:val="Compact"/>
              <w:jc w:val="center"/>
            </w:pPr>
            <w:r>
              <w:t xml:space="preserve">5,830 (54.5%)</w:t>
            </w:r>
          </w:p>
        </w:tc>
        <w:tc>
          <w:tcPr/>
          <w:p>
            <w:pPr>
              <w:pStyle w:val="Compact"/>
              <w:jc w:val="center"/>
            </w:pPr>
            <w:r>
              <w:t xml:space="preserve">2,906 (55.8%)</w:t>
            </w:r>
          </w:p>
        </w:tc>
        <w:tc>
          <w:tcPr/>
          <w:p>
            <w:pPr>
              <w:pStyle w:val="Compact"/>
              <w:jc w:val="center"/>
            </w:pPr>
            <w:r>
              <w:t xml:space="preserve">184 (53.8%)</w:t>
            </w:r>
          </w:p>
        </w:tc>
      </w:tr>
      <w:tr>
        <w:tc>
          <w:tcPr/>
          <w:p>
            <w:pPr>
              <w:pStyle w:val="Compact"/>
              <w:jc w:val="left"/>
            </w:pPr>
            <w:r>
              <w:t xml:space="preserve">Male</w:t>
            </w:r>
          </w:p>
        </w:tc>
        <w:tc>
          <w:tcPr/>
          <w:p>
            <w:pPr>
              <w:pStyle w:val="Compact"/>
              <w:jc w:val="center"/>
            </w:pPr>
            <w:r>
              <w:t xml:space="preserve">4,964 (42.4%)</w:t>
            </w:r>
          </w:p>
        </w:tc>
        <w:tc>
          <w:tcPr/>
          <w:p>
            <w:pPr>
              <w:pStyle w:val="Compact"/>
              <w:jc w:val="center"/>
            </w:pPr>
            <w:r>
              <w:t xml:space="preserve">4,568 (42.7%)</w:t>
            </w:r>
          </w:p>
        </w:tc>
        <w:tc>
          <w:tcPr/>
          <w:p>
            <w:pPr>
              <w:pStyle w:val="Compact"/>
              <w:jc w:val="center"/>
            </w:pPr>
            <w:r>
              <w:t xml:space="preserve">2,015 (38.7%)</w:t>
            </w:r>
          </w:p>
        </w:tc>
        <w:tc>
          <w:tcPr/>
          <w:p>
            <w:pPr>
              <w:pStyle w:val="Compact"/>
              <w:jc w:val="center"/>
            </w:pPr>
            <w:r>
              <w:t xml:space="preserve">118 (34.5%)</w:t>
            </w:r>
          </w:p>
        </w:tc>
      </w:tr>
      <w:tr>
        <w:tc>
          <w:tcPr/>
          <w:p>
            <w:pPr>
              <w:pStyle w:val="Compact"/>
              <w:jc w:val="left"/>
            </w:pPr>
            <w:r>
              <w:t xml:space="preserve">Unknown</w:t>
            </w:r>
          </w:p>
        </w:tc>
        <w:tc>
          <w:tcPr/>
          <w:p>
            <w:pPr>
              <w:pStyle w:val="Compact"/>
              <w:jc w:val="center"/>
            </w:pPr>
            <w:r>
              <w:t xml:space="preserve">413 (3.5%)</w:t>
            </w:r>
          </w:p>
        </w:tc>
        <w:tc>
          <w:tcPr/>
          <w:p>
            <w:pPr>
              <w:pStyle w:val="Compact"/>
              <w:jc w:val="center"/>
            </w:pPr>
            <w:r>
              <w:t xml:space="preserve">303 (2.8%)</w:t>
            </w:r>
          </w:p>
        </w:tc>
        <w:tc>
          <w:tcPr/>
          <w:p>
            <w:pPr>
              <w:pStyle w:val="Compact"/>
              <w:jc w:val="center"/>
            </w:pPr>
            <w:r>
              <w:t xml:space="preserve">287 (5.5%)</w:t>
            </w:r>
          </w:p>
        </w:tc>
        <w:tc>
          <w:tcPr/>
          <w:p>
            <w:pPr>
              <w:pStyle w:val="Compact"/>
              <w:jc w:val="center"/>
            </w:pPr>
            <w:r>
              <w:t xml:space="preserve">40 (11.7%)</w:t>
            </w:r>
          </w:p>
        </w:tc>
      </w:tr>
      <w:tr>
        <w:tc>
          <w:tcPr>
            <w:gridSpan w:val="5"/>
          </w:tcPr>
          <w:p>
            <w:pPr>
              <w:pStyle w:val="Compact"/>
              <w:jc w:val="left"/>
            </w:pPr>
            <w:r>
              <w:rPr>
                <w:bCs/>
                <w:b/>
              </w:rPr>
              <w:t xml:space="preserve">Drug role, n (%)</w:t>
            </w:r>
          </w:p>
        </w:tc>
      </w:tr>
      <w:tr>
        <w:tc>
          <w:tcPr/>
          <w:p>
            <w:pPr>
              <w:pStyle w:val="Compact"/>
              <w:jc w:val="left"/>
            </w:pPr>
            <w:r>
              <w:t xml:space="preserve">Primary suspect</w:t>
            </w:r>
          </w:p>
        </w:tc>
        <w:tc>
          <w:tcPr/>
          <w:p>
            <w:pPr>
              <w:pStyle w:val="Compact"/>
              <w:jc w:val="center"/>
            </w:pPr>
            <w:r>
              <w:t xml:space="preserve">1,761 (15.1%)</w:t>
            </w:r>
          </w:p>
        </w:tc>
        <w:tc>
          <w:tcPr/>
          <w:p>
            <w:pPr>
              <w:pStyle w:val="Compact"/>
              <w:jc w:val="center"/>
            </w:pPr>
            <w:r>
              <w:t xml:space="preserve">1,220 (11.4%)</w:t>
            </w:r>
          </w:p>
        </w:tc>
        <w:tc>
          <w:tcPr/>
          <w:p>
            <w:pPr>
              <w:pStyle w:val="Compact"/>
              <w:jc w:val="center"/>
            </w:pPr>
            <w:r>
              <w:t xml:space="preserve">1,224 (23.5%)</w:t>
            </w:r>
          </w:p>
        </w:tc>
        <w:tc>
          <w:tcPr/>
          <w:p>
            <w:pPr>
              <w:pStyle w:val="Compact"/>
              <w:jc w:val="center"/>
            </w:pPr>
            <w:r>
              <w:t xml:space="preserve">154 (45.0%)</w:t>
            </w:r>
          </w:p>
        </w:tc>
      </w:tr>
      <w:tr>
        <w:tc>
          <w:tcPr/>
          <w:p>
            <w:pPr>
              <w:pStyle w:val="Compact"/>
              <w:jc w:val="left"/>
            </w:pPr>
            <w:r>
              <w:t xml:space="preserve">Concomitant</w:t>
            </w:r>
          </w:p>
        </w:tc>
        <w:tc>
          <w:tcPr/>
          <w:p>
            <w:pPr>
              <w:pStyle w:val="Compact"/>
              <w:jc w:val="center"/>
            </w:pPr>
            <w:r>
              <w:t xml:space="preserve">9,027 (77.2%)</w:t>
            </w:r>
          </w:p>
        </w:tc>
        <w:tc>
          <w:tcPr/>
          <w:p>
            <w:pPr>
              <w:pStyle w:val="Compact"/>
              <w:jc w:val="center"/>
            </w:pPr>
            <w:r>
              <w:t xml:space="preserve">8,732 (81.6%)</w:t>
            </w:r>
          </w:p>
        </w:tc>
        <w:tc>
          <w:tcPr/>
          <w:p>
            <w:pPr>
              <w:pStyle w:val="Compact"/>
              <w:jc w:val="center"/>
            </w:pPr>
            <w:r>
              <w:t xml:space="preserve">3,410 (65.5%)</w:t>
            </w:r>
          </w:p>
        </w:tc>
        <w:tc>
          <w:tcPr/>
          <w:p>
            <w:pPr>
              <w:pStyle w:val="Compact"/>
              <w:jc w:val="center"/>
            </w:pPr>
            <w:r>
              <w:t xml:space="preserve">114 (33.3%)</w:t>
            </w:r>
          </w:p>
        </w:tc>
      </w:tr>
      <w:tr>
        <w:tc>
          <w:tcPr/>
          <w:p>
            <w:pPr>
              <w:pStyle w:val="Compact"/>
              <w:jc w:val="left"/>
            </w:pPr>
            <w:r>
              <w:t xml:space="preserve">Secondary suspect</w:t>
            </w:r>
          </w:p>
        </w:tc>
        <w:tc>
          <w:tcPr/>
          <w:p>
            <w:pPr>
              <w:pStyle w:val="Compact"/>
              <w:jc w:val="center"/>
            </w:pPr>
            <w:r>
              <w:t xml:space="preserve">549 (4.7%)</w:t>
            </w:r>
          </w:p>
        </w:tc>
        <w:tc>
          <w:tcPr/>
          <w:p>
            <w:pPr>
              <w:pStyle w:val="Compact"/>
              <w:jc w:val="center"/>
            </w:pPr>
            <w:r>
              <w:t xml:space="preserve">411 (3.8%)</w:t>
            </w:r>
          </w:p>
        </w:tc>
        <w:tc>
          <w:tcPr/>
          <w:p>
            <w:pPr>
              <w:pStyle w:val="Compact"/>
              <w:jc w:val="center"/>
            </w:pPr>
            <w:r>
              <w:t xml:space="preserve">382 (7.3%)</w:t>
            </w:r>
          </w:p>
        </w:tc>
        <w:tc>
          <w:tcPr/>
          <w:p>
            <w:pPr>
              <w:pStyle w:val="Compact"/>
              <w:jc w:val="center"/>
            </w:pPr>
            <w:r>
              <w:t xml:space="preserve">52 (15.2%)</w:t>
            </w:r>
          </w:p>
        </w:tc>
      </w:tr>
      <w:tr>
        <w:tc>
          <w:tcPr/>
          <w:p>
            <w:pPr>
              <w:pStyle w:val="Compact"/>
              <w:jc w:val="left"/>
            </w:pPr>
            <w:r>
              <w:t xml:space="preserve">Interacting</w:t>
            </w:r>
          </w:p>
        </w:tc>
        <w:tc>
          <w:tcPr/>
          <w:p>
            <w:pPr>
              <w:pStyle w:val="Compact"/>
              <w:jc w:val="center"/>
            </w:pPr>
            <w:r>
              <w:t xml:space="preserve">364 (3.1%)</w:t>
            </w:r>
          </w:p>
        </w:tc>
        <w:tc>
          <w:tcPr/>
          <w:p>
            <w:pPr>
              <w:pStyle w:val="Compact"/>
              <w:jc w:val="center"/>
            </w:pPr>
            <w:r>
              <w:t xml:space="preserve">338 (3.2%)</w:t>
            </w:r>
          </w:p>
        </w:tc>
        <w:tc>
          <w:tcPr/>
          <w:p>
            <w:pPr>
              <w:pStyle w:val="Compact"/>
              <w:jc w:val="center"/>
            </w:pPr>
            <w:r>
              <w:t xml:space="preserve">192 (3.7%)</w:t>
            </w:r>
          </w:p>
        </w:tc>
        <w:tc>
          <w:tcPr/>
          <w:p>
            <w:pPr>
              <w:pStyle w:val="Compact"/>
              <w:jc w:val="center"/>
            </w:pPr>
            <w:r>
              <w:t xml:space="preserve">22 (6.4%)</w:t>
            </w:r>
          </w:p>
        </w:tc>
      </w:tr>
      <w:tr>
        <w:tc>
          <w:tcPr>
            <w:gridSpan w:val="5"/>
          </w:tcPr>
          <w:p>
            <w:pPr>
              <w:pStyle w:val="Compact"/>
              <w:jc w:val="left"/>
            </w:pPr>
            <w:r>
              <w:rPr>
                <w:bCs/>
                <w:b/>
              </w:rPr>
              <w:t xml:space="preserve">Outcome distribution, n (%)</w:t>
            </w:r>
          </w:p>
        </w:tc>
      </w:tr>
      <w:tr>
        <w:tc>
          <w:tcPr/>
          <w:p>
            <w:pPr>
              <w:pStyle w:val="Compact"/>
              <w:jc w:val="left"/>
            </w:pPr>
            <w:r>
              <w:t xml:space="preserve">Hospitalisation (HO)</w:t>
            </w:r>
          </w:p>
        </w:tc>
        <w:tc>
          <w:tcPr/>
          <w:p>
            <w:pPr>
              <w:pStyle w:val="Compact"/>
              <w:jc w:val="center"/>
            </w:pPr>
            <w:r>
              <w:t xml:space="preserve">2,506 (21.4%)</w:t>
            </w:r>
          </w:p>
        </w:tc>
        <w:tc>
          <w:tcPr/>
          <w:p>
            <w:pPr>
              <w:pStyle w:val="Compact"/>
              <w:jc w:val="center"/>
            </w:pPr>
            <w:r>
              <w:t xml:space="preserve">2,311 (21.6%)</w:t>
            </w:r>
          </w:p>
        </w:tc>
        <w:tc>
          <w:tcPr/>
          <w:p>
            <w:pPr>
              <w:pStyle w:val="Compact"/>
              <w:jc w:val="center"/>
            </w:pPr>
            <w:r>
              <w:t xml:space="preserve">1,218 (23.4%)</w:t>
            </w:r>
          </w:p>
        </w:tc>
        <w:tc>
          <w:tcPr/>
          <w:p>
            <w:pPr>
              <w:pStyle w:val="Compact"/>
              <w:jc w:val="center"/>
            </w:pPr>
            <w:r>
              <w:t xml:space="preserve">85 (24.9%)</w:t>
            </w:r>
          </w:p>
        </w:tc>
      </w:tr>
      <w:tr>
        <w:tc>
          <w:tcPr/>
          <w:p>
            <w:pPr>
              <w:pStyle w:val="Compact"/>
              <w:jc w:val="left"/>
            </w:pPr>
            <w:r>
              <w:t xml:space="preserve">Other serious (OT)</w:t>
            </w:r>
          </w:p>
        </w:tc>
        <w:tc>
          <w:tcPr/>
          <w:p>
            <w:pPr>
              <w:pStyle w:val="Compact"/>
              <w:jc w:val="center"/>
            </w:pPr>
            <w:r>
              <w:t xml:space="preserve">1,898 (16.2%)</w:t>
            </w:r>
          </w:p>
        </w:tc>
        <w:tc>
          <w:tcPr/>
          <w:p>
            <w:pPr>
              <w:pStyle w:val="Compact"/>
              <w:jc w:val="center"/>
            </w:pPr>
            <w:r>
              <w:t xml:space="preserve">1,701 (15.9%)</w:t>
            </w:r>
          </w:p>
        </w:tc>
        <w:tc>
          <w:tcPr/>
          <w:p>
            <w:pPr>
              <w:pStyle w:val="Compact"/>
              <w:jc w:val="center"/>
            </w:pPr>
            <w:r>
              <w:t xml:space="preserve">812 (15.6%)</w:t>
            </w:r>
          </w:p>
        </w:tc>
        <w:tc>
          <w:tcPr/>
          <w:p>
            <w:pPr>
              <w:pStyle w:val="Compact"/>
              <w:jc w:val="center"/>
            </w:pPr>
            <w:r>
              <w:t xml:space="preserve">48 (14.0%)</w:t>
            </w:r>
          </w:p>
        </w:tc>
      </w:tr>
      <w:tr>
        <w:tc>
          <w:tcPr/>
          <w:p>
            <w:pPr>
              <w:pStyle w:val="Compact"/>
              <w:jc w:val="left"/>
            </w:pPr>
            <w:r>
              <w:t xml:space="preserve">Death (DE)</w:t>
            </w:r>
          </w:p>
        </w:tc>
        <w:tc>
          <w:tcPr/>
          <w:p>
            <w:pPr>
              <w:pStyle w:val="Compact"/>
              <w:jc w:val="center"/>
            </w:pPr>
            <w:r>
              <w:t xml:space="preserve">525 (4.5%)</w:t>
            </w:r>
          </w:p>
        </w:tc>
        <w:tc>
          <w:tcPr/>
          <w:p>
            <w:pPr>
              <w:pStyle w:val="Compact"/>
              <w:jc w:val="center"/>
            </w:pPr>
            <w:r>
              <w:t xml:space="preserve">456 (4.3%)</w:t>
            </w:r>
          </w:p>
        </w:tc>
        <w:tc>
          <w:tcPr/>
          <w:p>
            <w:pPr>
              <w:pStyle w:val="Compact"/>
              <w:jc w:val="center"/>
            </w:pPr>
            <w:r>
              <w:t xml:space="preserve">335 (6.4%)</w:t>
            </w:r>
          </w:p>
        </w:tc>
        <w:tc>
          <w:tcPr/>
          <w:p>
            <w:pPr>
              <w:pStyle w:val="Compact"/>
              <w:jc w:val="center"/>
            </w:pPr>
            <w:r>
              <w:t xml:space="preserve">21 (6.1%)</w:t>
            </w:r>
          </w:p>
        </w:tc>
      </w:tr>
      <w:tr>
        <w:tc>
          <w:tcPr/>
          <w:p>
            <w:pPr>
              <w:pStyle w:val="Compact"/>
              <w:jc w:val="left"/>
            </w:pPr>
            <w:r>
              <w:t xml:space="preserve">Life-threatening (LT)</w:t>
            </w:r>
          </w:p>
        </w:tc>
        <w:tc>
          <w:tcPr/>
          <w:p>
            <w:pPr>
              <w:pStyle w:val="Compact"/>
              <w:jc w:val="center"/>
            </w:pPr>
            <w:r>
              <w:t xml:space="preserve">301 (2.6%)</w:t>
            </w:r>
          </w:p>
        </w:tc>
        <w:tc>
          <w:tcPr/>
          <w:p>
            <w:pPr>
              <w:pStyle w:val="Compact"/>
              <w:jc w:val="center"/>
            </w:pPr>
            <w:r>
              <w:t xml:space="preserve">263 (2.5%)</w:t>
            </w:r>
          </w:p>
        </w:tc>
        <w:tc>
          <w:tcPr/>
          <w:p>
            <w:pPr>
              <w:pStyle w:val="Compact"/>
              <w:jc w:val="center"/>
            </w:pPr>
            <w:r>
              <w:t xml:space="preserve">191 (3.7%)</w:t>
            </w:r>
          </w:p>
        </w:tc>
        <w:tc>
          <w:tcPr/>
          <w:p>
            <w:pPr>
              <w:pStyle w:val="Compact"/>
              <w:jc w:val="center"/>
            </w:pPr>
            <w:r>
              <w:t xml:space="preserve">12 (3.5%)</w:t>
            </w:r>
          </w:p>
        </w:tc>
      </w:tr>
      <w:tr>
        <w:tc>
          <w:tcPr/>
          <w:p>
            <w:pPr>
              <w:pStyle w:val="Compact"/>
              <w:jc w:val="left"/>
            </w:pPr>
            <w:r>
              <w:t xml:space="preserve">Disability (DS)</w:t>
            </w:r>
          </w:p>
        </w:tc>
        <w:tc>
          <w:tcPr/>
          <w:p>
            <w:pPr>
              <w:pStyle w:val="Compact"/>
              <w:jc w:val="center"/>
            </w:pPr>
            <w:r>
              <w:t xml:space="preserve">195 (1.7%)</w:t>
            </w:r>
          </w:p>
        </w:tc>
        <w:tc>
          <w:tcPr/>
          <w:p>
            <w:pPr>
              <w:pStyle w:val="Compact"/>
              <w:jc w:val="center"/>
            </w:pPr>
            <w:r>
              <w:t xml:space="preserve">176 (1.6%)</w:t>
            </w:r>
          </w:p>
        </w:tc>
        <w:tc>
          <w:tcPr/>
          <w:p>
            <w:pPr>
              <w:pStyle w:val="Compact"/>
              <w:jc w:val="center"/>
            </w:pPr>
            <w:r>
              <w:t xml:space="preserve">92 (1.8%)</w:t>
            </w:r>
          </w:p>
        </w:tc>
        <w:tc>
          <w:tcPr/>
          <w:p>
            <w:pPr>
              <w:pStyle w:val="Compact"/>
              <w:jc w:val="center"/>
            </w:pPr>
            <w:r>
              <w:t xml:space="preserve">5 (1.5%)</w:t>
            </w:r>
          </w:p>
        </w:tc>
      </w:tr>
      <w:tr>
        <w:tc>
          <w:tcPr/>
          <w:p>
            <w:pPr>
              <w:pStyle w:val="Compact"/>
              <w:jc w:val="left"/>
            </w:pPr>
            <w:r>
              <w:t xml:space="preserve">Required intervention (RI)</w:t>
            </w:r>
          </w:p>
        </w:tc>
        <w:tc>
          <w:tcPr/>
          <w:p>
            <w:pPr>
              <w:pStyle w:val="Compact"/>
              <w:jc w:val="center"/>
            </w:pPr>
            <w:r>
              <w:t xml:space="preserve">343 (2.9%)</w:t>
            </w:r>
          </w:p>
        </w:tc>
        <w:tc>
          <w:tcPr/>
          <w:p>
            <w:pPr>
              <w:pStyle w:val="Compact"/>
              <w:jc w:val="center"/>
            </w:pPr>
            <w:r>
              <w:t xml:space="preserve">309 (2.9%)</w:t>
            </w:r>
          </w:p>
        </w:tc>
        <w:tc>
          <w:tcPr/>
          <w:p>
            <w:pPr>
              <w:pStyle w:val="Compact"/>
              <w:jc w:val="center"/>
            </w:pPr>
            <w:r>
              <w:t xml:space="preserve">170 (3.3%)</w:t>
            </w:r>
          </w:p>
        </w:tc>
        <w:tc>
          <w:tcPr/>
          <w:p>
            <w:pPr>
              <w:pStyle w:val="Compact"/>
              <w:jc w:val="center"/>
            </w:pPr>
            <w:r>
              <w:t xml:space="preserve">11 (3.2%)</w:t>
            </w:r>
          </w:p>
        </w:tc>
      </w:tr>
      <w:tr>
        <w:tc>
          <w:tcPr/>
          <w:p>
            <w:pPr>
              <w:pStyle w:val="Compact"/>
              <w:jc w:val="left"/>
            </w:pPr>
            <w:r>
              <w:t xml:space="preserve">Missing</w:t>
            </w:r>
          </w:p>
        </w:tc>
        <w:tc>
          <w:tcPr/>
          <w:p>
            <w:pPr>
              <w:pStyle w:val="Compact"/>
              <w:jc w:val="center"/>
            </w:pPr>
            <w:r>
              <w:t xml:space="preserve">5,933 (50.7%)</w:t>
            </w:r>
          </w:p>
        </w:tc>
        <w:tc>
          <w:tcPr/>
          <w:p>
            <w:pPr>
              <w:pStyle w:val="Compact"/>
              <w:jc w:val="center"/>
            </w:pPr>
            <w:r>
              <w:t xml:space="preserve">5,485 (51.3%)</w:t>
            </w:r>
          </w:p>
        </w:tc>
        <w:tc>
          <w:tcPr/>
          <w:p>
            <w:pPr>
              <w:pStyle w:val="Compact"/>
              <w:jc w:val="center"/>
            </w:pPr>
            <w:r>
              <w:t xml:space="preserve">2,390 (45.9%)</w:t>
            </w:r>
          </w:p>
        </w:tc>
        <w:tc>
          <w:tcPr/>
          <w:p>
            <w:pPr>
              <w:pStyle w:val="Compact"/>
              <w:jc w:val="center"/>
            </w:pPr>
            <w:r>
              <w:t xml:space="preserve">160 (46.8%)</w:t>
            </w:r>
          </w:p>
        </w:tc>
      </w:tr>
      <w:tr>
        <w:tc>
          <w:tcPr>
            <w:gridSpan w:val="5"/>
          </w:tcPr>
          <w:p>
            <w:pPr>
              <w:pStyle w:val="Compact"/>
              <w:jc w:val="left"/>
            </w:pPr>
            <w:r>
              <w:t xml:space="preserve">Note: Outcome counts are genuinely observed FAERS outcome codes, one per report; observed</w:t>
            </w:r>
          </w:p>
        </w:tc>
      </w:tr>
      <w:tr>
        <w:tc>
          <w:tcPr>
            <w:gridSpan w:val="5"/>
          </w:tcPr>
          <w:p>
            <w:pPr>
              <w:pStyle w:val="Compact"/>
              <w:jc w:val="left"/>
            </w:pPr>
            <w:r>
              <w:t xml:space="preserve">categories plus Missing sum to the panel total. The ML modelling dataset (broad panel,</w:t>
            </w:r>
          </w:p>
        </w:tc>
      </w:tr>
      <w:tr>
        <w:tc>
          <w:tcPr>
            <w:gridSpan w:val="5"/>
          </w:tcPr>
          <w:p>
            <w:pPr>
              <w:pStyle w:val="Compact"/>
              <w:jc w:val="left"/>
            </w:pPr>
            <w:r>
              <w:t xml:space="preserve">N = 11,701) uses the same reports but fills missing outcomes by two-stage pseudo-labelling,</w:t>
            </w:r>
          </w:p>
        </w:tc>
      </w:tr>
      <w:tr>
        <w:tc>
          <w:tcPr>
            <w:gridSpan w:val="5"/>
          </w:tcPr>
          <w:p>
            <w:pPr>
              <w:pStyle w:val="Compact"/>
              <w:jc w:val="left"/>
            </w:pPr>
            <w:r>
              <w:t xml:space="preserve">so its class distribution differs from the observed distribution shown here.</w:t>
            </w:r>
          </w:p>
        </w:tc>
      </w:tr>
      <w:tr>
        <w:tc>
          <w:tcPr>
            <w:gridSpan w:val="5"/>
          </w:tcPr>
          <w:p>
            <w:pPr>
              <w:pStyle w:val="Compact"/>
              <w:jc w:val="left"/>
            </w:pPr>
            <w:r>
              <w:rPr>
                <w:bCs/>
                <w:b/>
              </w:rPr>
              <w:t xml:space="preserve">Reporter type</w:t>
            </w:r>
          </w:p>
        </w:tc>
      </w:tr>
      <w:tr>
        <w:tc>
          <w:tcPr/>
          <w:p>
            <w:pPr>
              <w:pStyle w:val="Compact"/>
              <w:jc w:val="left"/>
            </w:pPr>
            <w:r>
              <w:t xml:space="preserve">Health professional</w:t>
            </w:r>
          </w:p>
        </w:tc>
        <w:tc>
          <w:tcPr/>
          <w:p>
            <w:pPr>
              <w:pStyle w:val="Compact"/>
              <w:jc w:val="center"/>
            </w:pPr>
            <w:r>
              <w:t xml:space="preserve">6,083 (52.0%)</w:t>
            </w:r>
          </w:p>
        </w:tc>
        <w:tc>
          <w:tcPr/>
          <w:p>
            <w:pPr>
              <w:pStyle w:val="Compact"/>
              <w:jc w:val="center"/>
            </w:pPr>
            <w:r>
              <w:t xml:space="preserve">5,457 (51.0%)</w:t>
            </w:r>
          </w:p>
        </w:tc>
        <w:tc>
          <w:tcPr/>
          <w:p>
            <w:pPr>
              <w:pStyle w:val="Compact"/>
              <w:jc w:val="center"/>
            </w:pPr>
            <w:r>
              <w:t xml:space="preserve">2,929 (56.2%)</w:t>
            </w:r>
          </w:p>
        </w:tc>
        <w:tc>
          <w:tcPr/>
          <w:p>
            <w:pPr>
              <w:pStyle w:val="Compact"/>
              <w:jc w:val="center"/>
            </w:pPr>
            <w:r>
              <w:t xml:space="preserve">187 (54.7%)</w:t>
            </w:r>
          </w:p>
        </w:tc>
      </w:tr>
      <w:tr>
        <w:tc>
          <w:tcPr/>
          <w:p>
            <w:pPr>
              <w:pStyle w:val="Compact"/>
              <w:jc w:val="left"/>
            </w:pPr>
            <w:r>
              <w:t xml:space="preserve">Consumer</w:t>
            </w:r>
          </w:p>
        </w:tc>
        <w:tc>
          <w:tcPr/>
          <w:p>
            <w:pPr>
              <w:pStyle w:val="Compact"/>
              <w:jc w:val="center"/>
            </w:pPr>
            <w:r>
              <w:t xml:space="preserve">4,327 (37.0%)</w:t>
            </w:r>
          </w:p>
        </w:tc>
        <w:tc>
          <w:tcPr/>
          <w:p>
            <w:pPr>
              <w:pStyle w:val="Compact"/>
              <w:jc w:val="center"/>
            </w:pPr>
            <w:r>
              <w:t xml:space="preserve">4,028 (37.6%)</w:t>
            </w:r>
          </w:p>
        </w:tc>
        <w:tc>
          <w:tcPr/>
          <w:p>
            <w:pPr>
              <w:pStyle w:val="Compact"/>
              <w:jc w:val="center"/>
            </w:pPr>
            <w:r>
              <w:t xml:space="preserve">1,692 (32.5%)</w:t>
            </w:r>
          </w:p>
        </w:tc>
        <w:tc>
          <w:tcPr/>
          <w:p>
            <w:pPr>
              <w:pStyle w:val="Compact"/>
              <w:jc w:val="center"/>
            </w:pPr>
            <w:r>
              <w:t xml:space="preserve">108 (31.6%)</w:t>
            </w:r>
          </w:p>
        </w:tc>
      </w:tr>
      <w:tr>
        <w:tc>
          <w:tcPr/>
          <w:p>
            <w:pPr>
              <w:pStyle w:val="Compact"/>
              <w:jc w:val="left"/>
            </w:pPr>
            <w:r>
              <w:t xml:space="preserve">Unknown</w:t>
            </w:r>
          </w:p>
        </w:tc>
        <w:tc>
          <w:tcPr/>
          <w:p>
            <w:pPr>
              <w:pStyle w:val="Compact"/>
              <w:jc w:val="center"/>
            </w:pPr>
            <w:r>
              <w:t xml:space="preserve">1,291 (11.0%)</w:t>
            </w:r>
          </w:p>
        </w:tc>
        <w:tc>
          <w:tcPr/>
          <w:p>
            <w:pPr>
              <w:pStyle w:val="Compact"/>
              <w:jc w:val="center"/>
            </w:pPr>
            <w:r>
              <w:t xml:space="preserve">1,216 (11.4%)</w:t>
            </w:r>
          </w:p>
        </w:tc>
        <w:tc>
          <w:tcPr/>
          <w:p>
            <w:pPr>
              <w:pStyle w:val="Compact"/>
              <w:jc w:val="center"/>
            </w:pPr>
            <w:r>
              <w:t xml:space="preserve">587 (11.3%)</w:t>
            </w:r>
          </w:p>
        </w:tc>
        <w:tc>
          <w:tcPr/>
          <w:p>
            <w:pPr>
              <w:pStyle w:val="Compact"/>
              <w:jc w:val="center"/>
            </w:pPr>
            <w:r>
              <w:t xml:space="preserve">47 (13.7%)</w:t>
            </w:r>
          </w:p>
        </w:tc>
      </w:tr>
    </w:tbl>
    <w:bookmarkEnd w:id="36"/>
    <w:bookmarkEnd w:id="37"/>
    <w:bookmarkStart w:id="38" w:name="X0962f833986e1389db6fbcb184b53ad922e271a"/>
    <w:p>
      <w:pPr>
        <w:pStyle w:val="Heading2"/>
      </w:pPr>
      <w:r>
        <w:t xml:space="preserve">Signal distribution and detection at the SOC level</w:t>
      </w:r>
    </w:p>
    <w:p>
      <w:pPr>
        <w:pStyle w:val="FirstParagraph"/>
      </w:pPr>
      <w:r>
        <w:t xml:space="preserve">AEs associated with the anti-obesity and anti-diabetic panels were categorised according to the SOC classification of MedDRA (Fig 2), using the official PT-to-primary-SOC hierarchy. For the broad obesity-related panel, AEs spanned all 27 SOC categories. The most frequently reported SOC categories were general disorders and administration site conditions (17.1%, n = 2,001), injury, poisoning and procedural complications (12.9%, n = 1,508), and skin and subcutaneous tissue disorders (7.7%, n = 902); infections and infestations (7.0%), gastrointestinal disorders (6.5%) and psychiatric disorders (5.9%) followed. Within gastrointestinal disorders, nausea, vomiting, and abdominal pain were the predominant AEs, reflecting the known pharmacological profiles of GLP-1 receptor agonists. The diabetes-related panel showed a broadly similar ranking (general disorders 15.4%, injury/poisoning 13.0%, gastrointestinal disorders 7.9%) but with a notably higher proportion of metabolism and nutrition disorders (7.4% vs 4.0% in the obesity panel), reflecting the metabolic nature of the underlying condition and the pharmacological mechanisms of anti-diabetic agents.</w:t>
      </w:r>
    </w:p>
    <w:p>
      <w:pPr>
        <w:pStyle w:val="BodyText"/>
      </w:pPr>
      <w:r>
        <w:rPr>
          <w:bCs/>
          <w:b/>
        </w:rPr>
        <w:t xml:space="preserve">Fig 2.</w:t>
      </w:r>
      <w:r>
        <w:t xml:space="preserve"> </w:t>
      </w:r>
      <w:r>
        <w:t xml:space="preserve">AE distribution at the SOC level for the broad obesity-related and broad diabetes-related panels. Horizontal bar chart showing, for each MedDRA System Organ Class (version 28.1), the percentage of panel reports recording at least one adverse event mapped to that class. Percentages are computed over reports (broad obesity N = 11,701; broad diabetes N = 5,208) and do not sum to 100, because a single report may contribute events to more than one class.</w:t>
      </w:r>
    </w:p>
    <w:bookmarkEnd w:id="38"/>
    <w:bookmarkStart w:id="39" w:name="X34dd38eb3b4cdedfd950e33f27b9824d72a9e5b"/>
    <w:p>
      <w:pPr>
        <w:pStyle w:val="Heading2"/>
      </w:pPr>
      <w:r>
        <w:t xml:space="preserve">Signal distribution and detection at the PT level</w:t>
      </w:r>
    </w:p>
    <w:p>
      <w:pPr>
        <w:pStyle w:val="FirstParagraph"/>
      </w:pPr>
      <w:r>
        <w:t xml:space="preserve">Of the 2,098 drug-event pairs with N ≥ 2 that were evaluated, 360 met the ROR signal criteria specified in Table 3, namely a 95% CI lower bound exceeding 1 together with a minimum case count of N ≥ 3. Pairs supported by only two reports were retained in S8 Table for completeness but were not counted as signals, since they fall below the pre-specified frequency threshold. Of these, 105 pairs satisfied all four algorithmic thresholds simultaneously and are flagged in S8 Table as four-metric concordant. The top adverse event signals for key drugs, ranked by the number of positive signals along with their PT and ROR values, are presented in Fig 3.</w:t>
      </w:r>
    </w:p>
    <w:p>
      <w:pPr>
        <w:pStyle w:val="BodyText"/>
      </w:pPr>
      <w:r>
        <w:rPr>
          <w:bCs/>
          <w:b/>
        </w:rPr>
        <w:t xml:space="preserve">Fig 3.</w:t>
      </w:r>
      <w:r>
        <w:t xml:space="preserve"> </w:t>
      </w:r>
      <w:r>
        <w:t xml:space="preserve">The top AEs associated with the three drugs showing the strongest overall disproportionality signals across the full 14-drug obesity panel and 10-drug diabetes panel: (a) metformin, (b) atorvastatin, and (c) semaglutide, ranked by the number of positive signals along with their PT and ROR values. Full signal-detection results for all 14 obesity-panel and 10 diabetes-panel drugs are provided in S8 Table.</w:t>
      </w:r>
    </w:p>
    <w:p>
      <w:pPr>
        <w:pStyle w:val="BodyText"/>
      </w:pPr>
      <w:r>
        <w:t xml:space="preserve">Among the strongest confirmed signals (all four metrics concordant):</w:t>
      </w:r>
    </w:p>
    <w:p>
      <w:pPr>
        <w:numPr>
          <w:ilvl w:val="0"/>
          <w:numId w:val="1002"/>
        </w:numPr>
      </w:pPr>
      <w:r>
        <w:rPr>
          <w:bCs/>
          <w:b/>
        </w:rPr>
        <w:t xml:space="preserve">Metformin and Lactic Acidosis:</w:t>
      </w:r>
      <w:r>
        <w:t xml:space="preserve"> </w:t>
      </w:r>
      <w:r>
        <w:t xml:space="preserve">ROR = 61.22, 95% CI 25.21-148.68, N = 214. This represents the strongest signal in this analysis and is consistent with metformin’s well-documented, albeit rare, risk of lactic acidosis, particularly when renal function is compromised [9].</w:t>
      </w:r>
    </w:p>
    <w:p>
      <w:pPr>
        <w:numPr>
          <w:ilvl w:val="0"/>
          <w:numId w:val="1002"/>
        </w:numPr>
      </w:pPr>
      <w:r>
        <w:rPr>
          <w:bCs/>
          <w:b/>
        </w:rPr>
        <w:t xml:space="preserve">Atorvastatin and Myalgia:</w:t>
      </w:r>
      <w:r>
        <w:t xml:space="preserve"> </w:t>
      </w:r>
      <w:r>
        <w:t xml:space="preserve">ROR = 16.89, 95% CI 8.94-31.92, N = 46. Myalgia is a recognised class effect of statins and has been documented in both adult and paediatric populations [26].</w:t>
      </w:r>
    </w:p>
    <w:p>
      <w:pPr>
        <w:numPr>
          <w:ilvl w:val="0"/>
          <w:numId w:val="1002"/>
        </w:numPr>
      </w:pPr>
      <w:r>
        <w:rPr>
          <w:bCs/>
          <w:b/>
        </w:rPr>
        <w:t xml:space="preserve">Semaglutide and Nausea/Vomiting:</w:t>
      </w:r>
      <w:r>
        <w:t xml:space="preserve"> </w:t>
      </w:r>
      <w:r>
        <w:t xml:space="preserve">GLP-1 receptor agonists are well-known to cause dose-dependent gastrointestinal adverse events as their primary tolerability concern [27,28].</w:t>
      </w:r>
    </w:p>
    <w:p>
      <w:pPr>
        <w:pStyle w:val="FirstParagraph"/>
      </w:pPr>
      <w:r>
        <w:t xml:space="preserve">A notable finding was a strong reporting signal for</w:t>
      </w:r>
      <w:r>
        <w:t xml:space="preserve"> </w:t>
      </w:r>
      <w:r>
        <w:rPr>
          <w:bCs/>
          <w:b/>
        </w:rPr>
        <w:t xml:space="preserve">Semaglutide and Optic Ischaemic Neuropathy</w:t>
      </w:r>
      <w:r>
        <w:t xml:space="preserve"> </w:t>
      </w:r>
      <w:r>
        <w:t xml:space="preserve">(ROR = 439.23, 95% CI 99.33-1942.26, N = 14), consistent with recent post-marketing reports. This pair satisfied all four disproportionality criteria, including the EBGM shrinkage criterion (EBGM = 18.79, EB05 = 11.67), and is therefore a four-metric concordant signal. The wide confidence interval (spanning more than one order of magnitude) reflects the relatively small case count characteristic of rare events in adolescents and warrants cautious interpretation. This case illustrates the critical importance of multi-metric validation, as reliance on any single disproportionality metric could lead to misleading conclusions [29].</w:t>
      </w:r>
    </w:p>
    <w:bookmarkEnd w:id="39"/>
    <w:bookmarkStart w:id="47" w:name="drug-specific-adverse-event-profiles"/>
    <w:p>
      <w:pPr>
        <w:pStyle w:val="Heading2"/>
      </w:pPr>
      <w:r>
        <w:t xml:space="preserve">Drug-specific adverse event profiles</w:t>
      </w:r>
    </w:p>
    <w:bookmarkStart w:id="40" w:name="metformin-n-7081"/>
    <w:p>
      <w:pPr>
        <w:pStyle w:val="Heading3"/>
      </w:pPr>
      <w:r>
        <w:t xml:space="preserve">Metformin (N = 7,081)</w:t>
      </w:r>
    </w:p>
    <w:p>
      <w:pPr>
        <w:pStyle w:val="FirstParagraph"/>
      </w:pPr>
      <w:r>
        <w:t xml:space="preserve">Metformin, the first-line anti-diabetic agent for adolescents, demonstrated the strongest safety signals in this analysis. Beyond the prominent lactic acidosis signal (ROR = 61.22, 95% CI 25.21-148.68, N = 214), further PT-level signals meeting the ROR criteria included maternal exposure during pregnancy (N = 68, ROR = 8.65), toxicity to various agents (N = 62, ROR = 3.61), diabetes mellitus (N = 44, ROR = 4.72) and hypoglycaemia (N = 50, ROR = 3.03). The most frequently recorded metformin Preferred Terms</w:t>
      </w:r>
      <w:r>
        <w:t xml:space="preserve"> </w:t>
      </w:r>
      <w:r>
        <w:t xml:space="preserve">(drug ineffective, N = 196; product dose omission issue, N = 130; off-label use, N = 107; product use in</w:t>
      </w:r>
      <w:r>
        <w:t xml:space="preserve"> </w:t>
      </w:r>
      <w:r>
        <w:t xml:space="preserve">unapproved indication, N = 102) did not reach the ROR signal threshold, indicating that they are reported</w:t>
      </w:r>
      <w:r>
        <w:t xml:space="preserve"> </w:t>
      </w:r>
      <w:r>
        <w:t xml:space="preserve">no more often for metformin than across the rest of the panel. A recent 2025 FAERS analysis specifically focused on metformin in adolescents identified novel signals including ataxia, areflexia, muscle weakness, and rhabdomyolysis [30], findings consistent with the present data. Notably, metformin was also associated with a cluster of psychiatric and self-harm PTs: completed suicide (N = 87, ROR = 5.08, 95% CI 3.23-7.99), intentional overdose (N = 46, ROR = 2.14), and suicide attempt (N = 42, ROR = 3.66). In every one of these reports metformin was recorded as either the primary (55%) or secondary (45%) suspect rather than a concomitant medication, a pattern strongly enriched relative to metformin’s baseline concomitant role proportion across the panel. Recorded indications included suicide attempt, polycystic ovarian</w:t>
      </w:r>
      <w:r>
        <w:t xml:space="preserve"> </w:t>
      </w:r>
      <w:r>
        <w:t xml:space="preserve">syndrome, and diabetes mellitus. None of these self-harm PTs achieved four-metric concordance (all failed</w:t>
      </w:r>
      <w:r>
        <w:t xml:space="preserve"> </w:t>
      </w:r>
      <w:r>
        <w:t xml:space="preserve">the EBGM criterion), but their consistency across multiple related PTs warrants close monitoring in this</w:t>
      </w:r>
      <w:r>
        <w:t xml:space="preserve"> </w:t>
      </w:r>
      <w:r>
        <w:t xml:space="preserve">age group. The signal is more likely to reflect metformin as the agent of intentional overdose rather than a causal relationship with suicidality, but this cannot be determined from FAERS reports alone.</w:t>
      </w:r>
    </w:p>
    <w:bookmarkEnd w:id="40"/>
    <w:bookmarkStart w:id="41" w:name="atorvastatin-n-3163"/>
    <w:p>
      <w:pPr>
        <w:pStyle w:val="Heading3"/>
      </w:pPr>
      <w:r>
        <w:t xml:space="preserve">Atorvastatin (N = 3,163)</w:t>
      </w:r>
    </w:p>
    <w:p>
      <w:pPr>
        <w:pStyle w:val="FirstParagraph"/>
      </w:pPr>
      <w:r>
        <w:t xml:space="preserve">Atorvastatin (including atorvastatin calcium formulations), frequently used as a concomitant medication in adolescents with obesity-related dyslipidaemia, showed the expected statin class-effect signal for myalgia (ROR = 16.89, 95% CI 8.94-31.92, N = 46). Additional signals included drug-induced liver injury (N = 38, ROR = 16.70, 95% CI 8.31-33.56), muscle spasms (N = 24, ROR = 6.17) and rash (N = 48, ROR = 1.51). Drug ineffective was the most frequently recorded Preferred Term (N = 106) but did not meet the ROR signal</w:t>
      </w:r>
      <w:r>
        <w:t xml:space="preserve"> </w:t>
      </w:r>
      <w:r>
        <w:t xml:space="preserve">threshold.</w:t>
      </w:r>
    </w:p>
    <w:bookmarkEnd w:id="41"/>
    <w:bookmarkStart w:id="42" w:name="lisinopril-n-2529-and-losartan-n-1681"/>
    <w:p>
      <w:pPr>
        <w:pStyle w:val="Heading3"/>
      </w:pPr>
      <w:r>
        <w:t xml:space="preserve">Lisinopril (N = 2,529) and Losartan (N = 1,681)</w:t>
      </w:r>
    </w:p>
    <w:p>
      <w:pPr>
        <w:pStyle w:val="FirstParagraph"/>
      </w:pPr>
      <w:r>
        <w:t xml:space="preserve">These cardiovascular agents, commonly co-prescribed in adolescents with obesity-related hypertension, were predominantly present as concomitant medications. Lisinopril showed signals for product dose omission issue (N = 117, ROR = 2.43) and intentional dose omission (N = 27, ROR = 7.38, four-metric concordant); off-label use (N = 42, ROR = 1.27) did not meet the signal threshold. Losartan showed a signal for anhedonia (N = 21, ROR = 2.04), a psychiatric AE warranting further investigation in adolescents on polypharmacy regimens.</w:t>
      </w:r>
    </w:p>
    <w:bookmarkEnd w:id="42"/>
    <w:bookmarkStart w:id="43" w:name="semaglutide-n-279"/>
    <w:p>
      <w:pPr>
        <w:pStyle w:val="Heading3"/>
      </w:pPr>
      <w:r>
        <w:t xml:space="preserve">Semaglutide (N = 279)</w:t>
      </w:r>
    </w:p>
    <w:p>
      <w:pPr>
        <w:pStyle w:val="FirstParagraph"/>
      </w:pPr>
      <w:r>
        <w:t xml:space="preserve">Semaglutide showed a prominent signal for optic ischaemic neuropathy (N = 14, ROR = 439.23, 95% CI 99.33-1942.26) and vomiting (N = 6, ROR = 3.95), the latter consistent with recent reports flagging this potential risk [8]. Psychiatric AE signals, including mood changes and anxiety, were also identified,</w:t>
      </w:r>
      <w:r>
        <w:t xml:space="preserve"> </w:t>
      </w:r>
      <w:r>
        <w:t xml:space="preserve">consistent with pharmacovigilance studies flagging potential psychiatric effects of GLP-1 receptor agonists</w:t>
      </w:r>
      <w:r>
        <w:t xml:space="preserve"> </w:t>
      </w:r>
      <w:r>
        <w:t xml:space="preserve">[10].</w:t>
      </w:r>
    </w:p>
    <w:bookmarkEnd w:id="43"/>
    <w:bookmarkStart w:id="44" w:name="dapagliflozin-n-608"/>
    <w:p>
      <w:pPr>
        <w:pStyle w:val="Heading3"/>
      </w:pPr>
      <w:r>
        <w:t xml:space="preserve">Dapagliflozin (N = 608)</w:t>
      </w:r>
    </w:p>
    <w:p>
      <w:pPr>
        <w:pStyle w:val="FirstParagraph"/>
      </w:pPr>
      <w:r>
        <w:t xml:space="preserve">The top AEs for dapagliflozin, insulin glargine, tirzepatide, and empagliflozin are presented in Fig 4.</w:t>
      </w:r>
    </w:p>
    <w:p>
      <w:pPr>
        <w:pStyle w:val="BodyText"/>
      </w:pPr>
      <w:r>
        <w:rPr>
          <w:bCs/>
          <w:b/>
        </w:rPr>
        <w:t xml:space="preserve">Fig 4.</w:t>
      </w:r>
      <w:r>
        <w:t xml:space="preserve"> </w:t>
      </w:r>
      <w:r>
        <w:t xml:space="preserve">The top AEs associated with four additional drugs showing notable disproportionality signals: (a) dapagliflozin, (b) insulin glargine, (c) tirzepatide, and (d) empagliflozin, ranked by the number of positive signals along with their PT and ROR values. Together with Fig 3, these seven drugs illustrate the</w:t>
      </w:r>
      <w:r>
        <w:t xml:space="preserve"> </w:t>
      </w:r>
      <w:r>
        <w:t xml:space="preserve">strongest signals identified.</w:t>
      </w:r>
    </w:p>
    <w:p>
      <w:pPr>
        <w:pStyle w:val="BodyText"/>
      </w:pPr>
      <w:r>
        <w:t xml:space="preserve">Dapagliflozin, an SGLT2 inhibitor, showed the strongest cardiovascular signal in this analysis: cardiac failure (N = 30, ROR = 40.24, 95% CI 22.90-70.71), a finding of considerable clinical concern in adolescents with developing cardiac systems. Additional signals included ketoacidosis (N = 10, ROR = 9.72), nephrotic syndrome (N = 6, ROR = 162.46), nephritis (N = 4, ROR = 107.95), and body mass index increased (N = 7, ROR = 63.28). Together these support renal and cardiovascular</w:t>
      </w:r>
      <w:r>
        <w:t xml:space="preserve"> </w:t>
      </w:r>
      <w:r>
        <w:t xml:space="preserve">monitoring during SGLT2 inhibitor therapy in adolescents. Death was the most frequently reported outcome PT for dapagliflozin (N = 52, ROR = 17.84, 95% CI 12.51-25.45), with 92% of reports listing dapagliflozin as the primary suspect; indications in these cases included chronic kidney disease and cardiac failure, suggesting seriously ill patients. This signal met all four criteria, though</w:t>
      </w:r>
      <w:r>
        <w:t xml:space="preserve"> </w:t>
      </w:r>
      <w:r>
        <w:t xml:space="preserve">FAERS outcome codes conflate the recorded event with the suspected causal pathway. Haematological signals</w:t>
      </w:r>
      <w:r>
        <w:t xml:space="preserve"> </w:t>
      </w:r>
      <w:r>
        <w:t xml:space="preserve">were also observed: thrombocytopenia (N = 12, ROR = 18.21) and neutropenia (N = 10, ROR = 13.61), both</w:t>
      </w:r>
      <w:r>
        <w:t xml:space="preserve"> </w:t>
      </w:r>
      <w:r>
        <w:t xml:space="preserve">four-metric concordant, which have not been prominently reported in prior adolescent SGLT2 inhibitor</w:t>
      </w:r>
      <w:r>
        <w:t xml:space="preserve"> </w:t>
      </w:r>
      <w:r>
        <w:t xml:space="preserve">pharmacovigilance.</w:t>
      </w:r>
    </w:p>
    <w:bookmarkEnd w:id="44"/>
    <w:bookmarkStart w:id="45" w:name="Xf02da52136afd41477cafc5ca9f9506f173c492"/>
    <w:p>
      <w:pPr>
        <w:pStyle w:val="Heading3"/>
      </w:pPr>
      <w:r>
        <w:t xml:space="preserve">Insulin preparations (Glargine N = 283; Aspart N = 346; Lispro N = 287)</w:t>
      </w:r>
    </w:p>
    <w:p>
      <w:pPr>
        <w:pStyle w:val="FirstParagraph"/>
      </w:pPr>
      <w:r>
        <w:t xml:space="preserve">Insulin preparations showed expected signals for blood glucose abnormalities and hypoglycaemia. Insulin glargine showed signals for oedema (N = 6, ROR = 90.01), acute kidney injury (N = 16, ROR = 6.58) and completed suicide (N = 6, ROR = 3.41, 95% CI 1.48-7.83), where insulin was listed as a secondary suspect in all six reports. Insulin aspart showed blood glucose increased (N = 26, ROR = 10.95) and insulin lispro showed blood glucose increased (N = 13, ROR = 6.11) and diabetic ketoacidosis (N = 6, ROR = 8.88).</w:t>
      </w:r>
    </w:p>
    <w:bookmarkEnd w:id="45"/>
    <w:bookmarkStart w:id="46" w:name="Xc13ba3d3ee9affbf3e4b89c1b5c20b8efaf68d5"/>
    <w:p>
      <w:pPr>
        <w:pStyle w:val="Heading3"/>
      </w:pPr>
      <w:r>
        <w:t xml:space="preserve">Empagliflozin (N = 145) and Tirzepatide (N = 130)</w:t>
      </w:r>
    </w:p>
    <w:p>
      <w:pPr>
        <w:pStyle w:val="FirstParagraph"/>
      </w:pPr>
      <w:r>
        <w:t xml:space="preserve">These newer agents had smaller report volumes. Empagliflozin showed interstitial</w:t>
      </w:r>
      <w:r>
        <w:t xml:space="preserve"> </w:t>
      </w:r>
      <w:r>
        <w:t xml:space="preserve">lung disease (N = 4, ROR = 475.55), hepatic function abnormal (N = 6, ROR = 361.77), and rash</w:t>
      </w:r>
      <w:r>
        <w:t xml:space="preserve"> </w:t>
      </w:r>
      <w:r>
        <w:t xml:space="preserve">papular (N = 6, ROR = 241.17). Tirzepatide, a dual GIP/GLP-1 receptor agonist, showed signals for intestinal obstruction (N = 4, ROR = 106.50), suicidal ideation (N = 4, ROR = 38.02), and pancreatitis (N = 6, ROR = 33.78), consistent with the GLP-1 agonist class profile. A meta-analysis of GLP-1 RA clinical trials in adolescents found the safety profile generally acceptable, with AEs similar to those observed in adults [28], but continued monitoring is warranted.</w:t>
      </w:r>
    </w:p>
    <w:bookmarkEnd w:id="46"/>
    <w:bookmarkEnd w:id="47"/>
    <w:bookmarkStart w:id="49" w:name="Xce3ab34055ce21163616bc756eacac4313c41b9"/>
    <w:p>
      <w:pPr>
        <w:pStyle w:val="Heading2"/>
      </w:pPr>
      <w:r>
        <w:t xml:space="preserve">Complementary ML-augmented signal validation</w:t>
      </w:r>
    </w:p>
    <w:p>
      <w:pPr>
        <w:pStyle w:val="FirstParagraph"/>
      </w:pPr>
      <w:r>
        <w:t xml:space="preserve">The XGBoost model, trained on a temporally separated 2021-2023 training set and evaluated on a chronologically held-out 2025 test set (N = 2,812), achieved a temporal Macro-F1 of 0.389 (95% CI 0.353–0.434; XGBoost 3.2.0, seed 42, train-only preprocessing). Macro-F1 was computed over the five outcome classes present in the 2025 partition; Required Intervention had no test cases (support = 0), so F1 is undefined for that class. Including it as a zero-support class gives a six-class Macro-F1 of 0.324, reported here as a sensitivity analysis. Under a conventional random-split setup (80/20, stratified), XGBoost achieved the best Macro-F1 (0.629) among all fitted models in the broad obesity-related panel (N = 11,701), ahead of Random Forest (0.563). This random-split figure reproduces the original analysis pipeline, in which the category encoders and the feature scaler were fitted on the complete dataset before splitting; it is therefore optimistically biased and is reported only for comparison with the temporal result, not as a performance estimate. The PT-only lookup baseline, which assigns each report the most frequent training-period outcome for its Preferred Term, attained a temporal Macro-F1 of 0.594 (95% CI 0.545–0.626), exceeding the fitted XGBoost model. This is a direct consequence of the outcome-label construction: approximately half of outcome codes were imputed from the Preferred Term, so the lookup partially recovers the imputation rule.</w:t>
      </w:r>
    </w:p>
    <w:p>
      <w:pPr>
        <w:pStyle w:val="BodyText"/>
      </w:pPr>
      <w:r>
        <w:t xml:space="preserve">McNemar’s test (Table 5) confirmed that XGBoost significantly outperformed the majority-class, logistic regression, decision tree, and random forest comparators (p &lt; 0.001 for all). The PT-only lookup baseline, however, significantly outperformed XGBoost (b = 134, c = 453, χ² = 172.27, p = 2.4 × 10⁻³⁹), attaining a temporal Macro-F1 of 0.594 versus 0.389. This result is a direct consequence of outcome-label construction (Stage 1 pseudo-labelling derived labels from the Preferred Term, which is also model feature 13); it is quantified and disclosed as a limitation rather than treated as evidence of a fundamental model failure.</w:t>
      </w:r>
    </w:p>
    <w:p>
      <w:pPr>
        <w:pStyle w:val="BodyText"/>
      </w:pPr>
      <w:r>
        <w:t xml:space="preserve">%% Table 5: McNemar’s Test (reproduced with XGBoost 3.2.0, temporal split)</w:t>
      </w:r>
      <w:r>
        <w:t xml:space="preserve"> </w:t>
      </w:r>
      <w:r>
        <w:t xml:space="preserve">%% b = XGBoost correct / comparator wrong; c = XGBoost wrong / comparator correct.</w:t>
      </w:r>
      <w:r>
        <w:t xml:space="preserve"> </w:t>
      </w:r>
      <w:r>
        <w:t xml:space="preserve">%% PT-only lookup row: c &gt; b indicates PT-lookup outperforms XGBoost.</w:t>
      </w:r>
    </w:p>
    <w:bookmarkStart w:id="48" w:name="tab:mcnemar"/>
    <w:p>
      <w:pPr>
        <w:pStyle w:val="TableCaption"/>
      </w:pPr>
      <w:r>
        <w:t xml:space="preserve">McNemar’s test: pairwise comparison of XGBoost (temporal evaluation, 2025 test set, N = 2,812) against baseline classifiers on the broad obesity-related panel. b = cases where XGBoost is correct and the comparator is wrong; c = cases where XGBoost is wrong and the comparator is correct. All results reproduced with XGBoost 3.2.0, seed 42, train-only preprocessing.</w:t>
      </w:r>
    </w:p>
    <w:tbl>
      <w:tblPr>
        <w:tblStyle w:val="Table"/>
        <w:tblW w:type="auto" w:w="0"/>
        <w:tblLook w:firstRow="1" w:lastRow="0" w:firstColumn="0" w:lastColumn="0" w:noHBand="0" w:noVBand="0" w:val="0020"/>
        <w:jc w:val="start"/>
        <w:tblCaption w:val="McNemar’s test: pairwise comparison of XGBoost (temporal evaluation, 2025 test set, N = 2,812) against baseline classifiers on the broad obesity-related panel. b = cases where XGBoost is correct and the comparator is wrong; c = cases where XGBoost is wrong and the comparator is correct. All results reproduced with XGBoost 3.2.0, seed 42, train-only preprocessing."/>
      </w:tblPr>
      <w:tblGrid>
        <w:gridCol w:w="1320"/>
        <w:gridCol w:w="1320"/>
        <w:gridCol w:w="1320"/>
        <w:gridCol w:w="1320"/>
        <w:gridCol w:w="1320"/>
        <w:gridCol w:w="1320"/>
      </w:tblGrid>
      <w:tr>
        <w:trPr>
          <w:tblHeader w:val="true"/>
        </w:trPr>
        <w:tc>
          <w:tcPr/>
          <w:p>
            <w:pPr>
              <w:pStyle w:val="Compact"/>
              <w:jc w:val="left"/>
            </w:pPr>
            <w:r>
              <w:rPr>
                <w:bCs/>
                <w:b/>
              </w:rPr>
              <w:t xml:space="preserve">Comparison</w:t>
            </w:r>
          </w:p>
        </w:tc>
        <w:tc>
          <w:tcPr/>
          <w:p>
            <w:pPr>
              <w:pStyle w:val="Compact"/>
              <w:jc w:val="center"/>
            </w:pPr>
            <w:r>
              <w:rPr>
                <w:bCs/>
                <w:b/>
              </w:rPr>
              <w:t xml:space="preserve">b</w:t>
            </w:r>
          </w:p>
        </w:tc>
        <w:tc>
          <w:tcPr/>
          <w:p>
            <w:pPr>
              <w:pStyle w:val="Compact"/>
              <w:jc w:val="center"/>
            </w:pPr>
            <w:r>
              <w:rPr>
                <w:bCs/>
                <w:b/>
              </w:rPr>
              <w:t xml:space="preserve">c</w:t>
            </w:r>
          </w:p>
        </w:tc>
        <w:tc>
          <w:tcPr/>
          <w:p>
            <w:pPr>
              <w:pStyle w:val="Compact"/>
              <w:jc w:val="center"/>
            </w:pPr>
            <w:r>
              <w:rPr>
                <w:bCs/>
                <w:b/>
              </w:rPr>
              <w:t xml:space="preserve">χ²</w:t>
            </w:r>
          </w:p>
        </w:tc>
        <w:tc>
          <w:tcPr/>
          <w:p>
            <w:pPr>
              <w:pStyle w:val="Compact"/>
              <w:jc w:val="center"/>
            </w:pPr>
            <w:r>
              <w:rPr>
                <w:bCs/>
                <w:b/>
              </w:rPr>
              <w:t xml:space="preserve">p-value</w:t>
            </w:r>
          </w:p>
        </w:tc>
        <w:tc>
          <w:tcPr/>
          <w:p>
            <w:pPr>
              <w:pStyle w:val="Compact"/>
              <w:jc w:val="center"/>
            </w:pPr>
            <w:r>
              <w:rPr>
                <w:bCs/>
                <w:b/>
              </w:rPr>
              <w:t xml:space="preserve">Winner</w:t>
            </w:r>
          </w:p>
        </w:tc>
      </w:tr>
      <w:tr>
        <w:tc>
          <w:tcPr/>
          <w:p>
            <w:pPr>
              <w:pStyle w:val="Compact"/>
              <w:jc w:val="left"/>
            </w:pPr>
            <w:r>
              <w:t xml:space="preserve">XGBoost vs. Majority Class</w:t>
            </w:r>
          </w:p>
        </w:tc>
        <w:tc>
          <w:tcPr/>
          <w:p>
            <w:pPr>
              <w:pStyle w:val="Compact"/>
              <w:jc w:val="center"/>
            </w:pPr>
            <w:r>
              <w:t xml:space="preserve">433</w:t>
            </w:r>
          </w:p>
        </w:tc>
        <w:tc>
          <w:tcPr/>
          <w:p>
            <w:pPr>
              <w:pStyle w:val="Compact"/>
              <w:jc w:val="center"/>
            </w:pPr>
            <w:r>
              <w:t xml:space="preserve">193</w:t>
            </w:r>
          </w:p>
        </w:tc>
        <w:tc>
          <w:tcPr/>
          <w:p>
            <w:pPr>
              <w:pStyle w:val="Compact"/>
              <w:jc w:val="center"/>
            </w:pPr>
            <w:r>
              <w:t xml:space="preserve">91.25</w:t>
            </w:r>
          </w:p>
        </w:tc>
        <w:tc>
          <w:tcPr/>
          <w:p>
            <w:pPr>
              <w:pStyle w:val="Compact"/>
              <w:jc w:val="center"/>
            </w:pPr>
            <w:r>
              <w:t xml:space="preserve">1.3 × 10⁻²¹</w:t>
            </w:r>
          </w:p>
        </w:tc>
        <w:tc>
          <w:tcPr/>
          <w:p>
            <w:pPr>
              <w:pStyle w:val="Compact"/>
              <w:jc w:val="center"/>
            </w:pPr>
            <w:r>
              <w:t xml:space="preserve">XGBoost</w:t>
            </w:r>
          </w:p>
        </w:tc>
      </w:tr>
      <w:tr>
        <w:tc>
          <w:tcPr/>
          <w:p>
            <w:pPr>
              <w:pStyle w:val="Compact"/>
              <w:jc w:val="left"/>
            </w:pPr>
            <w:r>
              <w:t xml:space="preserve">XGBoost vs. Logistic Regression</w:t>
            </w:r>
          </w:p>
        </w:tc>
        <w:tc>
          <w:tcPr/>
          <w:p>
            <w:pPr>
              <w:pStyle w:val="Compact"/>
              <w:jc w:val="center"/>
            </w:pPr>
            <w:r>
              <w:t xml:space="preserve">441</w:t>
            </w:r>
          </w:p>
        </w:tc>
        <w:tc>
          <w:tcPr/>
          <w:p>
            <w:pPr>
              <w:pStyle w:val="Compact"/>
              <w:jc w:val="center"/>
            </w:pPr>
            <w:r>
              <w:t xml:space="preserve">202</w:t>
            </w:r>
          </w:p>
        </w:tc>
        <w:tc>
          <w:tcPr/>
          <w:p>
            <w:pPr>
              <w:pStyle w:val="Compact"/>
              <w:jc w:val="center"/>
            </w:pPr>
            <w:r>
              <w:t xml:space="preserve">88.09</w:t>
            </w:r>
          </w:p>
        </w:tc>
        <w:tc>
          <w:tcPr/>
          <w:p>
            <w:pPr>
              <w:pStyle w:val="Compact"/>
              <w:jc w:val="center"/>
            </w:pPr>
            <w:r>
              <w:t xml:space="preserve">6.2 × 10⁻²¹</w:t>
            </w:r>
          </w:p>
        </w:tc>
        <w:tc>
          <w:tcPr/>
          <w:p>
            <w:pPr>
              <w:pStyle w:val="Compact"/>
              <w:jc w:val="center"/>
            </w:pPr>
            <w:r>
              <w:t xml:space="preserve">XGBoost</w:t>
            </w:r>
          </w:p>
        </w:tc>
      </w:tr>
      <w:tr>
        <w:tc>
          <w:tcPr/>
          <w:p>
            <w:pPr>
              <w:pStyle w:val="Compact"/>
              <w:jc w:val="left"/>
            </w:pPr>
            <w:r>
              <w:t xml:space="preserve">XGBoost vs. Decision Tree</w:t>
            </w:r>
          </w:p>
        </w:tc>
        <w:tc>
          <w:tcPr/>
          <w:p>
            <w:pPr>
              <w:pStyle w:val="Compact"/>
              <w:jc w:val="center"/>
            </w:pPr>
            <w:r>
              <w:t xml:space="preserve">441</w:t>
            </w:r>
          </w:p>
        </w:tc>
        <w:tc>
          <w:tcPr/>
          <w:p>
            <w:pPr>
              <w:pStyle w:val="Compact"/>
              <w:jc w:val="center"/>
            </w:pPr>
            <w:r>
              <w:t xml:space="preserve">294</w:t>
            </w:r>
          </w:p>
        </w:tc>
        <w:tc>
          <w:tcPr/>
          <w:p>
            <w:pPr>
              <w:pStyle w:val="Compact"/>
              <w:jc w:val="center"/>
            </w:pPr>
            <w:r>
              <w:t xml:space="preserve">29.00</w:t>
            </w:r>
          </w:p>
        </w:tc>
        <w:tc>
          <w:tcPr/>
          <w:p>
            <w:pPr>
              <w:pStyle w:val="Compact"/>
              <w:jc w:val="center"/>
            </w:pPr>
            <w:r>
              <w:t xml:space="preserve">7.2 × 10⁻⁸</w:t>
            </w:r>
          </w:p>
        </w:tc>
        <w:tc>
          <w:tcPr/>
          <w:p>
            <w:pPr>
              <w:pStyle w:val="Compact"/>
              <w:jc w:val="center"/>
            </w:pPr>
            <w:r>
              <w:t xml:space="preserve">XGBoost</w:t>
            </w:r>
          </w:p>
        </w:tc>
      </w:tr>
      <w:tr>
        <w:tc>
          <w:tcPr/>
          <w:p>
            <w:pPr>
              <w:pStyle w:val="Compact"/>
              <w:jc w:val="left"/>
            </w:pPr>
            <w:r>
              <w:t xml:space="preserve">XGBoost vs. Random Forest</w:t>
            </w:r>
          </w:p>
        </w:tc>
        <w:tc>
          <w:tcPr/>
          <w:p>
            <w:pPr>
              <w:pStyle w:val="Compact"/>
              <w:jc w:val="center"/>
            </w:pPr>
            <w:r>
              <w:t xml:space="preserve">358</w:t>
            </w:r>
          </w:p>
        </w:tc>
        <w:tc>
          <w:tcPr/>
          <w:p>
            <w:pPr>
              <w:pStyle w:val="Compact"/>
              <w:jc w:val="center"/>
            </w:pPr>
            <w:r>
              <w:t xml:space="preserve">200</w:t>
            </w:r>
          </w:p>
        </w:tc>
        <w:tc>
          <w:tcPr/>
          <w:p>
            <w:pPr>
              <w:pStyle w:val="Compact"/>
              <w:jc w:val="center"/>
            </w:pPr>
            <w:r>
              <w:t xml:space="preserve">44.17</w:t>
            </w:r>
          </w:p>
        </w:tc>
        <w:tc>
          <w:tcPr/>
          <w:p>
            <w:pPr>
              <w:pStyle w:val="Compact"/>
              <w:jc w:val="center"/>
            </w:pPr>
            <w:r>
              <w:t xml:space="preserve">3.0 × 10⁻¹¹</w:t>
            </w:r>
          </w:p>
        </w:tc>
        <w:tc>
          <w:tcPr/>
          <w:p>
            <w:pPr>
              <w:pStyle w:val="Compact"/>
              <w:jc w:val="center"/>
            </w:pPr>
            <w:r>
              <w:t xml:space="preserve">XGBoost</w:t>
            </w:r>
          </w:p>
        </w:tc>
      </w:tr>
      <w:tr>
        <w:tc>
          <w:tcPr/>
          <w:p>
            <w:pPr>
              <w:pStyle w:val="Compact"/>
              <w:jc w:val="left"/>
            </w:pPr>
            <w:r>
              <w:t xml:space="preserve">XGBoost vs. PT-only lookup</w:t>
            </w:r>
          </w:p>
        </w:tc>
        <w:tc>
          <w:tcPr/>
          <w:p>
            <w:pPr>
              <w:pStyle w:val="Compact"/>
              <w:jc w:val="center"/>
            </w:pPr>
            <w:r>
              <w:t xml:space="preserve">134</w:t>
            </w:r>
          </w:p>
        </w:tc>
        <w:tc>
          <w:tcPr/>
          <w:p>
            <w:pPr>
              <w:pStyle w:val="Compact"/>
              <w:jc w:val="center"/>
            </w:pPr>
            <w:r>
              <w:t xml:space="preserve">453</w:t>
            </w:r>
          </w:p>
        </w:tc>
        <w:tc>
          <w:tcPr/>
          <w:p>
            <w:pPr>
              <w:pStyle w:val="Compact"/>
              <w:jc w:val="center"/>
            </w:pPr>
            <w:r>
              <w:t xml:space="preserve">172.27</w:t>
            </w:r>
          </w:p>
        </w:tc>
        <w:tc>
          <w:tcPr/>
          <w:p>
            <w:pPr>
              <w:pStyle w:val="Compact"/>
              <w:jc w:val="center"/>
            </w:pPr>
            <w:r>
              <w:t xml:space="preserve">2.4 × 10⁻³⁹</w:t>
            </w:r>
          </w:p>
        </w:tc>
        <w:tc>
          <w:tcPr/>
          <w:p>
            <w:pPr>
              <w:pStyle w:val="Compact"/>
              <w:jc w:val="center"/>
            </w:pPr>
            <w:r>
              <w:t xml:space="preserve">PT-lookup</w:t>
            </w:r>
          </w:p>
        </w:tc>
      </w:tr>
    </w:tbl>
    <w:bookmarkEnd w:id="48"/>
    <w:p>
      <w:pPr>
        <w:pStyle w:val="BodyText"/>
      </w:pPr>
      <w:r>
        <w:t xml:space="preserve">Three illustrative examples demonstrate where the two analytical approaches agree and diverge:</w:t>
      </w:r>
    </w:p>
    <w:p>
      <w:pPr>
        <w:numPr>
          <w:ilvl w:val="0"/>
          <w:numId w:val="1003"/>
        </w:numPr>
      </w:pPr>
      <w:r>
        <w:rPr>
          <w:bCs/>
          <w:b/>
        </w:rPr>
        <w:t xml:space="preserve">Concordance:</w:t>
      </w:r>
      <w:r>
        <w:t xml:space="preserve"> </w:t>
      </w:r>
      <w:r>
        <w:t xml:space="preserve">For Metformin and Lactic Acidosis, the strong four-metric disproportionality signal (ROR = 61.22) matched a high ML-predicted probability of LT/DE outcomes, driven by indication and weight features. Both population-level and case-level evidence pointed in the same direction.</w:t>
      </w:r>
    </w:p>
    <w:p>
      <w:pPr>
        <w:numPr>
          <w:ilvl w:val="0"/>
          <w:numId w:val="1003"/>
        </w:numPr>
      </w:pPr>
      <w:r>
        <w:rPr>
          <w:bCs/>
          <w:b/>
        </w:rPr>
        <w:t xml:space="preserve">Signal without severity discrimination:</w:t>
      </w:r>
      <w:r>
        <w:t xml:space="preserve"> </w:t>
      </w:r>
      <w:r>
        <w:t xml:space="preserve">For Atorvastatin and Myalgia, a strong disproportionality signal (ROR = 16.89) existed alongside weak ML discrimination of outcome severity, indicating that a safety signal can be real without the model being able to classify its clinical consequences reliably.</w:t>
      </w:r>
    </w:p>
    <w:p>
      <w:pPr>
        <w:numPr>
          <w:ilvl w:val="0"/>
          <w:numId w:val="1003"/>
        </w:numPr>
      </w:pPr>
      <w:r>
        <w:rPr>
          <w:bCs/>
          <w:b/>
        </w:rPr>
        <w:t xml:space="preserve">Sparse classes:</w:t>
      </w:r>
      <w:r>
        <w:t xml:space="preserve"> </w:t>
      </w:r>
      <w:r>
        <w:t xml:space="preserve">Required Intervention is represented by only five records in the modelling dataset and by none at all in the 2025 test year, so no interpretable model behaviour can be reported for that class. Disability is similarly sparse. Neither class supports a case-level claim, and both are reported here only to document the limits of the outcome distribution.</w:t>
      </w:r>
    </w:p>
    <w:p>
      <w:pPr>
        <w:pStyle w:val="FirstParagraph"/>
      </w:pPr>
      <w:r>
        <w:t xml:space="preserve">%% —- DISCUSSION —-</w:t>
      </w:r>
    </w:p>
    <w:bookmarkEnd w:id="49"/>
    <w:bookmarkEnd w:id="50"/>
    <w:bookmarkStart w:id="53" w:name="discussion"/>
    <w:p>
      <w:pPr>
        <w:pStyle w:val="Heading1"/>
      </w:pPr>
      <w:r>
        <w:t xml:space="preserve">Discussion</w:t>
      </w:r>
    </w:p>
    <w:p>
      <w:pPr>
        <w:pStyle w:val="FirstParagraph"/>
      </w:pPr>
      <w:r>
        <w:t xml:space="preserve">Taken together, this study provides a systematic characterisation of anti-obesity and anti-diabetic medication safety in adolescents aged 12-17 years, drawing on FAERS reports from 2021 through 2025. The discussion is organised around three threads that ran through the analysis: who was affected (demographic characteristics), what specifically went wrong (drug-specific adverse event profiles), and how population-level disproportionality signals compared with case-level machine-learning triage as complementary pharmacovigilance tools.</w:t>
      </w:r>
    </w:p>
    <w:p>
      <w:pPr>
        <w:pStyle w:val="BodyText"/>
      </w:pPr>
      <w:r>
        <w:t xml:space="preserve">As presented in Table 4, the study cohorts exhibited consistent demographic profiles across all four panels, with approximately 54% female predominance. This sex distribution is consistent with previous FAERS-based studies of paediatric populations [6] and may partly reflect the higher prevalence of depression and anxiety-related comorbidities in adolescent females, which often co-occur with obesity and diabetes and drive polypharmacy. The mean age of 14.50-14.63 years indicates that mid-adolescence represents the peak period for these medication reports, consistent with the typical onset of obesity-related pharmacotherapy around puberty. Healthcare professionals constituted the majority of AE reporters (51-56%), reflecting both the clinical setting in which these medications are prescribed and the structured reporting infrastructure in the United States, which contributed the largest share of reports.</w:t>
      </w:r>
    </w:p>
    <w:p>
      <w:pPr>
        <w:pStyle w:val="BodyText"/>
      </w:pPr>
      <w:r>
        <w:t xml:space="preserve">A critical finding was the high rate of outcome missingness (45.9-51.3% across panels). This is a well-documented limitation of FAERS [31] and has important methodological implications: any analysis that treats unreported outcomes as</w:t>
      </w:r>
      <w:r>
        <w:t xml:space="preserve"> </w:t>
      </w:r>
      <w:r>
        <w:t xml:space="preserve">“</w:t>
      </w:r>
      <w:r>
        <w:t xml:space="preserve">non-serious</w:t>
      </w:r>
      <w:r>
        <w:t xml:space="preserve">”</w:t>
      </w:r>
      <w:r>
        <w:t xml:space="preserve"> </w:t>
      </w:r>
      <w:r>
        <w:t xml:space="preserve">will systematically underestimate the proportion of severe events. This was addressed through a two-stage pseudo-labelling procedure for the ML component, though pseudo-labels should be understood as experimental expansions of the training set, not clinical judgements about what actually happened to that patient.</w:t>
      </w:r>
    </w:p>
    <w:p>
      <w:pPr>
        <w:pStyle w:val="BodyText"/>
      </w:pPr>
      <w:r>
        <w:t xml:space="preserve">The disproportionality analysis confirmed several known drug-adverse-event associations. The strong metformin-lactic acidosis signal (ROR = 61.22, 95% CI 25.21-148.68) is consistent with decades of clinical evidence [9] and recent FAERS analyses in adolescents [30]. While lactic acidosis with metformin is rare (estimated at 3-10 cases per 100,000 patient-years in adults), the signal’s strength in this adolescent-specific analysis suggests that continued vigilance is warranted, particularly in patients with renal impairment or concurrent illness. The atorvastatin-myalgia signal aligns with the known class effect of statins [26] and is particularly relevant for adolescent weight management programmes where exercise is a key component. GLP-1 receptor agonist gastrointestinal signals (nausea, vomiting, decreased appetite) are consistent with their pharmacological mechanism of action and have been well-documented in both adult and paediatric populations [27,28].</w:t>
      </w:r>
    </w:p>
    <w:p>
      <w:pPr>
        <w:pStyle w:val="BodyText"/>
      </w:pPr>
      <w:r>
        <w:t xml:space="preserve">The semaglutide optic ischaemic neuropathy signal (ROR = 439.23, 95% CI 99.33-1942.26, N = 14) deserves particular attention. It met all four disproportionality criteria, including the EBGM shrinkage criterion (EBGM = 18.79, EB05 = 11.67), and is therefore a four-metric concordant signal. Concordance across metrics that respond differently to small cell counts strengthens the case that this is a genuine reporting pattern rather than an artefact of 14 reports, although the width of the ROR confidence interval still calls for cautious interpretation. A matched-cohort study first reported an increased risk of nonarteritic anterior ischaemic optic neuropathy in patients prescribed semaglutide [32]. Larger subsequent analyses have been more equivocal: a multi-database network study found a more modest association than originally reported [33], and a 2026 systematic review and meta-analysis did not demonstrate a consistent overall increase, rating the certainty of evidence as low to very low [34]. The adolescent reporting signal observed here should therefore be read as a disproportionality finding requiring confirmation, not as corroboration of an established risk. The signal warrants close monitoring, particularly as semaglutide prescribing in adolescents continues to increase. This finding underscores the importance of applying multiple disproportionality metrics, as recommended by the WHO Uppsala Monitoring Centre and prior methodological guidance [29,35], rather than relying on any single metric.</w:t>
      </w:r>
    </w:p>
    <w:p>
      <w:pPr>
        <w:pStyle w:val="BodyText"/>
      </w:pPr>
      <w:r>
        <w:t xml:space="preserve">The ML component, while not the primary analytical method, provided a complementary perspective. The McNemar’s test results (Table 5) confirm that XGBoost significantly outperforms the majority-class, logistic regression, decision tree, and random forest baselines for case-level outcome classification. The PT-only lookup heuristic, however, significantly outperformed XGBoost (p = 2.4 × 10⁻³⁹), driven by the partial derivation of outcome labels from the Preferred Term feature. However, the temporal evaluation revealed important limitations: class-specific recall for rare outcomes (Death 0.389, Life-Threatening 0.059) was moderate to poor, indicating that the model would miss many clinically critical cases if used without human oversight. This is interpreted as evidence that ML-based triage should complement, not replace, pharmacovigilance expert review. The gap between random-split performance (Macro-F1 0.629, itself optimistically biased) and temporal performance (Macro-F1 0.389) further illustrates the well-documented problem of dataset shift in pharmacovigilance data [36], where the distribution of drugs, AEs, and reporting patterns changes over time.</w:t>
      </w:r>
    </w:p>
    <w:bookmarkStart w:id="51" w:name="strengths-and-limitations"/>
    <w:p>
      <w:pPr>
        <w:pStyle w:val="Heading2"/>
      </w:pPr>
      <w:r>
        <w:t xml:space="preserve">Strengths and limitations</w:t>
      </w:r>
    </w:p>
    <w:p>
      <w:pPr>
        <w:pStyle w:val="FirstParagraph"/>
      </w:pPr>
      <w:r>
        <w:t xml:space="preserve">This study has several strengths. First, this study represents a systematic, multi-metric disproportionality analysis of obesity-related and anti-diabetic drug safety specifically in adolescents. Second, it covers the most recent FAERS data (2021-2025), capturing the period of rapid GLP-1 agonist adoption in paediatric populations, which increased approximately 6-fold among US adolescents and young adults between 2020 and 2023 [37]. Third, it applies all four established signal detection methods (ROR, PRR, IC, EBGM), providing robust multi-dimensional signal evaluation. Fourth, it complements population-level disproportionality with case-level ML analysis and formal statistical comparison (McNemar’s test).</w:t>
      </w:r>
    </w:p>
    <w:p>
      <w:pPr>
        <w:pStyle w:val="BodyText"/>
      </w:pPr>
      <w:r>
        <w:t xml:space="preserve">However, several limitations must be acknowledged. FAERS data is based on spontaneous reporting and cannot establish causality or estimate incidence rates; all findings should be interpreted as reporting signals, not confirmed adverse drug reactions. Under-reporting, stimulated reporting (e.g., media attention to GLP-1 agonists), and confounding by indication are inherent limitations. No individual case causality assessment was performed; the analysis did not systematically evaluate chronology, dechallenge, rechallenge, or dose-response relationships. The high rate of outcome missingness (approximately 50%) limits both disproportionality and ML analyses. The selected diabetes-related panel (N = 342) had limited statistical power for rare-outcome analysis. As the four panels overlap and differ in size, product mix, and missingness, cross-panel comparisons should be interpreted as sensitivity analyses, not independent evidence of generalisation. Because the panels overlap at the case level, a single report contributing more than one panel drug is counted once within each relevant panel; per-drug totals therefore sum to more than the panel case counts and should not be added together. A further limitation concerns the machine-learning component specifically. Approximately half of the reports carried no recorded outcome, and those labels were reconstructed from the adverse-event Preferred Term, which is also one of the thirteen model features. The target is therefore partly derived from a predictor. Two consequences follow, both quantified in the accompanying repository: removing the Preferred Term from the feature set reduces temporal Macro-F1 substantially, and a lookup table that simply returns each Preferred Term’s most frequent training-period outcome outperforms every fitted model on held-out 2025 data. The case-level results should accordingly be read as a description of how outcome labels relate to reported event terms in FAERS, not as evidence of independent predictive capability, and the SHAP ranking in S2 Fig, in which the Preferred Term dominates, reflects the same dependency. Finally, the empirical Bayes estimates in S8 Table were produced by the signal-detection pipeline rather than recomputed for this report; readers assessing individual pairs should consult all four metrics together, as illustrated by the semaglutide example above, rather than any single metric in isolation.</w:t>
      </w:r>
    </w:p>
    <w:bookmarkEnd w:id="51"/>
    <w:bookmarkStart w:id="52" w:name="future-research"/>
    <w:p>
      <w:pPr>
        <w:pStyle w:val="Heading2"/>
      </w:pPr>
      <w:r>
        <w:t xml:space="preserve">Future research</w:t>
      </w:r>
    </w:p>
    <w:p>
      <w:pPr>
        <w:pStyle w:val="FirstParagraph"/>
      </w:pPr>
      <w:r>
        <w:t xml:space="preserve">Future studies should focus on three priorities. First, prospective clinical studies are needed to confirm the causal relationships suggested by the disproportionality signals identified here, particularly for novel or under-reported AEs. Second, longer-term follow-up of adolescents on GLP-1 receptor agonists is essential, as these medications are increasingly prescribed for extended durations during a critical period of physical development. Third, the ML methodology could be improved through larger training sets, incorporation of drug interaction features, and ensemble approaches that combine population-level and case-level evidence for integrated pharmacovigilance.</w:t>
      </w:r>
    </w:p>
    <w:p>
      <w:pPr>
        <w:pStyle w:val="BodyText"/>
      </w:pPr>
      <w:r>
        <w:t xml:space="preserve">%% —- CONCLUSION —-</w:t>
      </w:r>
    </w:p>
    <w:bookmarkEnd w:id="52"/>
    <w:bookmarkEnd w:id="53"/>
    <w:bookmarkStart w:id="54" w:name="conclusion-1"/>
    <w:p>
      <w:pPr>
        <w:pStyle w:val="Heading1"/>
      </w:pPr>
      <w:r>
        <w:t xml:space="preserve">Conclusion</w:t>
      </w:r>
    </w:p>
    <w:p>
      <w:pPr>
        <w:pStyle w:val="FirstParagraph"/>
      </w:pPr>
      <w:r>
        <w:t xml:space="preserve">This four-metric disproportionality analysis of 2021-2025 FAERS data characterised the adverse event profiles of obesity-related and anti-diabetic medications in adolescents aged 12-17 years. The analysis confirmed several known safety signals, including metformin-lactic acidosis (ROR = 61.22), statin-myalgia (ROR = 16.89), and GLP-1 agonist gastrointestinal effects. Additionally, it identified reporting patterns that warrant further investigation, such as the semaglutide-optic ischaemic neuropathy signal (ROR = 439.23) and dapagliflozin-cardiac failure association (ROR = 40.24). The complementary machine-learning analysis demonstrated that case-level triage can augment population-level pharmacovigilance, though with important limitations for rare-outcome detection. As the causal relationships between these medications and the observed adverse events remain to be fully elucidated, additional prospective research is warranted to confirm these findings and enhance medication safety in this vulnerable population.</w:t>
      </w:r>
    </w:p>
    <w:p>
      <w:pPr>
        <w:pStyle w:val="BodyText"/>
      </w:pPr>
      <w:r>
        <w:t xml:space="preserve">%% —- ACKNOWLEDGMENTS —-</w:t>
      </w:r>
    </w:p>
    <w:bookmarkEnd w:id="54"/>
    <w:bookmarkStart w:id="55" w:name="acknowledgments"/>
    <w:p>
      <w:pPr>
        <w:pStyle w:val="Heading1"/>
      </w:pPr>
      <w:r>
        <w:t xml:space="preserve">Acknowledgments</w:t>
      </w:r>
    </w:p>
    <w:p>
      <w:pPr>
        <w:pStyle w:val="FirstParagraph"/>
      </w:pPr>
      <w:r>
        <w:t xml:space="preserve">The authors thank Maharashtra Institute of Technology (MIT) Vishwaprayag University, Solapur, for institutional support, and the U.S. Food and Drug Administration for making the FAERS data publicly available.</w:t>
      </w:r>
    </w:p>
    <w:bookmarkEnd w:id="55"/>
    <w:bookmarkStart w:id="56" w:name="ai-tool-disclosure"/>
    <w:p>
      <w:pPr>
        <w:pStyle w:val="Heading1"/>
      </w:pPr>
      <w:r>
        <w:t xml:space="preserve">AI Tool Disclosure</w:t>
      </w:r>
    </w:p>
    <w:p>
      <w:pPr>
        <w:pStyle w:val="FirstParagraph"/>
      </w:pPr>
      <w:r>
        <w:t xml:space="preserve">All ideas, research design, system architecture, model training, data analysis, and scientific conclusions in this work are entirely the authors’ own. During the writing and development process, the authors occasionally used AI based tools, specifically ChatGPT (OpenAI), Perplexity AI, Z AI, and Antigravity (a code generation assistant), strictly as reference aids. These tools were consulted only for cross checking specific technical details, clarifying terminology, or verifying code syntax. No AI tool contributed creatively or analytically to the work reported here.</w:t>
      </w:r>
    </w:p>
    <w:p>
      <w:pPr>
        <w:pStyle w:val="BodyText"/>
      </w:pPr>
      <w:r>
        <w:t xml:space="preserve">%% —- FUNDING &amp; COMPETING INTERESTS —-</w:t>
      </w:r>
      <w:r>
        <w:t xml:space="preserve"> </w:t>
      </w:r>
      <w:r>
        <w:t xml:space="preserve">%% Per PLOS ONE submission guidelines, funding and competing-interest statements</w:t>
      </w:r>
      <w:r>
        <w:t xml:space="preserve"> </w:t>
      </w:r>
      <w:r>
        <w:t xml:space="preserve">%% are entered via the online submission system, not in the manuscript file.</w:t>
      </w:r>
      <w:r>
        <w:t xml:space="preserve"> </w:t>
      </w:r>
      <w:r>
        <w:t xml:space="preserve">%% Financial Disclosure Statement (enter in submission system): "The author(s) received no specific funding for this work."</w:t>
      </w:r>
      <w:r>
        <w:t xml:space="preserve"> </w:t>
      </w:r>
      <w:r>
        <w:t xml:space="preserve">%% Competing Interests (enter in submission system): "The authors have declared that no competing interests exist."</w:t>
      </w:r>
    </w:p>
    <w:p>
      <w:pPr>
        <w:pStyle w:val="BodyText"/>
      </w:pPr>
      <w:r>
        <w:t xml:space="preserve">%% —- DATA AVAILABILITY —-</w:t>
      </w:r>
    </w:p>
    <w:bookmarkEnd w:id="56"/>
    <w:bookmarkStart w:id="60" w:name="data-availability"/>
    <w:p>
      <w:pPr>
        <w:pStyle w:val="Heading1"/>
      </w:pPr>
      <w:r>
        <w:t xml:space="preserve">Data availability</w:t>
      </w:r>
    </w:p>
    <w:p>
      <w:pPr>
        <w:pStyle w:val="FirstParagraph"/>
      </w:pPr>
      <w:r>
        <w:t xml:space="preserve">The FAERS quarterly ASCII data files used in this study are publicly available from the U.S. FDA at</w:t>
      </w:r>
      <w:r>
        <w:t xml:space="preserve"> </w:t>
      </w:r>
      <w:hyperlink r:id="rId57">
        <w:r>
          <w:rPr>
            <w:rStyle w:val="Hyperlink"/>
          </w:rPr>
          <w:t xml:space="preserve">https://fis.fda.gov/extensions/FPD-QDE-FAERS/FPD-QDE-FAERS.html</w:t>
        </w:r>
      </w:hyperlink>
      <w:r>
        <w:t xml:space="preserve">. All code used for data preprocessing, disproportionality analysis, and the complementary machine-learning models, together with the derived (de-identified, adolescent-restricted, drug-panel-filtered) analytic datasets, are openly available at GitHub (</w:t>
      </w:r>
      <w:hyperlink r:id="rId58">
        <w:r>
          <w:rPr>
            <w:rStyle w:val="Hyperlink"/>
          </w:rPr>
          <w:t xml:space="preserve">https://github.com/AthervTelkar2498/Temporal-Adolescent-Anti-Obesity-and-Anti-Diabetic-Pharmacotherapy</w:t>
        </w:r>
      </w:hyperlink>
      <w:r>
        <w:t xml:space="preserve">) and archived on Zenodo (DOI:</w:t>
      </w:r>
      <w:r>
        <w:t xml:space="preserve"> </w:t>
      </w:r>
      <w:hyperlink r:id="rId59">
        <w:r>
          <w:rPr>
            <w:rStyle w:val="Hyperlink"/>
          </w:rPr>
          <w:t xml:space="preserve">https://doi.org/10.5281/zenodo.22767355</w:t>
        </w:r>
      </w:hyperlink>
      <w:r>
        <w:t xml:space="preserve">). This repository additionally contains the complete signal-detection outputs underlying S8 Table and the scripts required to regenerate all figures reported in this manuscript.</w:t>
      </w:r>
    </w:p>
    <w:p>
      <w:pPr>
        <w:pStyle w:val="BodyText"/>
      </w:pPr>
      <w:r>
        <w:t xml:space="preserve">%% —- AUTHOR CONTRIBUTIONS —-</w:t>
      </w:r>
    </w:p>
    <w:bookmarkEnd w:id="60"/>
    <w:bookmarkStart w:id="65" w:name="author-contributions"/>
    <w:p>
      <w:pPr>
        <w:pStyle w:val="Heading1"/>
      </w:pPr>
      <w:r>
        <w:t xml:space="preserve">Author contributions</w:t>
      </w:r>
    </w:p>
    <w:p>
      <w:pPr>
        <w:pStyle w:val="FirstParagraph"/>
      </w:pPr>
      <w:r>
        <w:rPr>
          <w:bCs/>
          <w:b/>
        </w:rPr>
        <w:t xml:space="preserve">Conceptualization:</w:t>
      </w:r>
      <w:r>
        <w:t xml:space="preserve"> </w:t>
      </w:r>
      <w:r>
        <w:t xml:space="preserve">Atherv Telkar, Amey Telkar.</w:t>
      </w:r>
      <w:r>
        <w:br/>
      </w:r>
      <w:r>
        <w:rPr>
          <w:bCs/>
          <w:b/>
        </w:rPr>
        <w:t xml:space="preserve">Data curation:</w:t>
      </w:r>
      <w:r>
        <w:t xml:space="preserve"> </w:t>
      </w:r>
      <w:r>
        <w:t xml:space="preserve">Atherv Telkar, Amey Telkar, Darshan Ruikar.</w:t>
      </w:r>
      <w:r>
        <w:br/>
      </w:r>
      <w:r>
        <w:rPr>
          <w:bCs/>
          <w:b/>
        </w:rPr>
        <w:t xml:space="preserve">Formal analysis:</w:t>
      </w:r>
      <w:r>
        <w:t xml:space="preserve"> </w:t>
      </w:r>
      <w:r>
        <w:t xml:space="preserve">Atherv Telkar, Amey Telkar.</w:t>
      </w:r>
      <w:r>
        <w:br/>
      </w:r>
      <w:r>
        <w:rPr>
          <w:bCs/>
          <w:b/>
        </w:rPr>
        <w:t xml:space="preserve">Investigation:</w:t>
      </w:r>
      <w:r>
        <w:t xml:space="preserve"> </w:t>
      </w:r>
      <w:r>
        <w:t xml:space="preserve">Atherv Telkar, Amey Telkar, Akshay Javalgikar, Nitin Madanwale.</w:t>
      </w:r>
      <w:r>
        <w:br/>
      </w:r>
      <w:r>
        <w:rPr>
          <w:bCs/>
          <w:b/>
        </w:rPr>
        <w:t xml:space="preserve">Methodology:</w:t>
      </w:r>
      <w:r>
        <w:t xml:space="preserve"> </w:t>
      </w:r>
      <w:r>
        <w:t xml:space="preserve">Atherv Telkar, Amey Telkar, Preethi Baligar.</w:t>
      </w:r>
      <w:r>
        <w:br/>
      </w:r>
      <w:r>
        <w:rPr>
          <w:bCs/>
          <w:b/>
        </w:rPr>
        <w:t xml:space="preserve">Software:</w:t>
      </w:r>
      <w:r>
        <w:t xml:space="preserve"> </w:t>
      </w:r>
      <w:r>
        <w:t xml:space="preserve">Atherv Telkar, Amey Telkar.</w:t>
      </w:r>
      <w:r>
        <w:br/>
      </w:r>
      <w:r>
        <w:rPr>
          <w:bCs/>
          <w:b/>
        </w:rPr>
        <w:t xml:space="preserve">Supervision:</w:t>
      </w:r>
      <w:r>
        <w:t xml:space="preserve"> </w:t>
      </w:r>
      <w:r>
        <w:t xml:space="preserve">Preethi Baligar, Darshan Ruikar.</w:t>
      </w:r>
      <w:r>
        <w:br/>
      </w:r>
      <w:r>
        <w:rPr>
          <w:bCs/>
          <w:b/>
        </w:rPr>
        <w:t xml:space="preserve">Validation:</w:t>
      </w:r>
      <w:r>
        <w:t xml:space="preserve"> </w:t>
      </w:r>
      <w:r>
        <w:t xml:space="preserve">Akshay Javalgikar, Nitin Madanwale.</w:t>
      </w:r>
      <w:r>
        <w:br/>
      </w:r>
      <w:r>
        <w:rPr>
          <w:bCs/>
          <w:b/>
        </w:rPr>
        <w:t xml:space="preserve">Writing - original draft:</w:t>
      </w:r>
      <w:r>
        <w:t xml:space="preserve"> </w:t>
      </w:r>
      <w:r>
        <w:t xml:space="preserve">Atherv Telkar, Amey Telkar.</w:t>
      </w:r>
      <w:r>
        <w:br/>
      </w:r>
      <w:r>
        <w:rPr>
          <w:bCs/>
          <w:b/>
        </w:rPr>
        <w:t xml:space="preserve">Writing - review &amp; editing:</w:t>
      </w:r>
      <w:r>
        <w:t xml:space="preserve"> </w:t>
      </w:r>
      <w:r>
        <w:t xml:space="preserve">Akshay Javalgikar, Nitin Madanwale, Darshan Ruikar, Preethi Baligar.</w:t>
      </w:r>
    </w:p>
    <w:p>
      <w:pPr>
        <w:pStyle w:val="BodyText"/>
      </w:pPr>
      <w:r>
        <w:t xml:space="preserve">%% —- REFERENCES —-</w:t>
      </w:r>
    </w:p>
    <w:p>
      <w:pPr>
        <w:pStyle w:val="BodyText"/>
      </w:pPr>
      <w:r>
        <w:t xml:space="preserve">99</w:t>
      </w:r>
    </w:p>
    <w:p>
      <w:pPr>
        <w:pStyle w:val="BodyText"/>
      </w:pPr>
      <w:r>
        <w:t xml:space="preserve">Centers for Disease Control and Prevention.</w:t>
      </w:r>
      <w:r>
        <w:t xml:space="preserve"> </w:t>
      </w:r>
      <w:r>
        <w:t xml:space="preserve">National Health and Nutrition Examination Survey (NHANES):</w:t>
      </w:r>
      <w:r>
        <w:t xml:space="preserve"> </w:t>
      </w:r>
      <w:r>
        <w:t xml:space="preserve">Obesity prevalence among U.S. youth.</w:t>
      </w:r>
      <w:r>
        <w:t xml:space="preserve"> </w:t>
      </w:r>
      <w:hyperlink r:id="rId61">
        <w:r>
          <w:rPr>
            <w:rStyle w:val="Hyperlink"/>
          </w:rPr>
          <w:t xml:space="preserve">https://www.cdc.gov/nchs/nhanes</w:t>
        </w:r>
      </w:hyperlink>
      <w:r>
        <w:t xml:space="preserve">.</w:t>
      </w:r>
      <w:r>
        <w:t xml:space="preserve"> </w:t>
      </w:r>
      <w:r>
        <w:t xml:space="preserve">Accessed May 2026.</w:t>
      </w:r>
    </w:p>
    <w:p>
      <w:pPr>
        <w:pStyle w:val="BodyText"/>
      </w:pPr>
      <w:r>
        <w:t xml:space="preserve">Mayer-Davis EJ, Lawrence JM, Dabelea D, Divers J, Isom S, Dolan L, et al.</w:t>
      </w:r>
      <w:r>
        <w:t xml:space="preserve"> </w:t>
      </w:r>
      <w:r>
        <w:t xml:space="preserve">Incidence trends of type 1 and type 2 diabetes among youths, 2002-2012.</w:t>
      </w:r>
      <w:r>
        <w:t xml:space="preserve"> </w:t>
      </w:r>
      <w:r>
        <w:t xml:space="preserve">N Engl J Med. 2017;376(15):1419-1429.</w:t>
      </w:r>
      <w:r>
        <w:t xml:space="preserve"> </w:t>
      </w:r>
      <w:r>
        <w:t xml:space="preserve">doi:10.1056/NEJMoa1610187</w:t>
      </w:r>
    </w:p>
    <w:p>
      <w:pPr>
        <w:pStyle w:val="BodyText"/>
      </w:pPr>
      <w:r>
        <w:t xml:space="preserve">Cengiz E, Danne T, Ahmad T, Ayyavoo A, Beran D, Codner E, et al.</w:t>
      </w:r>
      <w:r>
        <w:t xml:space="preserve"> </w:t>
      </w:r>
      <w:r>
        <w:t xml:space="preserve">International Society for Pediatric and Adolescent Diabetes Clinical Practice Consensus Guidelines 2024: Insulin and Adjunctive Treatments in Children and Adolescents with Diabetes.</w:t>
      </w:r>
      <w:r>
        <w:t xml:space="preserve"> </w:t>
      </w:r>
      <w:r>
        <w:t xml:space="preserve">Horm Res Paediatr. 2025;97(6):584-614.</w:t>
      </w:r>
      <w:r>
        <w:t xml:space="preserve"> </w:t>
      </w:r>
      <w:r>
        <w:t xml:space="preserve">doi:10.1159/000543169</w:t>
      </w:r>
    </w:p>
    <w:p>
      <w:pPr>
        <w:pStyle w:val="BodyText"/>
      </w:pPr>
      <w:r>
        <w:t xml:space="preserve">U.S. Food and Drug Administration.</w:t>
      </w:r>
      <w:r>
        <w:t xml:space="preserve"> </w:t>
      </w:r>
      <w:r>
        <w:t xml:space="preserve">FDA approves treatment for chronic weight management in pediatric patients aged 12 years and older. 2020.</w:t>
      </w:r>
      <w:r>
        <w:t xml:space="preserve"> </w:t>
      </w:r>
      <w:hyperlink r:id="rId62">
        <w:r>
          <w:rPr>
            <w:rStyle w:val="Hyperlink"/>
          </w:rPr>
          <w:t xml:space="preserve">https://www.fda.gov/drugs/news-events-human-drugs</w:t>
        </w:r>
      </w:hyperlink>
    </w:p>
    <w:p>
      <w:pPr>
        <w:pStyle w:val="BodyText"/>
      </w:pPr>
      <w:r>
        <w:t xml:space="preserve">Kelly AS, Auerbach P, Barrientos-Perez M, Gies I, Hale PM, Marcus C, et al.</w:t>
      </w:r>
      <w:r>
        <w:t xml:space="preserve"> </w:t>
      </w:r>
      <w:r>
        <w:t xml:space="preserve">A randomized, controlled trial of liraglutide for adolescents with obesity.</w:t>
      </w:r>
      <w:r>
        <w:t xml:space="preserve"> </w:t>
      </w:r>
      <w:r>
        <w:t xml:space="preserve">N Engl J Med. 2020;382(22):2117-2128.</w:t>
      </w:r>
      <w:r>
        <w:t xml:space="preserve"> </w:t>
      </w:r>
      <w:r>
        <w:t xml:space="preserve">doi:10.1056/NEJMoa1916038</w:t>
      </w:r>
    </w:p>
    <w:p>
      <w:pPr>
        <w:pStyle w:val="BodyText"/>
      </w:pPr>
      <w:r>
        <w:t xml:space="preserve">Phan M, Cheng C, Dang V, Wu E, Mu </w:t>
      </w:r>
      <w:r>
        <w:t xml:space="preserve">n</w:t>
      </w:r>
      <w:r>
        <w:t xml:space="preserve">oz MA.</w:t>
      </w:r>
      <w:r>
        <w:t xml:space="preserve"> </w:t>
      </w:r>
      <w:r>
        <w:t xml:space="preserve">Characterization of Pediatric Reports in the US FDA Adverse Event Reporting System from 2010-2020.</w:t>
      </w:r>
      <w:r>
        <w:t xml:space="preserve"> </w:t>
      </w:r>
      <w:r>
        <w:t xml:space="preserve">Ther Innov Regul Sci. 2023;57(5):1062-1073.</w:t>
      </w:r>
      <w:r>
        <w:t xml:space="preserve"> </w:t>
      </w:r>
      <w:r>
        <w:t xml:space="preserve">doi:10.1007/s43441-023-00542-0</w:t>
      </w:r>
    </w:p>
    <w:p>
      <w:pPr>
        <w:pStyle w:val="BodyText"/>
      </w:pPr>
      <w:r>
        <w:t xml:space="preserve">Kearns GL, Abdel-Rahman SM, Alander SW, Blowey DL, Leeder JS, Kauffman RE.</w:t>
      </w:r>
      <w:r>
        <w:t xml:space="preserve"> </w:t>
      </w:r>
      <w:r>
        <w:t xml:space="preserve">Developmental pharmacology: drug disposition, action, and therapy in infants and children.</w:t>
      </w:r>
      <w:r>
        <w:t xml:space="preserve"> </w:t>
      </w:r>
      <w:r>
        <w:t xml:space="preserve">N Engl J Med. 2003;349(12):1157-1167.</w:t>
      </w:r>
      <w:r>
        <w:t xml:space="preserve"> </w:t>
      </w:r>
      <w:r>
        <w:t xml:space="preserve">doi:10.1056/NEJMra035092</w:t>
      </w:r>
    </w:p>
    <w:p>
      <w:pPr>
        <w:pStyle w:val="BodyText"/>
      </w:pPr>
      <w:r>
        <w:t xml:space="preserve">Wilding JP, Batterham RL, Calanna S, Davies M, Van Gaal LF, Lingvay I, et al.</w:t>
      </w:r>
      <w:r>
        <w:t xml:space="preserve"> </w:t>
      </w:r>
      <w:r>
        <w:t xml:space="preserve">Once-weekly semaglutide in adults with overweight or obesity.</w:t>
      </w:r>
      <w:r>
        <w:t xml:space="preserve"> </w:t>
      </w:r>
      <w:r>
        <w:t xml:space="preserve">N Engl J Med. 2021;384(11):989-1002.</w:t>
      </w:r>
      <w:r>
        <w:t xml:space="preserve"> </w:t>
      </w:r>
      <w:r>
        <w:t xml:space="preserve">doi:10.1056/NEJMoa2032183</w:t>
      </w:r>
    </w:p>
    <w:p>
      <w:pPr>
        <w:pStyle w:val="BodyText"/>
      </w:pPr>
      <w:r>
        <w:t xml:space="preserve">DeFronzo R, Fleming GA, Chen K, Bicsak TA.</w:t>
      </w:r>
      <w:r>
        <w:t xml:space="preserve"> </w:t>
      </w:r>
      <w:r>
        <w:t xml:space="preserve">Metformin-associated lactic acidosis: current perspectives on causes and risk.</w:t>
      </w:r>
      <w:r>
        <w:t xml:space="preserve"> </w:t>
      </w:r>
      <w:r>
        <w:t xml:space="preserve">Metabolism. 2016;65(2):20-29.</w:t>
      </w:r>
      <w:r>
        <w:t xml:space="preserve"> </w:t>
      </w:r>
      <w:r>
        <w:t xml:space="preserve">doi:10.1016/j.metabol.2015.10.014</w:t>
      </w:r>
    </w:p>
    <w:p>
      <w:pPr>
        <w:pStyle w:val="BodyText"/>
      </w:pPr>
      <w:r>
        <w:t xml:space="preserve">Wang W, Volkow ND, Berger NA, Davis PB, Kaelber DC, Xu R.</w:t>
      </w:r>
      <w:r>
        <w:t xml:space="preserve"> </w:t>
      </w:r>
      <w:r>
        <w:t xml:space="preserve">Association of semaglutide with risk of suicidal ideation in a real-world cohort.</w:t>
      </w:r>
      <w:r>
        <w:t xml:space="preserve"> </w:t>
      </w:r>
      <w:r>
        <w:t xml:space="preserve">Nat Med. 2024;30(1):168-176.</w:t>
      </w:r>
      <w:r>
        <w:t xml:space="preserve"> </w:t>
      </w:r>
      <w:r>
        <w:t xml:space="preserve">doi:10.1038/s41591-023-02672-2</w:t>
      </w:r>
    </w:p>
    <w:p>
      <w:pPr>
        <w:pStyle w:val="BodyText"/>
      </w:pPr>
      <w:r>
        <w:t xml:space="preserve">Sakaeda T, Tamon A, Kadoyama K, Okuno Y.</w:t>
      </w:r>
      <w:r>
        <w:t xml:space="preserve"> </w:t>
      </w:r>
      <w:r>
        <w:t xml:space="preserve">Data mining of the public version of the FDA Adverse Event Reporting System.</w:t>
      </w:r>
      <w:r>
        <w:t xml:space="preserve"> </w:t>
      </w:r>
      <w:r>
        <w:t xml:space="preserve">Int J Med Sci. 2013;10(7):796-803.</w:t>
      </w:r>
      <w:r>
        <w:t xml:space="preserve"> </w:t>
      </w:r>
      <w:r>
        <w:t xml:space="preserve">doi:10.7150/ijms.6048</w:t>
      </w:r>
    </w:p>
    <w:p>
      <w:pPr>
        <w:pStyle w:val="BodyText"/>
      </w:pPr>
      <w:r>
        <w:t xml:space="preserve">van Puijenbroek EP, Bate A, Leufkens HGM, Lindquist M, Orre R, Egberts ACG.</w:t>
      </w:r>
      <w:r>
        <w:t xml:space="preserve"> </w:t>
      </w:r>
      <w:r>
        <w:t xml:space="preserve">A comparison of measures of disproportionality.</w:t>
      </w:r>
      <w:r>
        <w:t xml:space="preserve"> </w:t>
      </w:r>
      <w:r>
        <w:t xml:space="preserve">Pharmacoepidemiol Drug Saf. 2002;11(1):3-10.</w:t>
      </w:r>
      <w:r>
        <w:t xml:space="preserve"> </w:t>
      </w:r>
      <w:r>
        <w:t xml:space="preserve">doi:10.1002/pds.668</w:t>
      </w:r>
    </w:p>
    <w:p>
      <w:pPr>
        <w:pStyle w:val="BodyText"/>
      </w:pPr>
      <w:r>
        <w:t xml:space="preserve">Zhou Y, Lu Y, Wu Y, Kong W, Zhou L, Guo X, et al.</w:t>
      </w:r>
      <w:r>
        <w:t xml:space="preserve"> </w:t>
      </w:r>
      <w:r>
        <w:t xml:space="preserve">Safety of antidepressants commonly used in 6-17-year-old children and adolescents: A disproportionality analysis from 2014-2023 on the basis of the FAERS database.</w:t>
      </w:r>
      <w:r>
        <w:t xml:space="preserve"> </w:t>
      </w:r>
      <w:r>
        <w:t xml:space="preserve">PLoS One. 2025;20(8):e0330025.</w:t>
      </w:r>
      <w:r>
        <w:t xml:space="preserve"> </w:t>
      </w:r>
      <w:r>
        <w:t xml:space="preserve">doi:10.1371/journal.pone.0330025</w:t>
      </w:r>
    </w:p>
    <w:p>
      <w:pPr>
        <w:pStyle w:val="BodyText"/>
      </w:pPr>
      <w:r>
        <w:t xml:space="preserve">Lai JH, Pan YP, Yu ZH, Jang WF, Hu JT, Tang ZH.</w:t>
      </w:r>
      <w:r>
        <w:t xml:space="preserve"> </w:t>
      </w:r>
      <w:r>
        <w:t xml:space="preserve">Mining and analysis of reported ARDS population in FAERS database.</w:t>
      </w:r>
      <w:r>
        <w:t xml:space="preserve"> </w:t>
      </w:r>
      <w:r>
        <w:t xml:space="preserve">PLoS One. 2025;20(11):e0334500.</w:t>
      </w:r>
      <w:r>
        <w:t xml:space="preserve"> </w:t>
      </w:r>
      <w:r>
        <w:t xml:space="preserve">doi:10.1371/journal.pone.0334500</w:t>
      </w:r>
    </w:p>
    <w:p>
      <w:pPr>
        <w:pStyle w:val="BodyText"/>
      </w:pPr>
      <w:r>
        <w:t xml:space="preserve">Feng J, Zhao S.</w:t>
      </w:r>
      <w:r>
        <w:t xml:space="preserve"> </w:t>
      </w:r>
      <w:r>
        <w:t xml:space="preserve">Respiratory drugs and psychiatric adverse events in children and adolescents: a pharmacovigilance study based on the FAERS.</w:t>
      </w:r>
      <w:r>
        <w:t xml:space="preserve"> </w:t>
      </w:r>
      <w:r>
        <w:t xml:space="preserve">Naunyn Schmiedebergs Arch Pharmacol. 2026;399(7):10535-10547.</w:t>
      </w:r>
      <w:r>
        <w:t xml:space="preserve"> </w:t>
      </w:r>
      <w:r>
        <w:t xml:space="preserve">doi:10.1007/s00210-026-05075-5</w:t>
      </w:r>
    </w:p>
    <w:p>
      <w:pPr>
        <w:pStyle w:val="BodyText"/>
      </w:pPr>
      <w:r>
        <w:t xml:space="preserve">Yang Y, Wang P, Li QX. Safety profile of TNF-α inhibitors in pediatric patients: A post-marketing surveillance study based on the FAERS database. PLoS One. 2025;20(12):e0328465.</w:t>
      </w:r>
      <w:r>
        <w:t xml:space="preserve"> </w:t>
      </w:r>
      <w:r>
        <w:t xml:space="preserve">doi:10.1371/journal.pone.0328465</w:t>
      </w:r>
    </w:p>
    <w:p>
      <w:pPr>
        <w:pStyle w:val="BodyText"/>
      </w:pPr>
      <w:r>
        <w:t xml:space="preserve">Qin N, Gan Y, Ouyang J, Qin J, Tang Y, Wu H, et al. Identification of drug-related cardiovascular risks: A comprehensive analysis using the FAERS database (2004-2024). PLoS One. 2026;21(6):e0349218. doi:10.1371/journal.pone.0349218</w:t>
      </w:r>
    </w:p>
    <w:p>
      <w:pPr>
        <w:pStyle w:val="BodyText"/>
      </w:pPr>
      <w:r>
        <w:t xml:space="preserve">U.S. Food and Drug Administration.</w:t>
      </w:r>
      <w:r>
        <w:t xml:space="preserve"> </w:t>
      </w:r>
      <w:r>
        <w:t xml:space="preserve">FAERS Public Dashboard.</w:t>
      </w:r>
      <w:r>
        <w:t xml:space="preserve"> </w:t>
      </w:r>
      <w:hyperlink r:id="rId57">
        <w:r>
          <w:rPr>
            <w:rStyle w:val="Hyperlink"/>
          </w:rPr>
          <w:t xml:space="preserve">https://fis.fda.gov/extensions/FPD-QDE-FAERS/FPD-QDE-FAERS.html</w:t>
        </w:r>
      </w:hyperlink>
      <w:r>
        <w:t xml:space="preserve">.</w:t>
      </w:r>
      <w:r>
        <w:t xml:space="preserve"> </w:t>
      </w:r>
      <w:r>
        <w:t xml:space="preserve">Accessed June 2026.</w:t>
      </w:r>
    </w:p>
    <w:p>
      <w:pPr>
        <w:pStyle w:val="BodyText"/>
      </w:pPr>
      <w:r>
        <w:t xml:space="preserve">International Council for Harmonisation (ICH).</w:t>
      </w:r>
      <w:r>
        <w:t xml:space="preserve"> </w:t>
      </w:r>
      <w:r>
        <w:t xml:space="preserve">Medical Dictionary for Regulatory Activities (MedDRA), Version 28.1. ICH; 2025.</w:t>
      </w:r>
      <w:r>
        <w:t xml:space="preserve"> </w:t>
      </w:r>
      <w:hyperlink r:id="rId63">
        <w:r>
          <w:rPr>
            <w:rStyle w:val="Hyperlink"/>
          </w:rPr>
          <w:t xml:space="preserve">https://www.meddra.org</w:t>
        </w:r>
      </w:hyperlink>
    </w:p>
    <w:p>
      <w:pPr>
        <w:pStyle w:val="BodyText"/>
      </w:pPr>
      <w:r>
        <w:t xml:space="preserve">Rothman KJ, Lanes S, Sacks ST.</w:t>
      </w:r>
      <w:r>
        <w:t xml:space="preserve"> </w:t>
      </w:r>
      <w:r>
        <w:t xml:space="preserve">The reporting odds ratio and its advantages over the proportional reporting ratio.</w:t>
      </w:r>
      <w:r>
        <w:t xml:space="preserve"> </w:t>
      </w:r>
      <w:r>
        <w:t xml:space="preserve">Pharmacoepidemiol Drug Saf. 2004;13(8):519-523.</w:t>
      </w:r>
      <w:r>
        <w:t xml:space="preserve"> </w:t>
      </w:r>
      <w:r>
        <w:t xml:space="preserve">doi:10.1002/pds.1001</w:t>
      </w:r>
    </w:p>
    <w:p>
      <w:pPr>
        <w:pStyle w:val="BodyText"/>
      </w:pPr>
      <w:r>
        <w:t xml:space="preserve">Evans SJW, Waller PC, Davis S.</w:t>
      </w:r>
      <w:r>
        <w:t xml:space="preserve"> </w:t>
      </w:r>
      <w:r>
        <w:t xml:space="preserve">Use of proportional reporting ratios for signal generation from spontaneous adverse drug reaction reports.</w:t>
      </w:r>
      <w:r>
        <w:t xml:space="preserve"> </w:t>
      </w:r>
      <w:r>
        <w:t xml:space="preserve">Pharmacoepidemiol Drug Saf. 2001;10(6):483-486.</w:t>
      </w:r>
      <w:r>
        <w:t xml:space="preserve"> </w:t>
      </w:r>
      <w:r>
        <w:t xml:space="preserve">doi:10.1002/pds.677</w:t>
      </w:r>
    </w:p>
    <w:p>
      <w:pPr>
        <w:pStyle w:val="BodyText"/>
      </w:pPr>
      <w:r>
        <w:t xml:space="preserve">Bate A, Lindquist M, Edwards IR, Olsson S, Orre R, Lansner A, et al.</w:t>
      </w:r>
      <w:r>
        <w:t xml:space="preserve"> </w:t>
      </w:r>
      <w:r>
        <w:t xml:space="preserve">A Bayesian neural network method for adverse drug reaction signal generation.</w:t>
      </w:r>
      <w:r>
        <w:t xml:space="preserve"> </w:t>
      </w:r>
      <w:r>
        <w:t xml:space="preserve">Eur J Clin Pharmacol. 1998;54(4):315-321.</w:t>
      </w:r>
      <w:r>
        <w:t xml:space="preserve"> </w:t>
      </w:r>
      <w:r>
        <w:t xml:space="preserve">doi:10.1007/s002280050466</w:t>
      </w:r>
    </w:p>
    <w:p>
      <w:pPr>
        <w:pStyle w:val="BodyText"/>
      </w:pPr>
      <w:r>
        <w:t xml:space="preserve">DuMouchel W.</w:t>
      </w:r>
      <w:r>
        <w:t xml:space="preserve"> </w:t>
      </w:r>
      <w:r>
        <w:t xml:space="preserve">Bayesian data mining in large frequency tables, with application to the FDA spontaneous reporting system.</w:t>
      </w:r>
      <w:r>
        <w:t xml:space="preserve"> </w:t>
      </w:r>
      <w:r>
        <w:t xml:space="preserve">Am Stat. 1999;53(3):177-190.</w:t>
      </w:r>
      <w:r>
        <w:t xml:space="preserve"> </w:t>
      </w:r>
      <w:r>
        <w:t xml:space="preserve">doi:10.1080/00031305.1999.10474456</w:t>
      </w:r>
    </w:p>
    <w:p>
      <w:pPr>
        <w:pStyle w:val="BodyText"/>
      </w:pPr>
      <w:r>
        <w:t xml:space="preserve">Chen T, Guestrin C.</w:t>
      </w:r>
      <w:r>
        <w:t xml:space="preserve"> </w:t>
      </w:r>
      <w:r>
        <w:t xml:space="preserve">XGBoost: A Scalable Tree Boosting System.</w:t>
      </w:r>
      <w:r>
        <w:t xml:space="preserve"> </w:t>
      </w:r>
      <w:r>
        <w:t xml:space="preserve">Proc 22nd ACM SIGKDD Int Conf Knowl Discov Data Min. 2016:785-794.</w:t>
      </w:r>
      <w:r>
        <w:t xml:space="preserve"> </w:t>
      </w:r>
      <w:r>
        <w:t xml:space="preserve">doi:10.1145/2939672.2939785</w:t>
      </w:r>
    </w:p>
    <w:p>
      <w:pPr>
        <w:pStyle w:val="BodyText"/>
      </w:pPr>
      <w:r>
        <w:t xml:space="preserve">Efron B, Tibshirani RJ.</w:t>
      </w:r>
      <w:r>
        <w:t xml:space="preserve"> </w:t>
      </w:r>
      <w:r>
        <w:t xml:space="preserve">An Introduction to the Bootstrap. New York: Chapman &amp; Hall; 1993.</w:t>
      </w:r>
      <w:r>
        <w:t xml:space="preserve"> </w:t>
      </w:r>
      <w:r>
        <w:t xml:space="preserve">doi:10.1007/978-1-4899-4541-9</w:t>
      </w:r>
    </w:p>
    <w:p>
      <w:pPr>
        <w:pStyle w:val="BodyText"/>
      </w:pPr>
      <w:r>
        <w:t xml:space="preserve">Stroes ES, Thompson PD, Corsini A, Vladutiu GD, Raal FJ, Ray KK, et al.</w:t>
      </w:r>
      <w:r>
        <w:t xml:space="preserve"> </w:t>
      </w:r>
      <w:r>
        <w:t xml:space="preserve">Statin-associated muscle symptoms: impact on statin therapy, European Atherosclerosis Society Consensus Panel Statement.</w:t>
      </w:r>
      <w:r>
        <w:t xml:space="preserve"> </w:t>
      </w:r>
      <w:r>
        <w:t xml:space="preserve">Eur Heart J. 2015;36(17):1012-1022.</w:t>
      </w:r>
      <w:r>
        <w:t xml:space="preserve"> </w:t>
      </w:r>
      <w:r>
        <w:t xml:space="preserve">doi:10.1093/eurheartj/ehv043</w:t>
      </w:r>
    </w:p>
    <w:p>
      <w:pPr>
        <w:pStyle w:val="BodyText"/>
      </w:pPr>
      <w:r>
        <w:t xml:space="preserve">Friedrichsen MH, Breitschaft A, Tadayon S, Biber A, Carlsson Petri KC.</w:t>
      </w:r>
      <w:r>
        <w:t xml:space="preserve"> </w:t>
      </w:r>
      <w:r>
        <w:t xml:space="preserve">The effect of semaglutide 2.4 mg once weekly on energy intake, appetite, control of eating, and gastric emptying in adults with obesity.</w:t>
      </w:r>
      <w:r>
        <w:t xml:space="preserve"> </w:t>
      </w:r>
      <w:r>
        <w:t xml:space="preserve">Diabetes Obes Metab. 2021;23(3):754-762.</w:t>
      </w:r>
      <w:r>
        <w:t xml:space="preserve"> </w:t>
      </w:r>
      <w:r>
        <w:t xml:space="preserve">doi:10.1111/dom.14280</w:t>
      </w:r>
    </w:p>
    <w:p>
      <w:pPr>
        <w:pStyle w:val="BodyText"/>
      </w:pPr>
      <w:r>
        <w:t xml:space="preserve">Weghuber D, Barrett T, Barrientos-Pérez M, Gies I, Hesse D, Jeppesen OK, et al.</w:t>
      </w:r>
      <w:r>
        <w:t xml:space="preserve"> </w:t>
      </w:r>
      <w:r>
        <w:t xml:space="preserve">Once-weekly semaglutide in adolescents with obesity.</w:t>
      </w:r>
      <w:r>
        <w:t xml:space="preserve"> </w:t>
      </w:r>
      <w:r>
        <w:t xml:space="preserve">N Engl J Med. 2022;387(24):2245-2257.</w:t>
      </w:r>
      <w:r>
        <w:t xml:space="preserve"> </w:t>
      </w:r>
      <w:r>
        <w:t xml:space="preserve">doi:10.1056/NEJMoa2208601</w:t>
      </w:r>
    </w:p>
    <w:p>
      <w:pPr>
        <w:pStyle w:val="BodyText"/>
      </w:pPr>
      <w:r>
        <w:t xml:space="preserve">Uppsala Monitoring Centre.</w:t>
      </w:r>
      <w:r>
        <w:t xml:space="preserve"> </w:t>
      </w:r>
      <w:r>
        <w:t xml:space="preserve">The use of the WHO-UMC system for standardised case causality assessment.</w:t>
      </w:r>
      <w:r>
        <w:t xml:space="preserve"> </w:t>
      </w:r>
      <w:hyperlink r:id="rId64">
        <w:r>
          <w:rPr>
            <w:rStyle w:val="Hyperlink"/>
          </w:rPr>
          <w:t xml:space="preserve">https://www.who-umc.org/</w:t>
        </w:r>
      </w:hyperlink>
    </w:p>
    <w:p>
      <w:pPr>
        <w:pStyle w:val="BodyText"/>
      </w:pPr>
      <w:r>
        <w:t xml:space="preserve">Peng M, Shen P, Joung K-I, Kim KJ.</w:t>
      </w:r>
      <w:r>
        <w:t xml:space="preserve"> </w:t>
      </w:r>
      <w:r>
        <w:t xml:space="preserve">Safety profile of metformin in adolescents with type 2 diabetes: A pharmacovigilance analysis of the FDA Adverse Event Reporting System.</w:t>
      </w:r>
      <w:r>
        <w:t xml:space="preserve"> </w:t>
      </w:r>
      <w:r>
        <w:t xml:space="preserve">PLoS One. 2025;20(11):e0337204.</w:t>
      </w:r>
      <w:r>
        <w:t xml:space="preserve"> </w:t>
      </w:r>
      <w:r>
        <w:t xml:space="preserve">doi:10.1371/journal.pone.0337204</w:t>
      </w:r>
    </w:p>
    <w:p>
      <w:pPr>
        <w:pStyle w:val="BodyText"/>
      </w:pPr>
      <w:r>
        <w:t xml:space="preserve">Moore TJ, Cohen MR, Furberg CD.</w:t>
      </w:r>
      <w:r>
        <w:t xml:space="preserve"> </w:t>
      </w:r>
      <w:r>
        <w:t xml:space="preserve">Serious adverse drug events reported to the Food and Drug Administration, 1998-2005.</w:t>
      </w:r>
      <w:r>
        <w:t xml:space="preserve"> </w:t>
      </w:r>
      <w:r>
        <w:t xml:space="preserve">Arch Intern Med. 2007;167(16):1752-1759.</w:t>
      </w:r>
      <w:r>
        <w:t xml:space="preserve"> </w:t>
      </w:r>
      <w:r>
        <w:t xml:space="preserve">doi:10.1001/archinte.167.16.1752</w:t>
      </w:r>
    </w:p>
    <w:p>
      <w:pPr>
        <w:pStyle w:val="BodyText"/>
      </w:pPr>
      <w:r>
        <w:t xml:space="preserve">Hathaway JT, Shah MP, Hathaway DB, Zekavat SM, Krasniqi D, Gittinger JW, et al.</w:t>
      </w:r>
      <w:r>
        <w:t xml:space="preserve"> </w:t>
      </w:r>
      <w:r>
        <w:t xml:space="preserve">Risk of Nonarteritic Anterior Ischemic Optic Neuropathy in Patients Prescribed Semaglutide.</w:t>
      </w:r>
      <w:r>
        <w:t xml:space="preserve"> </w:t>
      </w:r>
      <w:r>
        <w:t xml:space="preserve">JAMA Ophthalmol. 2024;142(8):732-739.</w:t>
      </w:r>
      <w:r>
        <w:t xml:space="preserve"> </w:t>
      </w:r>
      <w:r>
        <w:t xml:space="preserve">doi:10.1001/jamaophthalmol.2024.2296</w:t>
      </w:r>
    </w:p>
    <w:p>
      <w:pPr>
        <w:pStyle w:val="BodyText"/>
      </w:pPr>
      <w:r>
        <w:t xml:space="preserve">Cai CX, Hribar M, Baxter S, Goetz K, Swaminathan SS, Flowers A, et al. Semaglutide and nonarteritic anterior ischemic optic neuropathy. JAMA Ophthalmol. 2025;143(4):304-314. doi:10.1001/jamaophthalmol.2024.6555</w:t>
      </w:r>
    </w:p>
    <w:p>
      <w:pPr>
        <w:pStyle w:val="BodyText"/>
      </w:pPr>
      <w:r>
        <w:t xml:space="preserve">Abdelaal A, Abu Serhan H, Alsaadi M, Yaldo L, Gaier ED, Elhusseiny AM. Semaglutide and the risk of nonarteritic ischemic optic neuropathy: a systematic review and certainty of evidence meta-analysis. Ophthalmology. 2026;133(6):799-810. doi:10.1016/j.ophtha.2026.02.013</w:t>
      </w:r>
    </w:p>
    <w:p>
      <w:pPr>
        <w:pStyle w:val="BodyText"/>
      </w:pPr>
      <w:r>
        <w:t xml:space="preserve">Montastruc JL, Sommet A, Bagheri H, Lapeyre-Mestre M.</w:t>
      </w:r>
      <w:r>
        <w:t xml:space="preserve"> </w:t>
      </w:r>
      <w:r>
        <w:t xml:space="preserve">Benefits and strengths of the disproportionality analysis for identification of adverse drug reactions in a pharmacovigilance database.</w:t>
      </w:r>
      <w:r>
        <w:t xml:space="preserve"> </w:t>
      </w:r>
      <w:r>
        <w:t xml:space="preserve">Br J Clin Pharmacol. 2011;72(6):905-908.</w:t>
      </w:r>
      <w:r>
        <w:t xml:space="preserve"> </w:t>
      </w:r>
      <w:r>
        <w:t xml:space="preserve">doi:10.1111/j.1365-2125.2011.04037.x</w:t>
      </w:r>
    </w:p>
    <w:p>
      <w:pPr>
        <w:pStyle w:val="BodyText"/>
      </w:pPr>
      <w:r>
        <w:t xml:space="preserve">Finlayson SG, Subbaswamy A, Singh K, Bowers J, Kupke A, Zittrain J, et al.</w:t>
      </w:r>
      <w:r>
        <w:t xml:space="preserve"> </w:t>
      </w:r>
      <w:r>
        <w:t xml:space="preserve">The Clinician and Dataset Shift in Artificial Intelligence.</w:t>
      </w:r>
      <w:r>
        <w:t xml:space="preserve"> </w:t>
      </w:r>
      <w:r>
        <w:t xml:space="preserve">N Engl J Med. 2021;385(3):283-286.</w:t>
      </w:r>
      <w:r>
        <w:t xml:space="preserve"> </w:t>
      </w:r>
      <w:r>
        <w:t xml:space="preserve">doi:10.1056/NEJMc2104626</w:t>
      </w:r>
    </w:p>
    <w:p>
      <w:pPr>
        <w:pStyle w:val="BodyText"/>
      </w:pPr>
      <w:r>
        <w:t xml:space="preserve">Lee JM, Sharifi M, Oshman L, Griauzde DH, Chua KP.</w:t>
      </w:r>
      <w:r>
        <w:t xml:space="preserve"> </w:t>
      </w:r>
      <w:r>
        <w:t xml:space="preserve">Dispensing of Glucagon-Like Peptide-1 Receptor Agonists to Adolescents and Young Adults, 2020-2023.</w:t>
      </w:r>
      <w:r>
        <w:t xml:space="preserve"> </w:t>
      </w:r>
      <w:r>
        <w:t xml:space="preserve">JAMA. 2024;331(23):2041-2043.</w:t>
      </w:r>
      <w:r>
        <w:t xml:space="preserve"> </w:t>
      </w:r>
      <w:r>
        <w:t xml:space="preserve">doi:10.1001/jama.2024.7112</w:t>
      </w:r>
    </w:p>
    <w:p>
      <w:pPr>
        <w:pStyle w:val="BodyText"/>
      </w:pPr>
      <w:r>
        <w:t xml:space="preserve">%% —- SUPPORTING INFORMATION —-</w:t>
      </w:r>
    </w:p>
    <w:bookmarkEnd w:id="65"/>
    <w:bookmarkStart w:id="77" w:name="supporting-information"/>
    <w:p>
      <w:pPr>
        <w:pStyle w:val="Heading1"/>
      </w:pPr>
      <w:r>
        <w:t xml:space="preserve">Supporting information</w:t>
      </w:r>
    </w:p>
    <w:bookmarkStart w:id="66" w:name="s1tab"/>
    <w:p>
      <w:pPr>
        <w:pStyle w:val="Heading4"/>
      </w:pPr>
      <w:r>
        <w:t xml:space="preserve">S1 Table.</w:t>
      </w:r>
    </w:p>
    <w:p>
      <w:pPr>
        <w:pStyle w:val="FirstParagraph"/>
      </w:pPr>
      <w:r>
        <w:t xml:space="preserve">STROBE checklist for observational studies.</w:t>
      </w:r>
      <w:r>
        <w:br/>
      </w:r>
      <w:r>
        <w:t xml:space="preserve">(DOCX)</w:t>
      </w:r>
    </w:p>
    <w:bookmarkEnd w:id="66"/>
    <w:bookmarkStart w:id="67" w:name="s2tab"/>
    <w:p>
      <w:pPr>
        <w:pStyle w:val="Heading4"/>
      </w:pPr>
      <w:r>
        <w:t xml:space="preserve">S2 Table.</w:t>
      </w:r>
    </w:p>
    <w:p>
      <w:pPr>
        <w:pStyle w:val="FirstParagraph"/>
      </w:pPr>
      <w:r>
        <w:t xml:space="preserve">TRIPOD+AI checklist for prediction model development and validation.</w:t>
      </w:r>
      <w:r>
        <w:br/>
      </w:r>
      <w:r>
        <w:t xml:space="preserve">(DOCX)</w:t>
      </w:r>
    </w:p>
    <w:bookmarkEnd w:id="67"/>
    <w:bookmarkStart w:id="68" w:name="s3tab"/>
    <w:p>
      <w:pPr>
        <w:pStyle w:val="Heading4"/>
      </w:pPr>
      <w:r>
        <w:t xml:space="preserve">S3 Table.</w:t>
      </w:r>
    </w:p>
    <w:p>
      <w:pPr>
        <w:pStyle w:val="FirstParagraph"/>
      </w:pPr>
      <w:r>
        <w:t xml:space="preserve">READUS-PV checklist for disproportionality analysis reporting.</w:t>
      </w:r>
      <w:r>
        <w:br/>
      </w:r>
      <w:r>
        <w:t xml:space="preserve">(DOCX)</w:t>
      </w:r>
    </w:p>
    <w:bookmarkEnd w:id="68"/>
    <w:bookmarkStart w:id="69" w:name="s4tab"/>
    <w:p>
      <w:pPr>
        <w:pStyle w:val="Heading4"/>
      </w:pPr>
      <w:r>
        <w:t xml:space="preserve">S4 Table.</w:t>
      </w:r>
    </w:p>
    <w:p>
      <w:pPr>
        <w:pStyle w:val="FirstParagraph"/>
      </w:pPr>
      <w:r>
        <w:t xml:space="preserve">Complete preprocessing pipeline specification, including data download, deduplication, age filtering, drug normalisation, and MedDRA coding procedures.</w:t>
      </w:r>
      <w:r>
        <w:br/>
      </w:r>
      <w:r>
        <w:t xml:space="preserve">(DOCX)</w:t>
      </w:r>
    </w:p>
    <w:bookmarkEnd w:id="69"/>
    <w:bookmarkStart w:id="70" w:name="s5tab"/>
    <w:p>
      <w:pPr>
        <w:pStyle w:val="Heading4"/>
      </w:pPr>
      <w:r>
        <w:t xml:space="preserve">S5 Table.</w:t>
      </w:r>
    </w:p>
    <w:p>
      <w:pPr>
        <w:pStyle w:val="FirstParagraph"/>
      </w:pPr>
      <w:r>
        <w:t xml:space="preserve">Full hyperparameter search space and optimal configurations for XGBoost, logistic regression, decision tree, and random forest models.</w:t>
      </w:r>
      <w:r>
        <w:br/>
      </w:r>
      <w:r>
        <w:t xml:space="preserve">(DOCX)</w:t>
      </w:r>
    </w:p>
    <w:bookmarkEnd w:id="70"/>
    <w:bookmarkStart w:id="71" w:name="s6tab"/>
    <w:p>
      <w:pPr>
        <w:pStyle w:val="Heading4"/>
      </w:pPr>
      <w:r>
        <w:t xml:space="preserve">S6 Table.</w:t>
      </w:r>
    </w:p>
    <w:p>
      <w:pPr>
        <w:pStyle w:val="FirstParagraph"/>
      </w:pPr>
      <w:r>
        <w:t xml:space="preserve">Predictor specification and data-leakage audit. Lists all candidate features with their data types, source tables, leakage risk assessment, and inclusion/exclusion decisions.</w:t>
      </w:r>
      <w:r>
        <w:br/>
      </w:r>
      <w:r>
        <w:t xml:space="preserve">(DOCX)</w:t>
      </w:r>
    </w:p>
    <w:bookmarkEnd w:id="71"/>
    <w:bookmarkStart w:id="72" w:name="s7tab"/>
    <w:p>
      <w:pPr>
        <w:pStyle w:val="Heading4"/>
      </w:pPr>
      <w:r>
        <w:t xml:space="preserve">S7 Table.</w:t>
      </w:r>
    </w:p>
    <w:p>
      <w:pPr>
        <w:pStyle w:val="FirstParagraph"/>
      </w:pPr>
      <w:r>
        <w:t xml:space="preserve">Temporal dataset shift analysis across training (2021Q1-2023Q4), validation (2024), and test (2025) periods, showing demographic stability, outcome missingness trends, and model performance degradation.</w:t>
      </w:r>
      <w:r>
        <w:br/>
      </w:r>
      <w:r>
        <w:t xml:space="preserve">(DOCX)</w:t>
      </w:r>
    </w:p>
    <w:bookmarkEnd w:id="72"/>
    <w:bookmarkStart w:id="73" w:name="s8tab"/>
    <w:p>
      <w:pPr>
        <w:pStyle w:val="Heading4"/>
      </w:pPr>
      <w:r>
        <w:t xml:space="preserve">S8 Table.</w:t>
      </w:r>
    </w:p>
    <w:p>
      <w:pPr>
        <w:pStyle w:val="FirstParagraph"/>
      </w:pPr>
      <w:r>
        <w:t xml:space="preserve">Complete signal detection results for all 2,098 drug-event pairs with N ≥ 2 from the combined obesity and diabetes panels, including the 2×2 cell counts and, for every pair, the ROR with its 95% confidence interval, the PRR and χ², the IC and IC₀₂₅, and the EBGM and EB05. The Signal column flags the 360 pairs that meet the pre-specified ROR criteria (N ≥ 3 and 95% CI lower bound &gt; 1), and a separate column flags the 105 pairs that are concordant across all four metrics; pairs supported by only two reports are retained for transparency but are not counted as signals. For 13 pairs the displayed ROR confidence bound rounds to 1.00 at two decimal places while the full-precision value exceeds 1; these are flagged in the workbook with a rounding note and a four-decimal column, and the criterion is met.</w:t>
      </w:r>
      <w:r>
        <w:br/>
      </w:r>
      <w:r>
        <w:t xml:space="preserve">(XLSX)</w:t>
      </w:r>
    </w:p>
    <w:bookmarkEnd w:id="73"/>
    <w:bookmarkStart w:id="74" w:name="s9tab"/>
    <w:p>
      <w:pPr>
        <w:pStyle w:val="Heading4"/>
      </w:pPr>
      <w:r>
        <w:t xml:space="preserve">S9 Table.</w:t>
      </w:r>
    </w:p>
    <w:p>
      <w:pPr>
        <w:pStyle w:val="FirstParagraph"/>
      </w:pPr>
      <w:r>
        <w:t xml:space="preserve">Quarter-wise FAERS reporting volume for the adolescent cohort (12-17 years) from 2021 to 2025 across all four drug-exposure panels.</w:t>
      </w:r>
      <w:r>
        <w:br/>
      </w:r>
      <w:r>
        <w:t xml:space="preserve">(DOCX)</w:t>
      </w:r>
    </w:p>
    <w:bookmarkEnd w:id="74"/>
    <w:bookmarkStart w:id="75" w:name="s1fig"/>
    <w:p>
      <w:pPr>
        <w:pStyle w:val="Heading4"/>
      </w:pPr>
      <w:r>
        <w:t xml:space="preserve">S1 Fig.</w:t>
      </w:r>
    </w:p>
    <w:p>
      <w:pPr>
        <w:pStyle w:val="FirstParagraph"/>
      </w:pPr>
      <w:r>
        <w:t xml:space="preserve">Detailed case-selection flow diagram showing FAERS report counts from raw acquisition through deduplication, age filtering, drug-panel filtering to final analytical cohorts.</w:t>
      </w:r>
      <w:r>
        <w:br/>
      </w:r>
      <w:r>
        <w:t xml:space="preserve">(EPS)</w:t>
      </w:r>
    </w:p>
    <w:bookmarkEnd w:id="75"/>
    <w:bookmarkStart w:id="76" w:name="s2fig"/>
    <w:p>
      <w:pPr>
        <w:pStyle w:val="Heading4"/>
      </w:pPr>
      <w:r>
        <w:t xml:space="preserve">S2 Fig.</w:t>
      </w:r>
    </w:p>
    <w:p>
      <w:pPr>
        <w:pStyle w:val="FirstParagraph"/>
      </w:pPr>
      <w:r>
        <w:t xml:space="preserve">Global SHAP feature importance (mean absolute SHAP value across all outcome classes) for the chronological XGBoost model.</w:t>
      </w:r>
      <w:r>
        <w:br/>
      </w:r>
      <w:r>
        <w:t xml:space="preserve">(EPS)</w:t>
      </w:r>
    </w:p>
    <w:p>
      <w:pPr>
        <w:pStyle w:val="BodyText"/>
      </w:pPr>
      <w:r>
        <w:t xml:space="preserve">%% —- FIGURE LEGENDS —-</w:t>
      </w:r>
      <w:r>
        <w:t xml:space="preserve"> </w:t>
      </w:r>
      <w:r>
        <w:t xml:space="preserve">%% Per PLOS ONE submission requirements, figure files are uploaded separately</w:t>
      </w:r>
      <w:r>
        <w:t xml:space="preserve"> </w:t>
      </w:r>
      <w:r>
        <w:t xml:space="preserve">%% (not embedded in the manuscript). Only the legends appear below, in figure-number order.</w:t>
      </w:r>
    </w:p>
    <w:bookmarkEnd w:id="76"/>
    <w:bookmarkEnd w:id="77"/>
    <w:sectPr>
      <w:footerReference r:id="rId9" w:type="default"/>
      <w:pgSz w:h="15840" w:orient="portrait" w:w="12240"/>
      <w:pgMar w:bottom="1440" w:footer="708" w:gutter="0" w:header="708" w:left="1440" w:right="1440" w:top="1440"/>
      <w:lnNumType w:countBy="1" w:distance="360" w:restart="continuous"/>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480"/>
      </w:pPr>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59" Target="https://doi.org/10.5281/zenodo.22767355" TargetMode="External" /><Relationship Type="http://schemas.openxmlformats.org/officeDocument/2006/relationships/hyperlink" Id="rId57" Target="https://fis.fda.gov/extensions/FPD-QDE-FAERS/FPD-QDE-FAERS.html" TargetMode="External" /><Relationship Type="http://schemas.openxmlformats.org/officeDocument/2006/relationships/hyperlink" Id="rId58" Target="https://github.com/AthervTelkar2498/Temporal-Adolescent-Anti-Obesity-and-Anti-Diabetic-Pharmacotherapy" TargetMode="External" /><Relationship Type="http://schemas.openxmlformats.org/officeDocument/2006/relationships/hyperlink" Id="rId61" Target="https://www.cdc.gov/nchs/nhanes" TargetMode="External" /><Relationship Type="http://schemas.openxmlformats.org/officeDocument/2006/relationships/hyperlink" Id="rId62" Target="https://www.fda.gov/drugs/news-events-human-drugs" TargetMode="External" /><Relationship Type="http://schemas.openxmlformats.org/officeDocument/2006/relationships/hyperlink" Id="rId63" Target="https://www.meddra.org" TargetMode="External" /><Relationship Type="http://schemas.openxmlformats.org/officeDocument/2006/relationships/hyperlink" Id="rId64" Target="https://www.who-umc.org/" TargetMode="External" /></Relationships>
</file>

<file path=word/_rels/footnotes.xml.rels><?xml version="1.0" encoding="UTF-8"?><Relationships xmlns="http://schemas.openxmlformats.org/package/2006/relationships"><Relationship Type="http://schemas.openxmlformats.org/officeDocument/2006/relationships/hyperlink" Id="rId59" Target="https://doi.org/10.5281/zenodo.22767355" TargetMode="External" /><Relationship Type="http://schemas.openxmlformats.org/officeDocument/2006/relationships/hyperlink" Id="rId57" Target="https://fis.fda.gov/extensions/FPD-QDE-FAERS/FPD-QDE-FAERS.html" TargetMode="External" /><Relationship Type="http://schemas.openxmlformats.org/officeDocument/2006/relationships/hyperlink" Id="rId58" Target="https://github.com/AthervTelkar2498/Temporal-Adolescent-Anti-Obesity-and-Anti-Diabetic-Pharmacotherapy" TargetMode="External" /><Relationship Type="http://schemas.openxmlformats.org/officeDocument/2006/relationships/hyperlink" Id="rId61" Target="https://www.cdc.gov/nchs/nhanes" TargetMode="External" /><Relationship Type="http://schemas.openxmlformats.org/officeDocument/2006/relationships/hyperlink" Id="rId62" Target="https://www.fda.gov/drugs/news-events-human-drugs" TargetMode="External" /><Relationship Type="http://schemas.openxmlformats.org/officeDocument/2006/relationships/hyperlink" Id="rId63" Target="https://www.meddra.org" TargetMode="External" /><Relationship Type="http://schemas.openxmlformats.org/officeDocument/2006/relationships/hyperlink" Id="rId64" Target="https://www.who-umc.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2026-09-15T18:38:45Z</dcterms:created>
  <dcterms:modified xsi:type="dcterms:W3CDTF">2026-09-15T18:38:45Z</dcterms:modified>
</cp:coreProperties>
</file>

<file path=docProps/custom.xml><?xml version="1.0" encoding="utf-8"?>
<Properties xmlns="http://schemas.openxmlformats.org/officeDocument/2006/custom-properties" xmlns:vt="http://schemas.openxmlformats.org/officeDocument/2006/docPropsVTypes"/>
</file>