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18" w:space="8"/>
        </w:pBdr>
        <w:spacing w:after="120" w:before="0" w:line="300" w:lineRule="auto"/>
      </w:pPr>
      <w:r>
        <w:rPr>
          <w:rFonts w:ascii="Times New Roman" w:cs="Times New Roman" w:eastAsia="Times New Roman" w:hAnsi="Times New Roman"/>
          <w:b/>
          <w:bCs/>
          <w:i w:val="false"/>
          <w:iCs w:val="false"/>
          <w:sz w:val="40"/>
          <w:szCs w:val="40"/>
        </w:rPr>
        <w:t xml:space="preserve">Safety of anti-obesity and anti-diabetic medications in adolescents: A disproportionality analysis and machine-learning validation from 2021-2025 on the basis of the FAERS database</w:t>
      </w:r>
    </w:p>
    <w:p>
      <w:pPr>
        <w:spacing w:after="200" w:line="240" w:lineRule="auto"/>
        <w:jc w:val="left"/>
      </w:pPr>
      <w:r>
        <w:rPr>
          <w:rFonts w:ascii="Times New Roman" w:cs="Times New Roman" w:eastAsia="Times New Roman" w:hAnsi="Times New Roman"/>
          <w:b w:val="false"/>
          <w:bCs w:val="false"/>
          <w:i w:val="false"/>
          <w:iCs w:val="false"/>
          <w:sz w:val="20"/>
          <w:szCs w:val="20"/>
        </w:rPr>
        <w:t xml:space="preserve">Short title: Adolescent anti-obesity and anti-diabetic drug safety via FAERS disproportionality analysis</w:t>
      </w:r>
    </w:p>
    <w:p>
      <w:pPr>
        <w:spacing w:after="120" w:line="240" w:lineRule="auto"/>
        <w:jc w:val="left"/>
      </w:pPr>
      <w:r>
        <w:rPr>
          <w:rFonts w:ascii="Times New Roman" w:cs="Times New Roman" w:eastAsia="Times New Roman" w:hAnsi="Times New Roman"/>
          <w:b w:val="false"/>
          <w:bCs w:val="false"/>
          <w:i w:val="false"/>
          <w:iCs w:val="false"/>
          <w:sz w:val="24"/>
          <w:szCs w:val="24"/>
        </w:rPr>
        <w:t xml:space="preserve">Atherv Telkar</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Amey Telkar</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Akshay Javalgikar</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Nitin Madanwale</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Darshan Ruikar</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Preethi Baligar</w:t>
      </w:r>
      <w:r>
        <w:rPr>
          <w:rFonts w:ascii="Times New Roman" w:cs="Times New Roman" w:eastAsia="Times New Roman" w:hAnsi="Times New Roman"/>
          <w:b w:val="false"/>
          <w:bCs w:val="false"/>
          <w:i w:val="false"/>
          <w:iCs w:val="false"/>
          <w:sz w:val="24"/>
          <w:szCs w:val="24"/>
          <w:vertAlign w:val="superscript"/>
        </w:rPr>
        <w:t xml:space="preserve">1</w:t>
      </w:r>
    </w:p>
    <w:p>
      <w:pPr>
        <w:spacing w:after="40" w:line="240" w:lineRule="auto"/>
        <w:jc w:val="left"/>
      </w:pPr>
      <w:r>
        <w:rPr>
          <w:rFonts w:ascii="Times New Roman" w:cs="Times New Roman" w:eastAsia="Times New Roman" w:hAnsi="Times New Roman"/>
          <w:b/>
          <w:bCs/>
          <w:i w:val="false"/>
          <w:iCs w:val="false"/>
          <w:sz w:val="18"/>
          <w:szCs w:val="18"/>
        </w:rPr>
        <w:t xml:space="preserve">1</w:t>
      </w:r>
      <w:r>
        <w:rPr>
          <w:rFonts w:ascii="Times New Roman" w:cs="Times New Roman" w:eastAsia="Times New Roman" w:hAnsi="Times New Roman"/>
          <w:b w:val="false"/>
          <w:bCs w:val="false"/>
          <w:i w:val="false"/>
          <w:iCs w:val="false"/>
          <w:sz w:val="18"/>
          <w:szCs w:val="18"/>
        </w:rPr>
        <w:t xml:space="preserve"> School of Computing, Maharashtra Institute of Technology (MIT) Vishwaprayag University, Solapur, Maharashtra, India</w:t>
      </w:r>
    </w:p>
    <w:p>
      <w:pPr>
        <w:spacing w:after="40" w:line="240" w:lineRule="auto"/>
        <w:jc w:val="left"/>
      </w:pPr>
      <w:r>
        <w:rPr>
          <w:rFonts w:ascii="Times New Roman" w:cs="Times New Roman" w:eastAsia="Times New Roman" w:hAnsi="Times New Roman"/>
          <w:b/>
          <w:bCs/>
          <w:i w:val="false"/>
          <w:iCs w:val="false"/>
          <w:sz w:val="18"/>
          <w:szCs w:val="18"/>
        </w:rPr>
        <w:t xml:space="preserve">2</w:t>
      </w:r>
      <w:r>
        <w:rPr>
          <w:rFonts w:ascii="Times New Roman" w:cs="Times New Roman" w:eastAsia="Times New Roman" w:hAnsi="Times New Roman"/>
          <w:b w:val="false"/>
          <w:bCs w:val="false"/>
          <w:i w:val="false"/>
          <w:iCs w:val="false"/>
          <w:sz w:val="18"/>
          <w:szCs w:val="18"/>
        </w:rPr>
        <w:t xml:space="preserve"> School of Pharmacy, Maharashtra Institute of Technology (MIT) Vishwaprayag University, Solapur, Maharashtra, India</w:t>
      </w:r>
    </w:p>
    <w:p>
      <w:pPr>
        <w:spacing w:after="40" w:line="240" w:lineRule="auto"/>
        <w:jc w:val="left"/>
      </w:pPr>
      <w:r>
        <w:rPr>
          <w:rFonts w:ascii="Times New Roman" w:cs="Times New Roman" w:eastAsia="Times New Roman" w:hAnsi="Times New Roman"/>
          <w:b w:val="false"/>
          <w:bCs w:val="false"/>
          <w:i w:val="false"/>
          <w:iCs w:val="false"/>
          <w:sz w:val="16"/>
          <w:szCs w:val="16"/>
        </w:rPr>
        <w:t xml:space="preserve">¶ These authors contributed equally to this work.</w:t>
      </w:r>
    </w:p>
    <w:p>
      <w:pPr>
        <w:spacing w:after="40" w:line="240" w:lineRule="auto"/>
        <w:jc w:val="left"/>
      </w:pPr>
      <w:r>
        <w:rPr>
          <w:rFonts w:ascii="Times New Roman" w:cs="Times New Roman" w:eastAsia="Times New Roman" w:hAnsi="Times New Roman"/>
          <w:b w:val="false"/>
          <w:bCs w:val="false"/>
          <w:i w:val="false"/>
          <w:iCs w:val="false"/>
          <w:sz w:val="16"/>
          <w:szCs w:val="16"/>
        </w:rPr>
        <w:t xml:space="preserve">* Corresponding authors.</w:t>
      </w:r>
    </w:p>
    <w:p>
      <w:pPr>
        <w:spacing w:after="40" w:line="240" w:lineRule="auto"/>
        <w:jc w:val="left"/>
      </w:pPr>
      <w:r>
        <w:rPr>
          <w:rFonts w:ascii="Times New Roman" w:cs="Times New Roman" w:eastAsia="Times New Roman" w:hAnsi="Times New Roman"/>
          <w:b w:val="false"/>
          <w:bCs w:val="false"/>
          <w:i w:val="false"/>
          <w:iCs w:val="false"/>
          <w:sz w:val="16"/>
          <w:szCs w:val="16"/>
        </w:rPr>
        <w:t xml:space="preserve">E-mail: athervtelkar08@gmail.com (AT); ameytelkar08@gmail.com (AmT)</w:t>
      </w:r>
    </w:p>
    <w:p>
      <w:pPr>
        <w:keepNext/>
        <w:spacing w:after="160" w:before="320" w:line="240" w:lineRule="auto"/>
        <w:jc w:val="left"/>
      </w:pPr>
      <w:r>
        <w:rPr>
          <w:rFonts w:ascii="Times New Roman" w:cs="Times New Roman" w:eastAsia="Times New Roman" w:hAnsi="Times New Roman"/>
          <w:b/>
          <w:bCs/>
          <w:i w:val="false"/>
          <w:iCs w:val="false"/>
          <w:sz w:val="36"/>
          <w:szCs w:val="36"/>
        </w:rPr>
        <w:t xml:space="preserve">Abstract</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Background</w:t>
      </w:r>
    </w:p>
    <w:p>
      <w:pPr>
        <w:spacing w:line="480" w:lineRule="auto"/>
        <w:ind w:firstLine="283"/>
        <w:jc w:val="left"/>
      </w:pPr>
      <w:r>
        <w:rPr>
          <w:rFonts w:ascii="Times New Roman" w:cs="Times New Roman" w:eastAsia="Times New Roman" w:hAnsi="Times New Roman"/>
          <w:b w:val="false"/>
          <w:bCs w:val="false"/>
          <w:i w:val="false"/>
          <w:iCs w:val="false"/>
          <w:sz w:val="20"/>
          <w:szCs w:val="20"/>
        </w:rPr>
        <w:t>Adolescent obesity and type 2 diabetes have risen sharply, driving increased prescribing of anti-obesity and anti-diabetic agents in patients aged 12-17 years, many prescribed off-label with limited post-marketing safety data. This study analysed adverse events (AEs) associated with these medications in adolescents using the FDA Adverse Event Reporting System (FAERS).</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Methods</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AE reports for adolescents aged 12-17 years were extracted from FAERS (2021Q1-2025Q4). Fourteen obesity-related and 10 diabetes-related medications were included. AEs were classified using MedDRA (version 28.1) at the Preferred Term level. Signal detection used four disproportionality methods (ROR, PRR, IC, EBGM), complemented by an XGBoost classifier for case-level outcome triage.</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Results</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From 7,612,804 raw FAERS records, 403,278 adolescent reports were identified (11,701 obesity-related panel; 5,208 diabetes-related panel; approximately 54% female; mean age 14.57 years). Applying the stated criteria (</w:t>
      </w:r>
      <w:r>
        <w:rPr>
          <w:rFonts w:ascii="Times New Roman" w:cs="Times New Roman" w:eastAsia="Times New Roman" w:hAnsi="Times New Roman"/>
          <w:b w:val="false"/>
          <w:bCs w:val="false"/>
          <w:i/>
          <w:iCs/>
          <w:sz w:val="20"/>
          <w:szCs w:val="20"/>
        </w:rPr>
        <w:t xml:space="preserve">N ≥ 3</w:t>
      </w:r>
      <w:r>
        <w:rPr>
          <w:rFonts w:ascii="Times New Roman" w:cs="Times New Roman" w:eastAsia="Times New Roman" w:hAnsi="Times New Roman"/>
          <w:b w:val="false"/>
          <w:bCs w:val="false"/>
          <w:i w:val="false"/>
          <w:iCs w:val="false"/>
          <w:sz w:val="20"/>
          <w:szCs w:val="20"/>
        </w:rPr>
        <w:t xml:space="preserve"> and 95% CI lower bound </w:t>
      </w:r>
      <w:r>
        <w:rPr>
          <w:rFonts w:ascii="Times New Roman" w:cs="Times New Roman" w:eastAsia="Times New Roman" w:hAnsi="Times New Roman"/>
          <w:b w:val="false"/>
          <w:bCs w:val="false"/>
          <w:i/>
          <w:iCs/>
          <w:sz w:val="20"/>
          <w:szCs w:val="20"/>
        </w:rPr>
        <w:t xml:space="preserve">&gt;1</w:t>
      </w:r>
      <w:r>
        <w:rPr>
          <w:rFonts w:ascii="Times New Roman" w:cs="Times New Roman" w:eastAsia="Times New Roman" w:hAnsi="Times New Roman"/>
          <w:b w:val="false"/>
          <w:bCs w:val="false"/>
          <w:i w:val="false"/>
          <w:iCs w:val="false"/>
          <w:sz w:val="20"/>
          <w:szCs w:val="20"/>
        </w:rPr>
        <w:t xml:space="preserve">), 360 drug-event pairs met the ROR signal threshold. Key disproportionality signals included metformin-lactic acidosis (ROR = 61.22, 95% CI 25.21-148.68, </w:t>
      </w:r>
      <w:r>
        <w:rPr>
          <w:rFonts w:ascii="Times New Roman" w:cs="Times New Roman" w:eastAsia="Times New Roman" w:hAnsi="Times New Roman"/>
          <w:b w:val="false"/>
          <w:bCs w:val="false"/>
          <w:i/>
          <w:iCs/>
          <w:sz w:val="20"/>
          <w:szCs w:val="20"/>
        </w:rPr>
        <w:t xml:space="preserve">N=214</w:t>
      </w:r>
      <w:r>
        <w:rPr>
          <w:rFonts w:ascii="Times New Roman" w:cs="Times New Roman" w:eastAsia="Times New Roman" w:hAnsi="Times New Roman"/>
          <w:b w:val="false"/>
          <w:bCs w:val="false"/>
          <w:i w:val="false"/>
          <w:iCs w:val="false"/>
          <w:sz w:val="20"/>
          <w:szCs w:val="20"/>
        </w:rPr>
        <w:t xml:space="preserve">), atorvastatin-myalgia (ROR = 16.89, </w:t>
      </w:r>
      <w:r>
        <w:rPr>
          <w:rFonts w:ascii="Times New Roman" w:cs="Times New Roman" w:eastAsia="Times New Roman" w:hAnsi="Times New Roman"/>
          <w:b w:val="false"/>
          <w:bCs w:val="false"/>
          <w:i/>
          <w:iCs/>
          <w:sz w:val="20"/>
          <w:szCs w:val="20"/>
        </w:rPr>
        <w:t xml:space="preserve">N=46</w:t>
      </w:r>
      <w:r>
        <w:rPr>
          <w:rFonts w:ascii="Times New Roman" w:cs="Times New Roman" w:eastAsia="Times New Roman" w:hAnsi="Times New Roman"/>
          <w:b w:val="false"/>
          <w:bCs w:val="false"/>
          <w:i w:val="false"/>
          <w:iCs w:val="false"/>
          <w:sz w:val="20"/>
          <w:szCs w:val="20"/>
        </w:rPr>
        <w:t xml:space="preserve">), and dapagliflozin-cardiac failure (ROR = 40.24, </w:t>
      </w:r>
      <w:r>
        <w:rPr>
          <w:rFonts w:ascii="Times New Roman" w:cs="Times New Roman" w:eastAsia="Times New Roman" w:hAnsi="Times New Roman"/>
          <w:b w:val="false"/>
          <w:bCs w:val="false"/>
          <w:i/>
          <w:iCs/>
          <w:sz w:val="20"/>
          <w:szCs w:val="20"/>
        </w:rPr>
        <w:t xml:space="preserve">N=30</w:t>
      </w:r>
      <w:r>
        <w:rPr>
          <w:rFonts w:ascii="Times New Roman" w:cs="Times New Roman" w:eastAsia="Times New Roman" w:hAnsi="Times New Roman"/>
          <w:b w:val="false"/>
          <w:bCs w:val="false"/>
          <w:i w:val="false"/>
          <w:iCs w:val="false"/>
          <w:sz w:val="20"/>
          <w:szCs w:val="20"/>
        </w:rPr>
        <w:t xml:space="preserve">). A semaglutide-optic ischaemic neuropathy association showed an extreme ROR (439.23, </w:t>
      </w:r>
      <w:r>
        <w:rPr>
          <w:rFonts w:ascii="Times New Roman" w:cs="Times New Roman" w:eastAsia="Times New Roman" w:hAnsi="Times New Roman"/>
          <w:b w:val="false"/>
          <w:bCs w:val="false"/>
          <w:i/>
          <w:iCs/>
          <w:sz w:val="20"/>
          <w:szCs w:val="20"/>
        </w:rPr>
        <w:t xml:space="preserve">N=14</w:t>
      </w:r>
      <w:r>
        <w:rPr>
          <w:rFonts w:ascii="Times New Roman" w:cs="Times New Roman" w:eastAsia="Times New Roman" w:hAnsi="Times New Roman"/>
          <w:b w:val="false"/>
          <w:bCs w:val="false"/>
          <w:i w:val="false"/>
          <w:iCs w:val="false"/>
          <w:sz w:val="20"/>
          <w:szCs w:val="20"/>
        </w:rPr>
        <w:t xml:space="preserve">) which also met the EBGM shrinkage criterion (EBGM = 18.79, EB05 = 11.67), qualifying it as a four-metric concordant signal warranting further investigation. The XGBoost model achieved a temporal Macro-F1 of 0.389 on the obesity-related panel, significantly outperforming learned baselines (McNemar's </w:t>
      </w:r>
      <w:r>
        <w:rPr>
          <w:rFonts w:ascii="Times New Roman" w:cs="Times New Roman" w:eastAsia="Times New Roman" w:hAnsi="Times New Roman"/>
          <w:b w:val="false"/>
          <w:bCs w:val="false"/>
          <w:i/>
          <w:iCs/>
          <w:sz w:val="20"/>
          <w:szCs w:val="20"/>
        </w:rPr>
        <w:t xml:space="preserve">p&lt;0.001</w:t>
      </w:r>
      <w:r>
        <w:rPr>
          <w:rFonts w:ascii="Times New Roman" w:cs="Times New Roman" w:eastAsia="Times New Roman" w:hAnsi="Times New Roman"/>
          <w:b w:val="false"/>
          <w:bCs w:val="false"/>
          <w:i w:val="false"/>
          <w:iCs w:val="false"/>
          <w:sz w:val="20"/>
          <w:szCs w:val="20"/>
        </w:rPr>
        <w:t xml:space="preserve">); a random-split Macro-F1 of 0.629 is reported for comparison only, as that pipeline fitted preprocessing before splitting. The PT-term lookup heuristic exceeded XGBoost (Macro-F1 0.594), reflecting partial label derivation from adverse-event terms.</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Conclusion</w:t>
      </w:r>
    </w:p>
    <w:p>
      <w:pPr>
        <w:spacing w:line="480" w:lineRule="auto"/>
        <w:ind w:firstLine="283"/>
        <w:jc w:val="left"/>
      </w:pPr>
      <w:r>
        <w:rPr>
          <w:rFonts w:ascii="Times New Roman" w:cs="Times New Roman" w:eastAsia="Times New Roman" w:hAnsi="Times New Roman"/>
          <w:b w:val="false"/>
          <w:bCs w:val="false"/>
          <w:i w:val="false"/>
          <w:iCs w:val="false"/>
          <w:sz w:val="20"/>
          <w:szCs w:val="20"/>
        </w:rPr>
        <w:t>This combined disproportionality and machine-learning assessment confirms known signals in adolescents and identifies reporting patterns warranting further investigation, which may inform clinical practice and regulatory monitoring for this vulnerable population.</w:t>
      </w:r>
    </w:p>
    <w:p>
      <w:pPr>
        <w:keepNext/>
        <w:spacing w:after="160" w:before="320" w:line="240" w:lineRule="auto"/>
        <w:jc w:val="left"/>
      </w:pPr>
      <w:r>
        <w:rPr>
          <w:rFonts w:ascii="Times New Roman" w:cs="Times New Roman" w:eastAsia="Times New Roman" w:hAnsi="Times New Roman"/>
          <w:b/>
          <w:bCs/>
          <w:i w:val="false"/>
          <w:iCs w:val="false"/>
          <w:sz w:val="36"/>
          <w:szCs w:val="36"/>
        </w:rPr>
        <w:t xml:space="preserve">Introduction</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Adolescent obesity and type 2 diabetes mellitus have emerged as critical public health challenges over the past two decades. Among U.S. youth aged 2-19 years, obesity prevalence rose from 19.3% in 2017-2018 to 21.1% in 2021-2023 [1], with the sharpest increases observed among adolescents aged 12-17 years. Concurrently, the incidence of type 2 diabetes in youth has been climbing at approximately 4.8% per year [2], driven by the parallel rise in childhood obesity. These intertwined epidemics have led to increasingly early pharmacological intervention in adolescent populations.</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 pharmacological landscape for adolescent obesity and diabetes has expanded considerably. Anti-obesity medications (AOMs) now available or used off-label in this population include GLP-1 receptor agonists (semaglutide, liraglutide), lipase inhibitors (orlistat), and combination therapies (phentermine-topiramate). For type 2 diabetes, metformin remains the first-line agent [3], supplemented by insulin preparations, SGLT2 inhibitors (empagliflozin), DPP-4 inhibitors (sitagliptin), and newer GLP-1 receptor agonists. While some of these agents have received paediatric indications (semaglutide 2.4 mg was approved by the FDA for adolescents </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val="false"/>
          <w:iCs w:val="false"/>
          <w:sz w:val="20"/>
          <w:szCs w:val="20"/>
        </w:rPr>
        <w:t xml:space="preserve">12 years with obesity in December 2020 [4], and liraglutide 3.0 mg for the same indication in 2020 [5]), many others are prescribed off-label with limited clinical trial safety data specific to this age group, consistent with broader FAERS reporting patterns in paediatric populations, where off-label use is the single most frequently reported adverse-event category [6].</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Children and adolescents are not simply “small adults”; their pharmacokinetics differ substantially due to developmental variations in hepatic metabolism, renal clearance, body composition, and neuroendocrine regulation [6,7]. These age-specific pharmacological and pharmacokinetic variations may predispose adolescent populations to increased drug toxicity risks or to adverse event profiles that diverge from those documented in adult populations. Of particular concern are gastrointestinal effects of GLP-1 agonists [8], the metabolic acidosis risk with metformin [9], psychiatric effects including suicidal ideation reported with some AOMs [10], and cardiovascular safety in a population with developing cardiac systems [7].</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Post-marketing pharmacovigilance through the FDA Adverse Event Reporting System (FAERS) has become an essential tool for identifying drug safety signals that clinical trials, often limited in sample size and duration, cannot detect [11,12]. Disproportionality analysis, which compares the observed reporting frequency of a specific drug-event combination against the expected frequency based on the entire database, has been widely used to detect safety signals across a broad range of drug classes and populations [13,14]. Recent studies have applied these methods to antidepressants in children aged 6-17 years [13], respiratory medications [15] and TNF-</w:t>
      </w:r>
      <w:r>
        <w:rPr>
          <w:rFonts w:ascii="Times New Roman" w:cs="Times New Roman" w:eastAsia="Times New Roman" w:hAnsi="Times New Roman"/>
          <w:b w:val="false"/>
          <w:bCs w:val="false"/>
          <w:i/>
          <w:iCs/>
          <w:sz w:val="20"/>
          <w:szCs w:val="20"/>
        </w:rPr>
        <w:t xml:space="preserve">α</w:t>
      </w:r>
      <w:r>
        <w:rPr>
          <w:rFonts w:ascii="Times New Roman" w:cs="Times New Roman" w:eastAsia="Times New Roman" w:hAnsi="Times New Roman"/>
          <w:b w:val="false"/>
          <w:bCs w:val="false"/>
          <w:i w:val="false"/>
          <w:iCs w:val="false"/>
          <w:sz w:val="20"/>
          <w:szCs w:val="20"/>
        </w:rPr>
        <w:t xml:space="preserve"> inhibitors [16] in paediatric patients, and, in the general population, to drug-induced acute respiratory distress syndrome [14] and drug-related cardiovascular risk [17], the latter using the same four-metric framework adopted here. However, no study has systematically analysed the full spectrum of anti-obesity and anti-diabetic drug safety signals specifically in adolescents using FAERS data with multiple disproportionality metrics.</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To address this gap, the current study employed the FAERS database covering 2021Q1-2025Q4 to conduct a comprehensive evaluation of adverse events associated with commonly prescribed obesity-related and anti-diabetic medications in adolescents aged 12-17 years. The study applied four established signal detection methods (PRR, ROR, IC, EBGM) for population-level analysis, complemented by a machine-learning model (XGBoost) for case-level outcome triage. Through this dual-method approach, the analysis aims to provide evidence-based guidance for clinical practice and regulatory monitoring in this vulnerable population.</w:t>
      </w:r>
    </w:p>
    <w:p>
      <w:pPr>
        <w:keepNext/>
        <w:spacing w:after="160" w:before="320" w:line="240" w:lineRule="auto"/>
        <w:jc w:val="left"/>
      </w:pPr>
      <w:r>
        <w:rPr>
          <w:rFonts w:ascii="Times New Roman" w:cs="Times New Roman" w:eastAsia="Times New Roman" w:hAnsi="Times New Roman"/>
          <w:b/>
          <w:bCs/>
          <w:i w:val="false"/>
          <w:iCs w:val="false"/>
          <w:sz w:val="36"/>
          <w:szCs w:val="36"/>
        </w:rPr>
        <w:t xml:space="preserve">Materials and methods</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Ethics statement</w:t>
      </w:r>
    </w:p>
    <w:p>
      <w:pPr>
        <w:spacing w:line="480" w:lineRule="auto"/>
        <w:ind w:firstLine="283"/>
        <w:jc w:val="left"/>
      </w:pPr>
      <w:r>
        <w:t>This study used publicly available ASCII text data files from the FAERS database, covering the period 2021Q1–2025Q4. As these files are de-identified and no personally identifiable information was accessed, formal ethical approval was not required. All procedures adhered to the ethical principles of the Declaration of Helsinki.</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Research subjects</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 study examined two therapeutic panels of medications commonly prescribed to adolescents for obesity and type 2 diabetes management, summarised in Table 1.</w:t>
      </w:r>
    </w:p>
    <w:p>
      <w:pPr>
        <w:keepNext/>
        <w:spacing w:after="80" w:before="200" w:line="240" w:lineRule="auto"/>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Drug panels included in the disproportionality analysis.</w:t>
      </w:r>
    </w:p>
    <w:tbl>
      <w:tblPr>
        <w:tblW w:type="dxa" w:w="7079"/>
        <w:jc w:val="center"/>
        <w:tblBorders>
          <w:top w:val="single" w:color="auto" w:sz="4"/>
          <w:left w:val="single" w:color="auto" w:sz="4"/>
          <w:bottom w:val="single" w:color="auto" w:sz="4"/>
          <w:right w:val="single" w:color="auto" w:sz="4"/>
          <w:insideH w:val="single" w:color="auto" w:sz="4"/>
          <w:insideV w:val="single" w:color="auto" w:sz="4"/>
        </w:tblBorders>
      </w:tblPr>
      <w:tblGrid>
        <w:gridCol w:w="2174"/>
        <w:gridCol w:w="690"/>
        <w:gridCol w:w="4215"/>
      </w:tblGrid>
      <w:tr>
        <w:trPr>
          <w:cantSplit/>
          <w:tblHeader w:val="false"/>
        </w:trPr>
        <w:tc>
          <w:tcPr>
            <w:tcW w:type="dxa" w:w="2174"/>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bCs/>
                <w:i w:val="false"/>
                <w:iCs w:val="false"/>
                <w:sz w:val="14"/>
                <w:szCs w:val="14"/>
              </w:rPr>
              <w:t xml:space="preserve">Panel</w:t>
            </w:r>
          </w:p>
        </w:tc>
        <w:tc>
          <w:tcPr>
            <w:tcW w:type="dxa" w:w="69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4"/>
                <w:szCs w:val="14"/>
              </w:rPr>
              <w:t xml:space="preserve">N</w:t>
            </w:r>
          </w:p>
        </w:tc>
        <w:tc>
          <w:tcPr>
            <w:tcW w:type="dxa" w:w="4215"/>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4"/>
                <w:szCs w:val="14"/>
              </w:rPr>
              <w:t xml:space="preserve">Drugs</w:t>
            </w:r>
          </w:p>
        </w:tc>
      </w:tr>
      <w:tr>
        <w:trPr>
          <w:cantSplit/>
          <w:tblHeader w:val="false"/>
        </w:trPr>
        <w:tc>
          <w:tcPr>
            <w:tcW w:type="dxa" w:w="2174"/>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4"/>
                <w:szCs w:val="14"/>
              </w:rPr>
              <w:t xml:space="preserve">Broad obesity-related (14 drugs)</w:t>
            </w:r>
          </w:p>
        </w:tc>
        <w:tc>
          <w:tcPr>
            <w:tcW w:type="dxa" w:w="69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4"/>
                <w:szCs w:val="14"/>
              </w:rPr>
              <w:t xml:space="preserve">11,701</w:t>
            </w:r>
          </w:p>
        </w:tc>
        <w:tc>
          <w:tcPr>
            <w:tcW w:type="dxa" w:w="4215"/>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4"/>
                <w:szCs w:val="14"/>
              </w:rPr>
              <w:t xml:space="preserve">Metformin, atorvastatin, lisinopril, losartan, semaglutide, liraglutide, tirzepatide, orlistat, empagliflozin, dapagliflozin, sitagliptin, glipizide, pioglitazone, insulin (regular, aspart, glargine, lispro)</w:t>
            </w:r>
          </w:p>
        </w:tc>
      </w:tr>
      <w:tr>
        <w:trPr>
          <w:cantSplit/>
          <w:tblHeader w:val="false"/>
        </w:trPr>
        <w:tc>
          <w:tcPr>
            <w:tcW w:type="dxa" w:w="2174"/>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4"/>
                <w:szCs w:val="14"/>
              </w:rPr>
              <w:t xml:space="preserve">Selected obesity-related (4 drugs)</w:t>
            </w:r>
          </w:p>
        </w:tc>
        <w:tc>
          <w:tcPr>
            <w:tcW w:type="dxa" w:w="69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4"/>
                <w:szCs w:val="14"/>
              </w:rPr>
              <w:t xml:space="preserve">10,701</w:t>
            </w:r>
          </w:p>
        </w:tc>
        <w:tc>
          <w:tcPr>
            <w:tcW w:type="dxa" w:w="4215"/>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4"/>
                <w:szCs w:val="14"/>
              </w:rPr>
              <w:t xml:space="preserve">Metformin, atorvastatin, lisinopril, losartan</w:t>
            </w:r>
          </w:p>
        </w:tc>
      </w:tr>
      <w:tr>
        <w:trPr>
          <w:cantSplit/>
          <w:tblHeader w:val="false"/>
        </w:trPr>
        <w:tc>
          <w:tcPr>
            <w:tcW w:type="dxa" w:w="2174"/>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4"/>
                <w:szCs w:val="14"/>
              </w:rPr>
              <w:t xml:space="preserve">Broad diabetes-related (10 drugs)</w:t>
            </w:r>
          </w:p>
        </w:tc>
        <w:tc>
          <w:tcPr>
            <w:tcW w:type="dxa" w:w="69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4"/>
                <w:szCs w:val="14"/>
              </w:rPr>
              <w:t xml:space="preserve">5,208</w:t>
            </w:r>
          </w:p>
        </w:tc>
        <w:tc>
          <w:tcPr>
            <w:tcW w:type="dxa" w:w="4215"/>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4"/>
                <w:szCs w:val="14"/>
              </w:rPr>
              <w:t xml:space="preserve">Semaglutide, liraglutide, tirzepatide, empagliflozin, dapagliflozin, sitagliptin, glipizide, pioglitazone, insulin (aspart, regular, lispro, glargine), metformin</w:t>
            </w:r>
          </w:p>
        </w:tc>
      </w:tr>
      <w:tr>
        <w:trPr>
          <w:cantSplit/>
          <w:tblHeader w:val="false"/>
        </w:trPr>
        <w:tc>
          <w:tcPr>
            <w:tcW w:type="dxa" w:w="2174"/>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4"/>
                <w:szCs w:val="14"/>
              </w:rPr>
              <w:t xml:space="preserve">Selected diabetes-related (4 drugs)</w:t>
            </w:r>
          </w:p>
        </w:tc>
        <w:tc>
          <w:tcPr>
            <w:tcW w:type="dxa" w:w="69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4"/>
                <w:szCs w:val="14"/>
              </w:rPr>
              <w:t xml:space="preserve">342</w:t>
            </w:r>
          </w:p>
        </w:tc>
        <w:tc>
          <w:tcPr>
            <w:tcW w:type="dxa" w:w="4215"/>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4"/>
                <w:szCs w:val="14"/>
              </w:rPr>
              <w:t xml:space="preserve">Semaglutide, liraglutide, tirzepatide, empagliflozin</w:t>
            </w:r>
          </w:p>
        </w:tc>
      </w:tr>
    </w:tbl>
    <w:p>
      <w:pPr>
        <w:spacing w:after="200" w:line="240"/>
      </w:pP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 broad obesity-related panel included both anti-obesity and commonly co-prescribed medications in adolescents with obesity-related comorbidities (hypertension, dyslipidaemia, type 2 diabetes). The selected obesity-related panel comprised the four most frequently prescribed agents in this population. It should be noted explicitly that these four agents (metformin, atorvastatin, lisinopril, losartan) are not themselves anti-obesity medications; they are a biguanide, a statin, an ACE inhibitor, and an angiotensin receptor blocker, respectively, and are included because they dominate the prescribing profile of adolescents managed for obesity-related comorbidity. The label “obesity-related” therefore denotes the clinical context of prescribing rather than the pharmacological class, and results from this panel should be read accordingly. The selected diabetes-related panel comprised newer agents with emerging adolescent safety data.</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While the initial research scope included a broader set of medications, preliminary data analysis indicated insufficient AE reports for several agents to support a comprehensive safety evaluation within the adolescent age band. The drugs listed above were those with adequate reporting volume (</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val="false"/>
          <w:iCs w:val="false"/>
          <w:sz w:val="20"/>
          <w:szCs w:val="20"/>
        </w:rPr>
        <w:t xml:space="preserve">3 reports for at least one drug-event combination) to permit meaningful disproportionality analysis. Drug names were normalised to standardised RxNorm Concept Unique Identifiers (RxCUIs) using the National Library of Medicine RxNorm REST API, with secondary fuzzy matching (RapidFuzz, threshold </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val="false"/>
          <w:iCs w:val="false"/>
          <w:sz w:val="20"/>
          <w:szCs w:val="20"/>
        </w:rPr>
        <w:t xml:space="preserve">85) for variants not resolved by the API. Several medications (e.g., metformin, dapagliflozin, semaglutide, empagliflozin, tirzepatide) were evaluated in both the obesity and diabetes panels. Where a single active ingredient appeared under more than one product entry (for example insulin lispro and insulin lispro Junior KwikPen), the per-drug case totals quoted in the Results are the sum across those entries, whereas S8 Table reports each product entry separately. Consequently, the per-drug case counts reported in the Results section are pooled totals across both panels to reflect the complete adolescent reporting volume for each agent. Certain agents that form part of the adolescent anti-obesity treatment landscape, notably orlistat and the phentermine-topiramate combination, were screened but yielded too few adolescent reports to support disproportionality estimation; they are therefore listed in the panel definition but do not appear in the drug-specific results, and their absence should not be read as evidence of a favourable safety profile.</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Data source and preprocessing</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 FAERS database is a publicly accessible pharmacovigilance repository maintained by the FDA and refreshed on a quarterly basis; it formed the sole data source for this retrospective analysis [18]. The study downloaded 20 consecutive quarters of ASCII data files from 2021Q1 through 2025Q4, encompassing the demographic (DEMO), drug (DRUG), reaction (REAC), outcome (OUTC), therapy (THER), indication (INDI), and report-source (RPSR) tables. Following FDA guidelines, the dataset was processed by removing duplicate reports, retaining only the most recent version of each case based on the </w:t>
      </w:r>
      <w:r>
        <w:rPr>
          <w:rFonts w:ascii="Courier New" w:cs="Courier New" w:eastAsia="Courier New" w:hAnsi="Courier New"/>
          <w:b w:val="false"/>
          <w:bCs w:val="false"/>
          <w:i w:val="false"/>
          <w:iCs w:val="false"/>
          <w:sz w:val="20"/>
          <w:szCs w:val="20"/>
        </w:rPr>
        <w:t xml:space="preserve">FDA</w:t>
      </w:r>
      <w:r>
        <w:rPr>
          <w:rFonts w:ascii="Times New Roman" w:cs="Times New Roman" w:eastAsia="Times New Roman" w:hAnsi="Times New Roman"/>
          <w:b w:val="false"/>
          <w:bCs w:val="false"/>
          <w:i w:val="false"/>
          <w:iCs w:val="false"/>
          <w:sz w:val="20"/>
          <w:szCs w:val="20"/>
          <w:vertAlign w:val="subscript"/>
        </w:rPr>
        <w:t xml:space="preserve">D</w:t>
      </w:r>
      <w:r>
        <w:rPr>
          <w:rFonts w:ascii="Courier New" w:cs="Courier New" w:eastAsia="Courier New" w:hAnsi="Courier New"/>
          <w:b w:val="false"/>
          <w:bCs w:val="false"/>
          <w:i w:val="false"/>
          <w:iCs w:val="false"/>
          <w:sz w:val="20"/>
          <w:szCs w:val="20"/>
        </w:rPr>
        <w:t xml:space="preserve">T</w:t>
      </w:r>
      <w:r>
        <w:rPr>
          <w:rFonts w:ascii="Times New Roman" w:cs="Times New Roman" w:eastAsia="Times New Roman" w:hAnsi="Times New Roman"/>
          <w:b w:val="false"/>
          <w:bCs w:val="false"/>
          <w:i w:val="false"/>
          <w:iCs w:val="false"/>
          <w:sz w:val="20"/>
          <w:szCs w:val="20"/>
        </w:rPr>
        <w:t xml:space="preserve"> field. Analyses were restricted to reports involving patients aged 12-17 years (adolescents). AEs were classified using the Medical Dictionary for Regulatory Activities (MedDRA, version 28.1) [19], with events coded at the Preferred Term (PT) level and mapped to System Organ Class (SOC) and High Level Group Term (HLGT) categories. Preferred Terms in the FAERS REAC files arrive pre-coded by the FDA using the MedDRA version current at each quarterly extract; the authors used MedDRA version 28.1 specifically for mapping those PTs to primary System Organ Class and HLGT. The study design is illustrated in Fig 1.</w:t>
      </w:r>
    </w:p>
    <w:p>
      <w:pPr>
        <w:spacing w:after="80" w:before="80" w:line="480" w:lineRule="auto"/>
        <w:jc w:val="left"/>
      </w:pPr>
      <w:r>
        <w:rPr>
          <w:rFonts w:ascii="Times New Roman" w:cs="Times New Roman" w:eastAsia="Times New Roman" w:hAnsi="Times New Roman"/>
          <w:b/>
          <w:bCs/>
          <w:i w:val="false"/>
          <w:iCs w:val="false"/>
          <w:sz w:val="20"/>
          <w:szCs w:val="20"/>
        </w:rPr>
        <w:t xml:space="preserve">Fig 1.</w:t>
      </w:r>
      <w:r>
        <w:rPr>
          <w:rFonts w:ascii="Times New Roman" w:cs="Times New Roman" w:eastAsia="Times New Roman" w:hAnsi="Times New Roman"/>
          <w:b w:val="false"/>
          <w:bCs w:val="false"/>
          <w:i w:val="false"/>
          <w:iCs w:val="false"/>
          <w:sz w:val="20"/>
          <w:szCs w:val="20"/>
        </w:rPr>
        <w:t xml:space="preserve"> Study flowchart of FAERS reports. STROBE-compliant case-selection flow from 7,612,804 raw FAERS records through deduplication (6,985,217 cases), age restriction to 12-17 years (403,278 reports), and drug-panel filtering to the final analytical cohorts.</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Data analysis</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Potential AE signals were flagged using the fourfold disproportionality framework (Table 2), scored against four established detection algorithms (Table 3). Rather than relying on a single metric, this multi-algorithm approach cross-checks each candidate signal along two independent axes: how strongly the drug-event pair is statistically associated (intensity) and how often it has actually been reported (frequency).</w:t>
      </w:r>
    </w:p>
    <w:p>
      <w:pPr>
        <w:keepNext/>
        <w:spacing w:after="80" w:before="200" w:line="240" w:lineRule="auto"/>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Fourfold table for disproportionality analyses.</w:t>
      </w:r>
    </w:p>
    <w:tbl>
      <w:tblPr>
        <w:tblW w:type="dxa" w:w="4985"/>
        <w:jc w:val="center"/>
        <w:tblBorders>
          <w:top w:val="single" w:color="auto" w:sz="4"/>
          <w:left w:val="single" w:color="auto" w:sz="4"/>
          <w:bottom w:val="single" w:color="auto" w:sz="4"/>
          <w:right w:val="single" w:color="auto" w:sz="4"/>
          <w:insideH w:val="single" w:color="auto" w:sz="4"/>
          <w:insideV w:val="single" w:color="auto" w:sz="4"/>
        </w:tblBorders>
      </w:tblPr>
      <w:tblGrid>
        <w:gridCol w:w="1377"/>
        <w:gridCol w:w="1132"/>
        <w:gridCol w:w="1286"/>
        <w:gridCol w:w="1190"/>
      </w:tblGrid>
      <w:tr>
        <w:trPr>
          <w:cantSplit/>
          <w:tblHeader w:val="false"/>
        </w:trPr>
        <w:tc>
          <w:tcPr>
            <w:tcW w:type="dxa" w:w="1377"/>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bCs/>
                <w:i w:val="false"/>
                <w:iCs w:val="false"/>
                <w:sz w:val="16"/>
                <w:szCs w:val="16"/>
              </w:rPr>
              <w:t xml:space="preserve">Event groups</w:t>
            </w:r>
          </w:p>
        </w:tc>
        <w:tc>
          <w:tcPr>
            <w:tcW w:type="dxa" w:w="11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Drug used</w:t>
            </w:r>
          </w:p>
        </w:tc>
        <w:tc>
          <w:tcPr>
            <w:tcW w:type="dxa" w:w="128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Other drugs</w:t>
            </w:r>
          </w:p>
        </w:tc>
        <w:tc>
          <w:tcPr>
            <w:tcW w:type="dxa" w:w="119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Sums</w:t>
            </w:r>
          </w:p>
        </w:tc>
      </w:tr>
      <w:tr>
        <w:trPr>
          <w:cantSplit/>
          <w:tblHeader w:val="false"/>
        </w:trPr>
        <w:tc>
          <w:tcPr>
            <w:tcW w:type="dxa" w:w="1377"/>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Event</w:t>
            </w:r>
          </w:p>
        </w:tc>
        <w:tc>
          <w:tcPr>
            <w:tcW w:type="dxa" w:w="11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a</w:t>
            </w:r>
          </w:p>
        </w:tc>
        <w:tc>
          <w:tcPr>
            <w:tcW w:type="dxa" w:w="128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c</w:t>
            </w:r>
          </w:p>
        </w:tc>
        <w:tc>
          <w:tcPr>
            <w:tcW w:type="dxa" w:w="119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a + c</w:t>
            </w:r>
          </w:p>
        </w:tc>
      </w:tr>
      <w:tr>
        <w:trPr>
          <w:cantSplit/>
          <w:tblHeader w:val="false"/>
        </w:trPr>
        <w:tc>
          <w:tcPr>
            <w:tcW w:type="dxa" w:w="1377"/>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Other events</w:t>
            </w:r>
          </w:p>
        </w:tc>
        <w:tc>
          <w:tcPr>
            <w:tcW w:type="dxa" w:w="11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b</w:t>
            </w:r>
          </w:p>
        </w:tc>
        <w:tc>
          <w:tcPr>
            <w:tcW w:type="dxa" w:w="128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d</w:t>
            </w:r>
          </w:p>
        </w:tc>
        <w:tc>
          <w:tcPr>
            <w:tcW w:type="dxa" w:w="119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b + d</w:t>
            </w:r>
          </w:p>
        </w:tc>
      </w:tr>
      <w:tr>
        <w:trPr>
          <w:cantSplit/>
          <w:tblHeader w:val="false"/>
        </w:trPr>
        <w:tc>
          <w:tcPr>
            <w:tcW w:type="dxa" w:w="1377"/>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Sums</w:t>
            </w:r>
          </w:p>
        </w:tc>
        <w:tc>
          <w:tcPr>
            <w:tcW w:type="dxa" w:w="11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a + b</w:t>
            </w:r>
          </w:p>
        </w:tc>
        <w:tc>
          <w:tcPr>
            <w:tcW w:type="dxa" w:w="128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c + d</w:t>
            </w:r>
          </w:p>
        </w:tc>
        <w:tc>
          <w:tcPr>
            <w:tcW w:type="dxa" w:w="119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a + b + c + d</w:t>
            </w:r>
          </w:p>
        </w:tc>
      </w:tr>
    </w:tbl>
    <w:p>
      <w:pPr>
        <w:spacing w:after="200" w:line="240"/>
      </w:pPr>
    </w:p>
    <w:p>
      <w:pPr>
        <w:keepNext/>
        <w:spacing w:after="80" w:before="200" w:line="240" w:lineRule="auto"/>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Computational formulae and thresholds of signal detection.</w:t>
      </w:r>
    </w:p>
    <w:tbl>
      <w:tblPr>
        <w:tblW w:type="dxa" w:w="6369"/>
        <w:jc w:val="center"/>
        <w:tblBorders>
          <w:top w:val="single" w:color="auto" w:sz="4"/>
          <w:left w:val="single" w:color="auto" w:sz="4"/>
          <w:bottom w:val="single" w:color="auto" w:sz="4"/>
          <w:right w:val="single" w:color="auto" w:sz="4"/>
          <w:insideH w:val="single" w:color="auto" w:sz="4"/>
          <w:insideV w:val="single" w:color="auto" w:sz="4"/>
        </w:tblBorders>
      </w:tblPr>
      <w:tblGrid>
        <w:gridCol w:w="1126"/>
        <w:gridCol w:w="2596"/>
        <w:gridCol w:w="2647"/>
      </w:tblGrid>
      <w:tr>
        <w:trPr>
          <w:cantSplit/>
          <w:tblHeader w:val="false"/>
        </w:trPr>
        <w:tc>
          <w:tcPr>
            <w:tcW w:type="dxa" w:w="112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bCs/>
                <w:i w:val="false"/>
                <w:iCs w:val="false"/>
                <w:sz w:val="16"/>
                <w:szCs w:val="16"/>
              </w:rPr>
              <w:t xml:space="preserve">Algorithm</w:t>
            </w:r>
          </w:p>
        </w:tc>
        <w:tc>
          <w:tcPr>
            <w:tcW w:type="dxa" w:w="259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Equation</w:t>
            </w:r>
          </w:p>
        </w:tc>
        <w:tc>
          <w:tcPr>
            <w:tcW w:type="dxa" w:w="2647"/>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Criteria</w:t>
            </w:r>
          </w:p>
        </w:tc>
      </w:tr>
      <w:tr>
        <w:trPr>
          <w:cantSplit/>
          <w:tblHeader w:val="false"/>
        </w:trPr>
        <w:tc>
          <w:tcPr>
            <w:tcW w:type="dxa" w:w="112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ROR</w:t>
            </w:r>
          </w:p>
        </w:tc>
        <w:tc>
          <w:tcPr>
            <w:tcW w:type="dxa" w:w="259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m:oMath>
              <m:r>
                <m:rPr>
                  <m:sty m:val="p"/>
                </m:rPr>
                <m:t>R</m:t>
              </m:r>
              <m:r>
                <m:rPr>
                  <m:sty m:val="p"/>
                </m:rPr>
                <m:t>O</m:t>
              </m:r>
              <m:r>
                <m:rPr>
                  <m:sty m:val="p"/>
                </m:rPr>
                <m:t>R</m:t>
              </m:r>
              <m:r>
                <m:rPr>
                  <m:sty m:val="p"/>
                </m:rPr>
                <m:t>=</m:t>
              </m:r>
              <m:f>
                <m:fPr>
                  <m:type m:val="bar"/>
                </m:fPr>
                <m:num>
                  <m:r>
                    <m:t>a</m:t>
                  </m:r>
                  <m:r>
                    <m:t>d</m:t>
                  </m:r>
                </m:num>
                <m:den>
                  <m:r>
                    <m:t>b</m:t>
                  </m:r>
                  <m:r>
                    <m:t>c</m:t>
                  </m:r>
                </m:den>
              </m:f>
            </m:oMath>
          </w:p>
        </w:tc>
        <w:tc>
          <w:tcPr>
            <w:tcW w:type="dxa" w:w="2647"/>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95% CI lower bound </w:t>
            </w:r>
            <w:r>
              <w:rPr>
                <w:rFonts w:ascii="Times New Roman" w:cs="Times New Roman" w:eastAsia="Times New Roman" w:hAnsi="Times New Roman"/>
                <w:b w:val="false"/>
                <w:bCs w:val="false"/>
                <w:i/>
                <w:iCs/>
                <w:sz w:val="16"/>
                <w:szCs w:val="16"/>
              </w:rPr>
              <w:t xml:space="preserve">&gt; 1</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N ≥ 3</w:t>
            </w:r>
          </w:p>
        </w:tc>
      </w:tr>
      <w:tr>
        <w:trPr>
          <w:cantSplit/>
          <w:tblHeader w:val="false"/>
        </w:trPr>
        <w:tc>
          <w:tcPr>
            <w:tcW w:type="dxa" w:w="112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PRR</w:t>
            </w:r>
          </w:p>
        </w:tc>
        <w:tc>
          <w:tcPr>
            <w:tcW w:type="dxa" w:w="259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m:oMath>
              <m:r>
                <m:rPr>
                  <m:sty m:val="p"/>
                </m:rPr>
                <m:t>P</m:t>
              </m:r>
              <m:r>
                <m:rPr>
                  <m:sty m:val="p"/>
                </m:rPr>
                <m:t>R</m:t>
              </m:r>
              <m:r>
                <m:rPr>
                  <m:sty m:val="p"/>
                </m:rPr>
                <m:t>R</m:t>
              </m:r>
              <m:r>
                <m:rPr>
                  <m:sty m:val="p"/>
                </m:rPr>
                <m:t>=</m:t>
              </m:r>
              <m:f>
                <m:fPr>
                  <m:type m:val="bar"/>
                </m:fPr>
                <m:num>
                  <m:r>
                    <m:t>a</m:t>
                  </m:r>
                  <m:d>
                    <m:dPr>
                      <m:begChr m:val="("/>
                      <m:endChr m:val=")"/>
                      <m:sepChr m:val=""/>
                      <m:grow/>
                    </m:dPr>
                    <m:e>
                      <m:r>
                        <m:t>c</m:t>
                      </m:r>
                      <m:r>
                        <m:rPr>
                          <m:sty m:val="p"/>
                        </m:rPr>
                        <m:t>+</m:t>
                      </m:r>
                      <m:r>
                        <m:t>d</m:t>
                      </m:r>
                    </m:e>
                  </m:d>
                </m:num>
                <m:den>
                  <m:r>
                    <m:t>c</m:t>
                  </m:r>
                  <m:d>
                    <m:dPr>
                      <m:begChr m:val="("/>
                      <m:endChr m:val=")"/>
                      <m:sepChr m:val=""/>
                      <m:grow/>
                    </m:dPr>
                    <m:e>
                      <m:r>
                        <m:t>a</m:t>
                      </m:r>
                      <m:r>
                        <m:rPr>
                          <m:sty m:val="p"/>
                        </m:rPr>
                        <m:t>+</m:t>
                      </m:r>
                      <m:r>
                        <m:t>b</m:t>
                      </m:r>
                    </m:e>
                  </m:d>
                </m:den>
              </m:f>
            </m:oMath>
          </w:p>
        </w:tc>
        <w:tc>
          <w:tcPr>
            <w:tcW w:type="dxa" w:w="2647"/>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PRR </w:t>
            </w:r>
            <w:r>
              <w:rPr>
                <w:rFonts w:ascii="Times New Roman" w:cs="Times New Roman" w:eastAsia="Times New Roman" w:hAnsi="Times New Roman"/>
                <w:b w:val="false"/>
                <w:bCs w:val="false"/>
                <w:i/>
                <w:iCs/>
                <w:sz w:val="16"/>
                <w:szCs w:val="16"/>
              </w:rPr>
              <w:t xml:space="preserve">≥ 2</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χ</w:t>
            </w:r>
            <w:r>
              <w:rPr>
                <w:rFonts w:ascii="Times New Roman" w:cs="Times New Roman" w:eastAsia="Times New Roman" w:hAnsi="Times New Roman"/>
                <w:b w:val="false"/>
                <w:bCs w:val="false"/>
                <w:i/>
                <w:iCs/>
                <w:sz w:val="16"/>
                <w:szCs w:val="16"/>
                <w:vertAlign w:val="superscript"/>
              </w:rPr>
              <w:t xml:space="preserve">2</w:t>
            </w:r>
            <w:r>
              <w:rPr>
                <w:rFonts w:ascii="Times New Roman" w:cs="Times New Roman" w:eastAsia="Times New Roman" w:hAnsi="Times New Roman"/>
                <w:b w:val="false"/>
                <w:bCs w:val="false"/>
                <w:i/>
                <w:iCs/>
                <w:sz w:val="16"/>
                <w:szCs w:val="16"/>
              </w:rPr>
              <w:t xml:space="preserve"> ≥ 4</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N ≥ 3</w:t>
            </w:r>
          </w:p>
        </w:tc>
      </w:tr>
      <w:tr>
        <w:trPr>
          <w:cantSplit/>
          <w:tblHeader w:val="false"/>
        </w:trPr>
        <w:tc>
          <w:tcPr>
            <w:tcW w:type="dxa" w:w="112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IC</w:t>
            </w:r>
          </w:p>
        </w:tc>
        <w:tc>
          <w:tcPr>
            <w:tcW w:type="dxa" w:w="259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m:oMath>
              <m:r>
                <m:rPr>
                  <m:sty m:val="p"/>
                </m:rPr>
                <m:t>I</m:t>
              </m:r>
              <m:r>
                <m:rPr>
                  <m:sty m:val="p"/>
                </m:rPr>
                <m:t>C</m:t>
              </m:r>
              <m:r>
                <m:rPr>
                  <m:sty m:val="p"/>
                </m:rPr>
                <m:t>=</m:t>
              </m:r>
              <m:sSub>
                <m:e>
                  <m:r>
                    <m:rPr>
                      <m:sty m:val="p"/>
                    </m:rPr>
                    <m:t>log</m:t>
                  </m:r>
                </m:e>
                <m:sub>
                  <m:r>
                    <m:t>2</m:t>
                  </m:r>
                </m:sub>
              </m:sSub>
              <m:f>
                <m:fPr>
                  <m:type m:val="bar"/>
                </m:fPr>
                <m:num>
                  <m:r>
                    <m:t>a</m:t>
                  </m:r>
                  <m:r>
                    <m:rPr>
                      <m:sty m:val="p"/>
                    </m:rPr>
                    <m:t>⋅</m:t>
                  </m:r>
                  <m:d>
                    <m:dPr>
                      <m:begChr m:val="("/>
                      <m:endChr m:val=")"/>
                      <m:sepChr m:val=""/>
                      <m:grow/>
                    </m:dPr>
                    <m:e>
                      <m:r>
                        <m:t>a</m:t>
                      </m:r>
                      <m:r>
                        <m:rPr>
                          <m:sty m:val="p"/>
                        </m:rPr>
                        <m:t>+</m:t>
                      </m:r>
                      <m:r>
                        <m:t>b</m:t>
                      </m:r>
                      <m:r>
                        <m:rPr>
                          <m:sty m:val="p"/>
                        </m:rPr>
                        <m:t>+</m:t>
                      </m:r>
                      <m:r>
                        <m:t>c</m:t>
                      </m:r>
                      <m:r>
                        <m:rPr>
                          <m:sty m:val="p"/>
                        </m:rPr>
                        <m:t>+</m:t>
                      </m:r>
                      <m:r>
                        <m:t>d</m:t>
                      </m:r>
                    </m:e>
                  </m:d>
                </m:num>
                <m:den>
                  <m:d>
                    <m:dPr>
                      <m:begChr m:val="("/>
                      <m:endChr m:val=")"/>
                      <m:sepChr m:val=""/>
                      <m:grow/>
                    </m:dPr>
                    <m:e>
                      <m:r>
                        <m:t>a</m:t>
                      </m:r>
                      <m:r>
                        <m:rPr>
                          <m:sty m:val="p"/>
                        </m:rPr>
                        <m:t>+</m:t>
                      </m:r>
                      <m:r>
                        <m:t>b</m:t>
                      </m:r>
                    </m:e>
                  </m:d>
                  <m:d>
                    <m:dPr>
                      <m:begChr m:val="("/>
                      <m:endChr m:val=")"/>
                      <m:sepChr m:val=""/>
                      <m:grow/>
                    </m:dPr>
                    <m:e>
                      <m:r>
                        <m:t>a</m:t>
                      </m:r>
                      <m:r>
                        <m:rPr>
                          <m:sty m:val="p"/>
                        </m:rPr>
                        <m:t>+</m:t>
                      </m:r>
                      <m:r>
                        <m:t>c</m:t>
                      </m:r>
                    </m:e>
                  </m:d>
                </m:den>
              </m:f>
            </m:oMath>
          </w:p>
        </w:tc>
        <w:tc>
          <w:tcPr>
            <w:tcW w:type="dxa" w:w="2647"/>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IC</w:t>
            </w:r>
            <w:r>
              <w:rPr>
                <w:rFonts w:ascii="Times New Roman" w:cs="Times New Roman" w:eastAsia="Times New Roman" w:hAnsi="Times New Roman"/>
                <w:b w:val="false"/>
                <w:bCs w:val="false"/>
                <w:i/>
                <w:iCs/>
                <w:sz w:val="16"/>
                <w:szCs w:val="16"/>
                <w:vertAlign w:val="subscript"/>
              </w:rPr>
              <w:t xml:space="preserve">025</w:t>
            </w:r>
            <w:r>
              <w:rPr>
                <w:rFonts w:ascii="Times New Roman" w:cs="Times New Roman" w:eastAsia="Times New Roman" w:hAnsi="Times New Roman"/>
                <w:b w:val="false"/>
                <w:bCs w:val="false"/>
                <w:i/>
                <w:iCs/>
                <w:sz w:val="16"/>
                <w:szCs w:val="16"/>
              </w:rPr>
              <w:t xml:space="preserve"> &gt; 0</w:t>
            </w:r>
          </w:p>
        </w:tc>
      </w:tr>
      <w:tr>
        <w:trPr>
          <w:cantSplit/>
          <w:tblHeader w:val="false"/>
        </w:trPr>
        <w:tc>
          <w:tcPr>
            <w:tcW w:type="dxa" w:w="112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EBGM</w:t>
            </w:r>
            <w:r>
              <w:rPr>
                <w:rFonts w:ascii="Times New Roman" w:cs="Times New Roman" w:eastAsia="Times New Roman" w:hAnsi="Times New Roman"/>
                <w:b w:val="false"/>
                <w:bCs w:val="false"/>
                <w:i/>
                <w:iCs/>
                <w:sz w:val="16"/>
                <w:szCs w:val="16"/>
                <w:vertAlign w:val="superscript"/>
              </w:rPr>
              <w:t xml:space="preserve">†</w:t>
            </w:r>
          </w:p>
        </w:tc>
        <w:tc>
          <w:tcPr>
            <w:tcW w:type="dxa" w:w="259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m:oMath>
              <m:r>
                <m:rPr>
                  <m:sty m:val="p"/>
                </m:rPr>
                <m:t>E</m:t>
              </m:r>
              <m:r>
                <m:rPr>
                  <m:sty m:val="p"/>
                </m:rPr>
                <m:t>B</m:t>
              </m:r>
              <m:r>
                <m:rPr>
                  <m:sty m:val="p"/>
                </m:rPr>
                <m:t>G</m:t>
              </m:r>
              <m:r>
                <m:rPr>
                  <m:sty m:val="p"/>
                </m:rPr>
                <m:t>M</m:t>
              </m:r>
              <m:r>
                <m:rPr>
                  <m:sty m:val="p"/>
                </m:rPr>
                <m:t>=</m:t>
              </m:r>
              <m:f>
                <m:fPr>
                  <m:type m:val="bar"/>
                </m:fPr>
                <m:num>
                  <m:r>
                    <m:t>a</m:t>
                  </m:r>
                </m:num>
                <m:den>
                  <m:r>
                    <m:t>E</m:t>
                  </m:r>
                </m:den>
              </m:f>
              <m:r>
                <m:rPr>
                  <m:sty m:val="p"/>
                </m:rPr>
                <m:t>,</m:t>
              </m:r>
              <m:r>
                <m:t> </m:t>
              </m:r>
              <m:r>
                <m:t>E</m:t>
              </m:r>
              <m:r>
                <m:rPr>
                  <m:sty m:val="p"/>
                </m:rPr>
                <m:t>=</m:t>
              </m:r>
              <m:f>
                <m:fPr>
                  <m:type m:val="bar"/>
                </m:fPr>
                <m:num>
                  <m:d>
                    <m:dPr>
                      <m:begChr m:val="("/>
                      <m:endChr m:val=")"/>
                      <m:sepChr m:val=""/>
                      <m:grow/>
                    </m:dPr>
                    <m:e>
                      <m:r>
                        <m:t>a</m:t>
                      </m:r>
                      <m:r>
                        <m:rPr>
                          <m:sty m:val="p"/>
                        </m:rPr>
                        <m:t>+</m:t>
                      </m:r>
                      <m:r>
                        <m:t>b</m:t>
                      </m:r>
                    </m:e>
                  </m:d>
                  <m:d>
                    <m:dPr>
                      <m:begChr m:val="("/>
                      <m:endChr m:val=")"/>
                      <m:sepChr m:val=""/>
                      <m:grow/>
                    </m:dPr>
                    <m:e>
                      <m:r>
                        <m:t>a</m:t>
                      </m:r>
                      <m:r>
                        <m:rPr>
                          <m:sty m:val="p"/>
                        </m:rPr>
                        <m:t>+</m:t>
                      </m:r>
                      <m:r>
                        <m:t>c</m:t>
                      </m:r>
                    </m:e>
                  </m:d>
                </m:num>
                <m:den>
                  <m:r>
                    <m:t>a</m:t>
                  </m:r>
                  <m:r>
                    <m:rPr>
                      <m:sty m:val="p"/>
                    </m:rPr>
                    <m:t>+</m:t>
                  </m:r>
                  <m:r>
                    <m:t>b</m:t>
                  </m:r>
                  <m:r>
                    <m:rPr>
                      <m:sty m:val="p"/>
                    </m:rPr>
                    <m:t>+</m:t>
                  </m:r>
                  <m:r>
                    <m:t>c</m:t>
                  </m:r>
                  <m:r>
                    <m:rPr>
                      <m:sty m:val="p"/>
                    </m:rPr>
                    <m:t>+</m:t>
                  </m:r>
                  <m:r>
                    <m:t>d</m:t>
                  </m:r>
                </m:den>
              </m:f>
            </m:oMath>
          </w:p>
        </w:tc>
        <w:tc>
          <w:tcPr>
            <w:tcW w:type="dxa" w:w="2647"/>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EB05 </w:t>
            </w:r>
            <w:r>
              <w:rPr>
                <w:rFonts w:ascii="Times New Roman" w:cs="Times New Roman" w:eastAsia="Times New Roman" w:hAnsi="Times New Roman"/>
                <w:b w:val="false"/>
                <w:bCs w:val="false"/>
                <w:i/>
                <w:iCs/>
                <w:sz w:val="16"/>
                <w:szCs w:val="16"/>
              </w:rPr>
              <w:t xml:space="preserve">≥ 2</w:t>
            </w:r>
          </w:p>
        </w:tc>
      </w:tr>
    </w:tbl>
    <w:p>
      <w:pPr>
        <w:spacing w:after="200" w:line="240"/>
      </w:pPr>
    </w:p>
    <w:p>
      <w:pPr>
        <w:spacing w:line="480" w:lineRule="auto"/>
        <w:ind w:firstLine="283"/>
        <w:jc w:val="left"/>
      </w:pPr>
      <w:r>
        <w:rPr>
          <w:rFonts w:ascii="Times New Roman" w:cs="Times New Roman" w:eastAsia="Times New Roman" w:hAnsi="Times New Roman"/>
          <w:b w:val="false"/>
          <w:bCs w:val="false"/>
          <w:i/>
          <w:iCs/>
          <w:sz w:val="20"/>
          <w:szCs w:val="20"/>
          <w:vertAlign w:val="superscript"/>
        </w:rPr>
        <w:t xml:space="preserve">†</w:t>
      </w:r>
      <w:r>
        <w:rPr>
          <w:rFonts w:ascii="Times New Roman" w:cs="Times New Roman" w:eastAsia="Times New Roman" w:hAnsi="Times New Roman"/>
          <w:b w:val="false"/>
          <w:bCs w:val="false"/>
          <w:i w:val="false"/>
          <w:iCs w:val="false"/>
          <w:sz w:val="20"/>
          <w:szCs w:val="20"/>
        </w:rPr>
        <w:t xml:space="preserve">The equation shown is the crude observed/expected ratio. The reported EBGM values were computed using the Multi-item Gamma Poisson Shrinker (GPS/DuMouchel) with a two-component Gamma mixture prior (</w:t>
      </w:r>
      <w:r>
        <w:rPr>
          <w:rFonts w:ascii="Times New Roman" w:cs="Times New Roman" w:eastAsia="Times New Roman" w:hAnsi="Times New Roman"/>
          <w:b w:val="false"/>
          <w:bCs w:val="false"/>
          <w:i/>
          <w:iCs/>
          <w:sz w:val="20"/>
          <w:szCs w:val="20"/>
        </w:rPr>
        <w:t xml:space="preserve">α</w:t>
      </w:r>
      <w:r>
        <w:rPr>
          <w:rFonts w:ascii="Times New Roman" w:cs="Times New Roman" w:eastAsia="Times New Roman" w:hAnsi="Times New Roman"/>
          <w:b w:val="false"/>
          <w:bCs w:val="false"/>
          <w:i/>
          <w:iCs/>
          <w:sz w:val="20"/>
          <w:szCs w:val="20"/>
          <w:vertAlign w:val="subscript"/>
        </w:rPr>
        <w:t xml:space="preserve">1</w:t>
      </w:r>
      <w:r>
        <w:rPr>
          <w:rFonts w:ascii="Times New Roman" w:cs="Times New Roman" w:eastAsia="Times New Roman" w:hAnsi="Times New Roman"/>
          <w:b w:val="false"/>
          <w:bCs w:val="false"/>
          <w:i/>
          <w:iCs/>
          <w:sz w:val="20"/>
          <w:szCs w:val="20"/>
        </w:rPr>
        <w:t xml:space="preserve">=0.2</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β</w:t>
      </w:r>
      <w:r>
        <w:rPr>
          <w:rFonts w:ascii="Times New Roman" w:cs="Times New Roman" w:eastAsia="Times New Roman" w:hAnsi="Times New Roman"/>
          <w:b w:val="false"/>
          <w:bCs w:val="false"/>
          <w:i/>
          <w:iCs/>
          <w:sz w:val="20"/>
          <w:szCs w:val="20"/>
          <w:vertAlign w:val="subscript"/>
        </w:rPr>
        <w:t xml:space="preserve">1</w:t>
      </w:r>
      <w:r>
        <w:rPr>
          <w:rFonts w:ascii="Times New Roman" w:cs="Times New Roman" w:eastAsia="Times New Roman" w:hAnsi="Times New Roman"/>
          <w:b w:val="false"/>
          <w:bCs w:val="false"/>
          <w:i/>
          <w:iCs/>
          <w:sz w:val="20"/>
          <w:szCs w:val="20"/>
        </w:rPr>
        <w:t xml:space="preserve">=0.06</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α</w:t>
      </w:r>
      <w:r>
        <w:rPr>
          <w:rFonts w:ascii="Times New Roman" w:cs="Times New Roman" w:eastAsia="Times New Roman" w:hAnsi="Times New Roman"/>
          <w:b w:val="false"/>
          <w:bCs w:val="false"/>
          <w:i/>
          <w:iCs/>
          <w:sz w:val="20"/>
          <w:szCs w:val="20"/>
          <w:vertAlign w:val="subscript"/>
        </w:rPr>
        <w:t xml:space="preserve">2</w:t>
      </w:r>
      <w:r>
        <w:rPr>
          <w:rFonts w:ascii="Times New Roman" w:cs="Times New Roman" w:eastAsia="Times New Roman" w:hAnsi="Times New Roman"/>
          <w:b w:val="false"/>
          <w:bCs w:val="false"/>
          <w:i/>
          <w:iCs/>
          <w:sz w:val="20"/>
          <w:szCs w:val="20"/>
        </w:rPr>
        <w:t xml:space="preserve">=1.4</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β</w:t>
      </w:r>
      <w:r>
        <w:rPr>
          <w:rFonts w:ascii="Times New Roman" w:cs="Times New Roman" w:eastAsia="Times New Roman" w:hAnsi="Times New Roman"/>
          <w:b w:val="false"/>
          <w:bCs w:val="false"/>
          <w:i/>
          <w:iCs/>
          <w:sz w:val="20"/>
          <w:szCs w:val="20"/>
          <w:vertAlign w:val="subscript"/>
        </w:rPr>
        <w:t xml:space="preserve">2</w:t>
      </w:r>
      <w:r>
        <w:rPr>
          <w:rFonts w:ascii="Times New Roman" w:cs="Times New Roman" w:eastAsia="Times New Roman" w:hAnsi="Times New Roman"/>
          <w:b w:val="false"/>
          <w:bCs w:val="false"/>
          <w:i/>
          <w:iCs/>
          <w:sz w:val="20"/>
          <w:szCs w:val="20"/>
        </w:rPr>
        <w:t xml:space="preserve">=1.8</w:t>
      </w:r>
      <w:r>
        <w:rPr>
          <w:rFonts w:ascii="Times New Roman" w:cs="Times New Roman" w:eastAsia="Times New Roman" w:hAnsi="Times New Roman"/>
          <w:b w:val="false"/>
          <w:bCs w:val="false"/>
          <w:i w:val="false"/>
          <w:iCs w:val="false"/>
          <w:sz w:val="20"/>
          <w:szCs w:val="20"/>
        </w:rPr>
        <w:t xml:space="preserve">; mixing weight </w:t>
      </w:r>
      <w:r>
        <w:rPr>
          <w:rFonts w:ascii="Times New Roman" w:cs="Times New Roman" w:eastAsia="Times New Roman" w:hAnsi="Times New Roman"/>
          <w:b w:val="false"/>
          <w:bCs w:val="false"/>
          <w:i/>
          <w:iCs/>
          <w:sz w:val="20"/>
          <w:szCs w:val="20"/>
        </w:rPr>
        <w:t xml:space="preserve">w=0.1</w:t>
      </w:r>
      <w:r>
        <w:rPr>
          <w:rFonts w:ascii="Times New Roman" w:cs="Times New Roman" w:eastAsia="Times New Roman" w:hAnsi="Times New Roman"/>
          <w:b w:val="false"/>
          <w:bCs w:val="false"/>
          <w:i w:val="false"/>
          <w:iCs w:val="false"/>
          <w:sz w:val="20"/>
          <w:szCs w:val="20"/>
        </w:rPr>
        <w:t xml:space="preserve">), which applies Bayesian shrinkage to the crude ratio, pulling estimates with small cell counts toward the database-wide baseline. These prior hyperparameters were fixed at the values shown rather than estimated from the data by maximum likelihood, a simplification of the original GPS procedure that should be borne in mind when comparing EBGM values with those of other studies.</w:t>
      </w:r>
    </w:p>
    <w:p>
      <w:pPr>
        <w:spacing w:line="480" w:lineRule="auto"/>
        <w:ind w:firstLine="283"/>
        <w:jc w:val="left"/>
      </w:pPr>
    </w:p>
    <w:p>
      <w:pPr>
        <w:pStyle w:val="ListParagraph"/>
        <w:numPr>
          <w:ilvl w:val="0"/>
          <w:numId w:val="2"/>
        </w:numPr>
        <w:spacing w:after="0" w:line="480" w:lineRule="auto"/>
      </w:pPr>
      <w:r>
        <w:rPr>
          <w:rFonts w:ascii="Times New Roman" w:cs="Times New Roman" w:eastAsia="Times New Roman" w:hAnsi="Times New Roman"/>
          <w:b/>
          <w:bCs/>
          <w:i w:val="false"/>
          <w:iCs w:val="false"/>
          <w:sz w:val="20"/>
          <w:szCs w:val="20"/>
        </w:rPr>
        <w:t xml:space="preserve">Reporting Odds Ratio (ROR):</w:t>
      </w:r>
      <w:r>
        <w:rPr>
          <w:rFonts w:ascii="Times New Roman" w:cs="Times New Roman" w:eastAsia="Times New Roman" w:hAnsi="Times New Roman"/>
          <w:b w:val="false"/>
          <w:bCs w:val="false"/>
          <w:i w:val="false"/>
          <w:iCs w:val="false"/>
          <w:sz w:val="20"/>
          <w:szCs w:val="20"/>
        </w:rPr>
        <w:t xml:space="preserve"> Signal detected when the lower bound of the 95% CI exceeds 1 and </w:t>
      </w:r>
      <w:r>
        <w:rPr>
          <w:rFonts w:ascii="Times New Roman" w:cs="Times New Roman" w:eastAsia="Times New Roman" w:hAnsi="Times New Roman"/>
          <w:b w:val="false"/>
          <w:bCs w:val="false"/>
          <w:i/>
          <w:iCs/>
          <w:sz w:val="20"/>
          <w:szCs w:val="20"/>
        </w:rPr>
        <w:t xml:space="preserve">N ≥ 3</w:t>
      </w:r>
      <w:r>
        <w:rPr>
          <w:rFonts w:ascii="Times New Roman" w:cs="Times New Roman" w:eastAsia="Times New Roman" w:hAnsi="Times New Roman"/>
          <w:b w:val="false"/>
          <w:bCs w:val="false"/>
          <w:i w:val="false"/>
          <w:iCs w:val="false"/>
          <w:sz w:val="20"/>
          <w:szCs w:val="20"/>
        </w:rPr>
        <w:t xml:space="preserve"> [20].</w:t>
      </w:r>
    </w:p>
    <w:p>
      <w:pPr>
        <w:pStyle w:val="ListParagraph"/>
        <w:numPr>
          <w:ilvl w:val="0"/>
          <w:numId w:val="2"/>
        </w:numPr>
        <w:spacing w:after="0" w:line="480" w:lineRule="auto"/>
      </w:pPr>
      <w:r>
        <w:rPr>
          <w:rFonts w:ascii="Times New Roman" w:cs="Times New Roman" w:eastAsia="Times New Roman" w:hAnsi="Times New Roman"/>
          <w:b/>
          <w:bCs/>
          <w:i w:val="false"/>
          <w:iCs w:val="false"/>
          <w:sz w:val="20"/>
          <w:szCs w:val="20"/>
        </w:rPr>
        <w:t xml:space="preserve">Proportional Reporting Ratio (PRR):</w:t>
      </w:r>
      <w:r>
        <w:rPr>
          <w:rFonts w:ascii="Times New Roman" w:cs="Times New Roman" w:eastAsia="Times New Roman" w:hAnsi="Times New Roman"/>
          <w:b w:val="false"/>
          <w:bCs w:val="false"/>
          <w:i w:val="false"/>
          <w:iCs w:val="false"/>
          <w:sz w:val="20"/>
          <w:szCs w:val="20"/>
        </w:rPr>
        <w:t xml:space="preserve"> Signal detected when PRR </w:t>
      </w:r>
      <w:r>
        <w:rPr>
          <w:rFonts w:ascii="Times New Roman" w:cs="Times New Roman" w:eastAsia="Times New Roman" w:hAnsi="Times New Roman"/>
          <w:b w:val="false"/>
          <w:bCs w:val="false"/>
          <w:i/>
          <w:iCs/>
          <w:sz w:val="20"/>
          <w:szCs w:val="20"/>
        </w:rPr>
        <w:t xml:space="preserve">≥ 2</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χ</w:t>
      </w:r>
      <w:r>
        <w:rPr>
          <w:rFonts w:ascii="Times New Roman" w:cs="Times New Roman" w:eastAsia="Times New Roman" w:hAnsi="Times New Roman"/>
          <w:b w:val="false"/>
          <w:bCs w:val="false"/>
          <w:i/>
          <w:iCs/>
          <w:sz w:val="20"/>
          <w:szCs w:val="20"/>
          <w:vertAlign w:val="superscript"/>
        </w:rPr>
        <w:t xml:space="preserve">2</w:t>
      </w:r>
      <w:r>
        <w:rPr>
          <w:rFonts w:ascii="Times New Roman" w:cs="Times New Roman" w:eastAsia="Times New Roman" w:hAnsi="Times New Roman"/>
          <w:b w:val="false"/>
          <w:bCs w:val="false"/>
          <w:i/>
          <w:iCs/>
          <w:sz w:val="20"/>
          <w:szCs w:val="20"/>
        </w:rPr>
        <w:t xml:space="preserve"> ≥ 4</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N ≥ 3</w:t>
      </w:r>
      <w:r>
        <w:rPr>
          <w:rFonts w:ascii="Times New Roman" w:cs="Times New Roman" w:eastAsia="Times New Roman" w:hAnsi="Times New Roman"/>
          <w:b w:val="false"/>
          <w:bCs w:val="false"/>
          <w:i w:val="false"/>
          <w:iCs w:val="false"/>
          <w:sz w:val="20"/>
          <w:szCs w:val="20"/>
        </w:rPr>
        <w:t xml:space="preserve"> [21].</w:t>
      </w:r>
    </w:p>
    <w:p>
      <w:pPr>
        <w:pStyle w:val="ListParagraph"/>
        <w:numPr>
          <w:ilvl w:val="0"/>
          <w:numId w:val="2"/>
        </w:numPr>
        <w:spacing w:after="0" w:line="480" w:lineRule="auto"/>
      </w:pPr>
      <w:r>
        <w:rPr>
          <w:rFonts w:ascii="Times New Roman" w:cs="Times New Roman" w:eastAsia="Times New Roman" w:hAnsi="Times New Roman"/>
          <w:b/>
          <w:bCs/>
          <w:i w:val="false"/>
          <w:iCs w:val="false"/>
          <w:sz w:val="20"/>
          <w:szCs w:val="20"/>
        </w:rPr>
        <w:t xml:space="preserve">Information Component (IC):</w:t>
      </w:r>
      <w:r>
        <w:rPr>
          <w:rFonts w:ascii="Times New Roman" w:cs="Times New Roman" w:eastAsia="Times New Roman" w:hAnsi="Times New Roman"/>
          <w:b w:val="false"/>
          <w:bCs w:val="false"/>
          <w:i w:val="false"/>
          <w:iCs w:val="false"/>
          <w:sz w:val="20"/>
          <w:szCs w:val="20"/>
        </w:rPr>
        <w:t xml:space="preserve"> Based on Bayesian Confidence Propagation Neural Network (BCPNN). Signal detected when IC</w:t>
      </w:r>
      <w:r>
        <w:rPr>
          <w:rFonts w:ascii="Times New Roman" w:cs="Times New Roman" w:eastAsia="Times New Roman" w:hAnsi="Times New Roman"/>
          <w:b w:val="false"/>
          <w:bCs w:val="false"/>
          <w:i/>
          <w:iCs/>
          <w:sz w:val="20"/>
          <w:szCs w:val="20"/>
          <w:vertAlign w:val="subscript"/>
        </w:rPr>
        <w:t xml:space="preserve">025</w:t>
      </w:r>
      <w:r>
        <w:rPr>
          <w:rFonts w:ascii="Times New Roman" w:cs="Times New Roman" w:eastAsia="Times New Roman" w:hAnsi="Times New Roman"/>
          <w:b w:val="false"/>
          <w:bCs w:val="false"/>
          <w:i w:val="false"/>
          <w:iCs w:val="false"/>
          <w:sz w:val="20"/>
          <w:szCs w:val="20"/>
        </w:rPr>
        <w:t xml:space="preserve"> (lower 95% credible interval) </w:t>
      </w:r>
      <w:r>
        <w:rPr>
          <w:rFonts w:ascii="Times New Roman" w:cs="Times New Roman" w:eastAsia="Times New Roman" w:hAnsi="Times New Roman"/>
          <w:b w:val="false"/>
          <w:bCs w:val="false"/>
          <w:i/>
          <w:iCs/>
          <w:sz w:val="20"/>
          <w:szCs w:val="20"/>
        </w:rPr>
        <w:t xml:space="preserve">&gt; 0</w:t>
      </w:r>
      <w:r>
        <w:rPr>
          <w:rFonts w:ascii="Times New Roman" w:cs="Times New Roman" w:eastAsia="Times New Roman" w:hAnsi="Times New Roman"/>
          <w:b w:val="false"/>
          <w:bCs w:val="false"/>
          <w:i w:val="false"/>
          <w:iCs w:val="false"/>
          <w:sz w:val="20"/>
          <w:szCs w:val="20"/>
        </w:rPr>
        <w:t xml:space="preserve"> [22].</w:t>
      </w:r>
    </w:p>
    <w:p>
      <w:pPr>
        <w:pStyle w:val="ListParagraph"/>
        <w:numPr>
          <w:ilvl w:val="0"/>
          <w:numId w:val="2"/>
        </w:numPr>
        <w:spacing w:after="0" w:line="480" w:lineRule="auto"/>
      </w:pPr>
      <w:r>
        <w:rPr>
          <w:rFonts w:ascii="Times New Roman" w:cs="Times New Roman" w:eastAsia="Times New Roman" w:hAnsi="Times New Roman"/>
          <w:b/>
          <w:bCs/>
          <w:i w:val="false"/>
          <w:iCs w:val="false"/>
          <w:sz w:val="20"/>
          <w:szCs w:val="20"/>
        </w:rPr>
        <w:t xml:space="preserve">Empirical Bayes Geometric Mean (EBGM):</w:t>
      </w:r>
      <w:r>
        <w:rPr>
          <w:rFonts w:ascii="Times New Roman" w:cs="Times New Roman" w:eastAsia="Times New Roman" w:hAnsi="Times New Roman"/>
          <w:b w:val="false"/>
          <w:bCs w:val="false"/>
          <w:i w:val="false"/>
          <w:iCs w:val="false"/>
          <w:sz w:val="20"/>
          <w:szCs w:val="20"/>
        </w:rPr>
        <w:t xml:space="preserve"> Using Multi-item Gamma Poisson Shrinker (MGPS) with Bayesian shrinkage. Signal detected when EB05 (lower 90% one-sided CI) </w:t>
      </w:r>
      <w:r>
        <w:rPr>
          <w:rFonts w:ascii="Times New Roman" w:cs="Times New Roman" w:eastAsia="Times New Roman" w:hAnsi="Times New Roman"/>
          <w:b w:val="false"/>
          <w:bCs w:val="false"/>
          <w:i/>
          <w:iCs/>
          <w:sz w:val="20"/>
          <w:szCs w:val="20"/>
        </w:rPr>
        <w:t xml:space="preserve">≥ 2</w:t>
      </w:r>
      <w:r>
        <w:rPr>
          <w:rFonts w:ascii="Times New Roman" w:cs="Times New Roman" w:eastAsia="Times New Roman" w:hAnsi="Times New Roman"/>
          <w:b w:val="false"/>
          <w:bCs w:val="false"/>
          <w:i w:val="false"/>
          <w:iCs w:val="false"/>
          <w:sz w:val="20"/>
          <w:szCs w:val="20"/>
        </w:rPr>
        <w:t xml:space="preserve"> [23].</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A drug-event pair was flagged for signal intensity when its ROR 95% CI lower bound exceeded 1 and, independently, when its PRR reached </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val="false"/>
          <w:iCs w:val="false"/>
          <w:sz w:val="20"/>
          <w:szCs w:val="20"/>
        </w:rPr>
        <w:t xml:space="preserve">2 with </w:t>
      </w:r>
      <w:r>
        <w:rPr>
          <w:rFonts w:ascii="Times New Roman" w:cs="Times New Roman" w:eastAsia="Times New Roman" w:hAnsi="Times New Roman"/>
          <w:b w:val="false"/>
          <w:bCs w:val="false"/>
          <w:i/>
          <w:iCs/>
          <w:sz w:val="20"/>
          <w:szCs w:val="20"/>
        </w:rPr>
        <w:t xml:space="preserve">χ</w:t>
      </w:r>
      <w:r>
        <w:rPr>
          <w:rFonts w:ascii="Times New Roman" w:cs="Times New Roman" w:eastAsia="Times New Roman" w:hAnsi="Times New Roman"/>
          <w:b w:val="false"/>
          <w:bCs w:val="false"/>
          <w:i/>
          <w:iCs/>
          <w:sz w:val="20"/>
          <w:szCs w:val="20"/>
          <w:vertAlign w:val="superscript"/>
        </w:rPr>
        <w:t xml:space="preserve">2</w:t>
      </w:r>
      <w:r>
        <w:rPr>
          <w:rFonts w:ascii="Times New Roman" w:cs="Times New Roman" w:eastAsia="Times New Roman" w:hAnsi="Times New Roman"/>
          <w:b w:val="false"/>
          <w:bCs w:val="false"/>
          <w:i/>
          <w:iCs/>
          <w:sz w:val="20"/>
          <w:szCs w:val="20"/>
        </w:rPr>
        <w:t xml:space="preserve"> ≥ 4</w:t>
      </w:r>
      <w:r>
        <w:rPr>
          <w:rFonts w:ascii="Times New Roman" w:cs="Times New Roman" w:eastAsia="Times New Roman" w:hAnsi="Times New Roman"/>
          <w:b w:val="false"/>
          <w:bCs w:val="false"/>
          <w:i w:val="false"/>
          <w:iCs w:val="false"/>
          <w:sz w:val="20"/>
          <w:szCs w:val="20"/>
        </w:rPr>
        <w:t xml:space="preserve"> - both reflecting how strongly the pairing deviates from what would be expected by chance. Signal frequency, in contrast, was simply the raw case count for that pairing, requiring </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val="false"/>
          <w:iCs w:val="false"/>
          <w:sz w:val="20"/>
          <w:szCs w:val="20"/>
        </w:rPr>
        <w:t xml:space="preserve">3 reports before a signal was considered evaluable. Only pairs clearing all four algorithmic thresholds simultaneously were classified as high-confidence drug-event associations.</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 clinical characteristics of the patients, including sex, age, reporting country, and reporter type, were analysed descriptively. Dichotomous variables are expressed as frequencies and percentages, whereas continuous variables are presented as means </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val="false"/>
          <w:iCs w:val="false"/>
          <w:sz w:val="20"/>
          <w:szCs w:val="20"/>
        </w:rPr>
        <w:t xml:space="preserve"> standard deviations. Data analysis was performed using Python 3.11 with </w:t>
      </w:r>
      <w:r>
        <w:rPr>
          <w:rFonts w:ascii="Courier New" w:cs="Courier New" w:eastAsia="Courier New" w:hAnsi="Courier New"/>
          <w:b w:val="false"/>
          <w:bCs w:val="false"/>
          <w:i w:val="false"/>
          <w:iCs w:val="false"/>
          <w:sz w:val="20"/>
          <w:szCs w:val="20"/>
        </w:rPr>
        <w:t xml:space="preserve">pandas</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20"/>
          <w:szCs w:val="20"/>
        </w:rPr>
        <w:t xml:space="preserve">scikit-learn</w:t>
      </w:r>
      <w:r>
        <w:rPr>
          <w:rFonts w:ascii="Times New Roman" w:cs="Times New Roman" w:eastAsia="Times New Roman" w:hAnsi="Times New Roman"/>
          <w:b w:val="false"/>
          <w:bCs w:val="false"/>
          <w:i w:val="false"/>
          <w:iCs w:val="false"/>
          <w:sz w:val="20"/>
          <w:szCs w:val="20"/>
        </w:rPr>
        <w:t xml:space="preserve"> 1.5.0, and PostgreSQL 16 for data storage.</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Complementary machine-learning analysis</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As a secondary analysis to complement the population-level disproportionality approach, the study developed a leakage-aware XGBoost classifier [24] to triage individual FAERS case reports by reported outcome severity: Death (DE), Life-Threatening (LT), Hospitalisation (HO), Disability (DS), Required Intervention (RI), and Other (OT). The model used 13 case-level features (age, sex, weight, drug sequence, route, role code, normalised drug name, RxCUI, dose amount/unit/form, indication, and adverse-event PT). Seriousness flags and directly outcome-derived features were excluded. The adverse-event Preferred Term was retained as a predictor; because it was also used to reconstruct missing outcome labels, it remains a residual source of target leakage, which is quantified in the Results and recorded in S6 Table.</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 dataset was split chronologically: training on 2021Q1-2023Q4, validation on 2024, and independent testing on 2025. All preprocessing was fitted on the training quarters alone: category encodings, imputation medians and the feature scaler were learned from 2021-2023 and applied unchanged to 2024 and 2025, with categories absent from training mapped to a reserved unseen level. The temporal pipeline, the baseline comparators, McNemar's test and the bootstrap intervals are implemented in </w:t>
      </w:r>
      <w:r>
        <w:rPr>
          <w:rFonts w:ascii="Courier New" w:cs="Courier New" w:eastAsia="Courier New" w:hAnsi="Courier New"/>
          <w:b w:val="false"/>
          <w:bCs w:val="false"/>
          <w:i w:val="false"/>
          <w:iCs w:val="false"/>
          <w:sz w:val="20"/>
          <w:szCs w:val="20"/>
        </w:rPr>
        <w:t xml:space="preserve">code/train</w:t>
      </w:r>
      <w:r>
        <w:rPr>
          <w:rFonts w:ascii="Times New Roman" w:cs="Times New Roman" w:eastAsia="Times New Roman" w:hAnsi="Times New Roman"/>
          <w:b w:val="false"/>
          <w:bCs w:val="false"/>
          <w:i w:val="false"/>
          <w:iCs w:val="false"/>
          <w:sz w:val="20"/>
          <w:szCs w:val="20"/>
          <w:vertAlign w:val="subscript"/>
        </w:rPr>
        <w:t xml:space="preserve">t</w:t>
      </w:r>
      <w:r>
        <w:rPr>
          <w:rFonts w:ascii="Courier New" w:cs="Courier New" w:eastAsia="Courier New" w:hAnsi="Courier New"/>
          <w:b w:val="false"/>
          <w:bCs w:val="false"/>
          <w:i w:val="false"/>
          <w:iCs w:val="false"/>
          <w:sz w:val="20"/>
          <w:szCs w:val="20"/>
        </w:rPr>
        <w:t xml:space="preserve">emporal.py</w:t>
      </w:r>
      <w:r>
        <w:rPr>
          <w:rFonts w:ascii="Times New Roman" w:cs="Times New Roman" w:eastAsia="Times New Roman" w:hAnsi="Times New Roman"/>
          <w:b w:val="false"/>
          <w:bCs w:val="false"/>
          <w:i w:val="false"/>
          <w:iCs w:val="false"/>
          <w:sz w:val="20"/>
          <w:szCs w:val="20"/>
        </w:rPr>
        <w:t xml:space="preserve"> in the accompanying repository. XGBoost was compared against majority-class, logistic regression, decision tree, and random forest baselines using McNemar's test (</w:t>
      </w:r>
      <w:r>
        <w:rPr>
          <w:rFonts w:ascii="Times New Roman" w:cs="Times New Roman" w:eastAsia="Times New Roman" w:hAnsi="Times New Roman"/>
          <w:b w:val="false"/>
          <w:bCs w:val="false"/>
          <w:i/>
          <w:iCs/>
          <w:sz w:val="20"/>
          <w:szCs w:val="20"/>
        </w:rPr>
        <w:t xml:space="preserve">α = 0.001</w:t>
      </w:r>
      <w:r>
        <w:rPr>
          <w:rFonts w:ascii="Times New Roman" w:cs="Times New Roman" w:eastAsia="Times New Roman" w:hAnsi="Times New Roman"/>
          <w:b w:val="false"/>
          <w:bCs w:val="false"/>
          <w:i w:val="false"/>
          <w:iCs w:val="false"/>
          <w:sz w:val="20"/>
          <w:szCs w:val="20"/>
        </w:rPr>
        <w:t xml:space="preserve">) with 1</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000 bootstrap resamples for confidence intervals [25]. This component was designed as a pharmacovigilance triage tool, not as evidence of causality or a replacement for human review.</w:t>
      </w:r>
    </w:p>
    <w:p>
      <w:pPr>
        <w:spacing w:line="480" w:lineRule="auto"/>
        <w:ind w:firstLine="283"/>
        <w:jc w:val="left"/>
      </w:pPr>
      <w:r>
        <w:rPr>
          <w:rFonts w:ascii="Times New Roman" w:cs="Times New Roman" w:eastAsia="Times New Roman" w:hAnsi="Times New Roman"/>
          <w:b w:val="false"/>
          <w:bCs w:val="false"/>
          <w:i w:val="false"/>
          <w:iCs w:val="false"/>
          <w:sz w:val="20"/>
          <w:szCs w:val="20"/>
        </w:rPr>
        <w:t>To clarify the outcome-label handling across the study: (1) the descriptive analysis of FAERS outcomes used only genuinely observed outcome codes, with missing outcomes reported as such (33.9-53.1% missingness across panels); (2) the ML model development (training and validation) used observed outcomes supplemented by pseudo-labelled cases generated through a two-stage procedure, expanding the training set but not constituting clinical judgements; and (3) the independent temporal test (2025 data) was drawn from the same modelling dataset and therefore carries the same mixture of observed and pseudo-labelled outcome codes as the training and validation partitions. The reported temporal Macro-F1 must accordingly be read as performance against the constructed outcome column rather than against independently observed outcomes. This is the principal reason the Preferred-Term lookup baseline outperforms the fitted model, and it is quantified in the Results and discussed under Limitations.</w:t>
      </w:r>
    </w:p>
    <w:p>
      <w:pPr>
        <w:keepNext/>
        <w:spacing w:after="160" w:before="320" w:line="240" w:lineRule="auto"/>
        <w:jc w:val="left"/>
      </w:pPr>
      <w:r>
        <w:rPr>
          <w:rFonts w:ascii="Times New Roman" w:cs="Times New Roman" w:eastAsia="Times New Roman" w:hAnsi="Times New Roman"/>
          <w:b/>
          <w:bCs/>
          <w:i w:val="false"/>
          <w:iCs w:val="false"/>
          <w:sz w:val="36"/>
          <w:szCs w:val="36"/>
        </w:rPr>
        <w:t xml:space="preserve">Results</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Flowchart of reporting</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This study analysed 7,612,804 raw report records from the FAERS database (2021Q1-2025Q4). After removing duplicate case versions, 6,985,217 unique cases remained. Restricting to adolescents aged 12-17 years yielded 403,278 age-eligible reports. Among these, 11,701 cases involved at least one drug from the broad obesity-related panel, 10,701 from the selected obesity-related panel, 5,208 from the broad diabetes-related panel, and 342 from the selected diabetes-related panel (Fig 1).</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Basic characteristics of reported AEs</w:t>
      </w:r>
    </w:p>
    <w:p>
      <w:pPr>
        <w:spacing w:line="480" w:lineRule="auto"/>
        <w:ind w:firstLine="283"/>
        <w:jc w:val="left"/>
      </w:pPr>
      <w:r>
        <w:rPr>
          <w:rFonts w:ascii="Times New Roman" w:cs="Times New Roman" w:eastAsia="Times New Roman" w:hAnsi="Times New Roman"/>
          <w:b w:val="false"/>
          <w:bCs w:val="false"/>
          <w:i w:val="false"/>
          <w:iCs w:val="false"/>
          <w:sz w:val="20"/>
          <w:szCs w:val="20"/>
        </w:rPr>
        <w:t>Demographic composition, reporter type, and geographic origin were summarised descriptively across the four study cohorts. Approximately 54% of patients were female across all four panels, consistent with the known higher reporting frequency among female adolescents observed in prior FAERS studies [6]. The mean age was remarkably consistent, ranging from 14.50 to 14.63 years across panels. Most reports originated from healthcare professionals (51-56%), with the United States contributing the majority of reports. Notably, outcome data was missing in one third to one half of all reports (33.9-53.1%), a well-documented limitation of spontaneous reporting systems. The detailed demographic characteristics are presented in Table 4.</w:t>
      </w:r>
    </w:p>
    <w:p>
      <w:pPr>
        <w:keepNext/>
        <w:spacing w:after="80" w:before="200" w:line="240" w:lineRule="auto"/>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Basic information of AE reports.</w:t>
      </w:r>
    </w:p>
    <w:tbl>
      <w:tblPr>
        <w:tblW w:type="dxa" w:w="8696"/>
        <w:jc w:val="left"/>
        <w:tblInd w:type="dxa" w:w="-2007"/>
        <w:tblBorders>
          <w:top w:val="single" w:color="auto" w:sz="4"/>
          <w:left w:val="single" w:color="auto" w:sz="4"/>
          <w:bottom w:val="single" w:color="auto" w:sz="4"/>
          <w:right w:val="single" w:color="auto" w:sz="4"/>
          <w:insideH w:val="single" w:color="auto" w:sz="4"/>
          <w:insideV w:val="single" w:color="auto" w:sz="4"/>
        </w:tblBorders>
      </w:tblPr>
      <w:tblGrid>
        <w:gridCol w:w="2359"/>
        <w:gridCol w:w="1450"/>
        <w:gridCol w:w="1632"/>
        <w:gridCol w:w="1536"/>
        <w:gridCol w:w="1719"/>
      </w:tblGrid>
      <w:tr>
        <w:trPr>
          <w:cantSplit/>
          <w:tblHeader/>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bCs/>
                <w:i w:val="false"/>
                <w:iCs w:val="false"/>
                <w:sz w:val="16"/>
                <w:szCs w:val="16"/>
              </w:rPr>
              <w:t xml:space="preserve">Characteristic</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Broad Obesity</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Selected Obesity</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Broad Diabetes</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Selected Diabetes</w:t>
            </w:r>
          </w:p>
        </w:tc>
      </w:tr>
      <w:tr>
        <w:trPr>
          <w:cantSplit/>
          <w:tblHeader/>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(N = 11,701)</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(N = 10,701)</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(N = 5,208)</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(N = 342)</w:t>
            </w:r>
          </w:p>
        </w:tc>
      </w:tr>
      <w:tr>
        <w:tc>
          <w:tcPr>
            <w:tcW w:type="dxa" w:w="8696"/>
            <w:gridSpan w:val="5"/>
            <w:tcBorders>
              <w:top w:val="single" w:color="000000" w:sz="4"/>
              <w:left w:val="single" w:color="000000" w:sz="4"/>
              <w:bottom w:val="single" w:color="000000" w:sz="4"/>
              <w:right w:val="single" w:color="000000" w:sz="4"/>
            </w:tcBorders>
            <w:tcMar>
              <w:top w:type="dxa" w:w="0"/>
              <w:left w:type="dxa" w:w="60"/>
              <w:bottom w:type="dxa" w:w="0"/>
              <w:right w:type="dxa" w:w="60"/>
            </w:tcMar>
          </w:tcPr>
          <w:p>
            <w:pPr>
              <w:spacing w:line="240" w:lineRule="auto"/>
              <w:jc w:val="left"/>
            </w:pPr>
            <w:r>
              <w:rPr>
                <w:rFonts w:ascii="Times New Roman" w:cs="Times New Roman" w:eastAsia="Times New Roman" w:hAnsi="Times New Roman"/>
                <w:b/>
                <w:bCs/>
                <w:i w:val="false"/>
                <w:iCs w:val="false"/>
                <w:sz w:val="16"/>
                <w:szCs w:val="16"/>
              </w:rPr>
              <w:t xml:space="preserve">Age (years)</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Mean </w:t>
            </w:r>
            <w:r>
              <w:rPr>
                <w:rFonts w:ascii="Times New Roman" w:cs="Times New Roman" w:eastAsia="Times New Roman" w:hAnsi="Times New Roman"/>
                <w:b w:val="false"/>
                <w:bCs w:val="false"/>
                <w:i/>
                <w:iCs/>
                <w:sz w:val="16"/>
                <w:szCs w:val="16"/>
              </w:rPr>
              <w:t xml:space="preserve">±</w:t>
            </w:r>
            <w:r>
              <w:rPr>
                <w:rFonts w:ascii="Times New Roman" w:cs="Times New Roman" w:eastAsia="Times New Roman" w:hAnsi="Times New Roman"/>
                <w:b w:val="false"/>
                <w:bCs w:val="false"/>
                <w:i w:val="false"/>
                <w:iCs w:val="false"/>
                <w:sz w:val="16"/>
                <w:szCs w:val="16"/>
              </w:rPr>
              <w:t xml:space="preserve"> SD</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14.57 ± 0.63</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14.57 ± 0.61</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14.63 ± 0.72</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14.50 ± 0.44</w:t>
            </w:r>
          </w:p>
        </w:tc>
      </w:tr>
      <w:tr>
        <w:tc>
          <w:tcPr>
            <w:tcW w:type="dxa" w:w="8696"/>
            <w:gridSpan w:val="5"/>
            <w:tcBorders>
              <w:top w:val="single" w:color="000000" w:sz="4"/>
              <w:left w:val="single" w:color="000000" w:sz="4"/>
              <w:bottom w:val="single" w:color="000000" w:sz="4"/>
              <w:right w:val="single" w:color="000000" w:sz="4"/>
            </w:tcBorders>
            <w:tcMar>
              <w:top w:type="dxa" w:w="0"/>
              <w:left w:type="dxa" w:w="60"/>
              <w:bottom w:type="dxa" w:w="0"/>
              <w:right w:type="dxa" w:w="60"/>
            </w:tcMar>
          </w:tcPr>
          <w:p>
            <w:pPr>
              <w:spacing w:line="240" w:lineRule="auto"/>
              <w:jc w:val="left"/>
            </w:pPr>
            <w:r>
              <w:rPr>
                <w:rFonts w:ascii="Times New Roman" w:cs="Times New Roman" w:eastAsia="Times New Roman" w:hAnsi="Times New Roman"/>
                <w:b/>
                <w:bCs/>
                <w:i w:val="false"/>
                <w:iCs w:val="false"/>
                <w:sz w:val="16"/>
                <w:szCs w:val="16"/>
              </w:rPr>
              <w:t xml:space="preserve">Sex, n (%)</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Female</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6,324 (54.1%)</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5,830 (54.5%)</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2,906 (55.8%)</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184 (53.8%)</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Male</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4,964 (42.4%)</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4,568 (42.7%)</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2,015 (38.7%)</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118 (34.5%)</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Unknown</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413 (3.5%)</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303 (2.8%)</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287 (5.5%)</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40 (11.7%)</w:t>
            </w:r>
          </w:p>
        </w:tc>
      </w:tr>
      <w:tr>
        <w:tc>
          <w:tcPr>
            <w:tcW w:type="dxa" w:w="8696"/>
            <w:gridSpan w:val="5"/>
            <w:tcBorders>
              <w:top w:val="single" w:color="000000" w:sz="4"/>
              <w:left w:val="single" w:color="000000" w:sz="4"/>
              <w:bottom w:val="single" w:color="000000" w:sz="4"/>
              <w:right w:val="single" w:color="000000" w:sz="4"/>
            </w:tcBorders>
            <w:tcMar>
              <w:top w:type="dxa" w:w="0"/>
              <w:left w:type="dxa" w:w="60"/>
              <w:bottom w:type="dxa" w:w="0"/>
              <w:right w:type="dxa" w:w="60"/>
            </w:tcMar>
          </w:tcPr>
          <w:p>
            <w:pPr>
              <w:spacing w:line="240" w:lineRule="auto"/>
              <w:jc w:val="left"/>
            </w:pPr>
            <w:r>
              <w:rPr>
                <w:rFonts w:ascii="Times New Roman" w:cs="Times New Roman" w:eastAsia="Times New Roman" w:hAnsi="Times New Roman"/>
                <w:b/>
                <w:bCs/>
                <w:i w:val="false"/>
                <w:iCs w:val="false"/>
                <w:sz w:val="16"/>
                <w:szCs w:val="16"/>
              </w:rPr>
              <w:t xml:space="preserve">Drug role, n (%)</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Primary suspect</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1,761 (15.0%)</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1,220 (11.4%)</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1,224 (23.5%)</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154 (45.0%)</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Concomitant</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9,027 (77.1%)</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8,732 (81.6%)</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3,410 (65.5%)</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114 (33.3%)</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Secondary suspect</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857 (7.3%)</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712 (6.7%)</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546 (10.5%)</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61 (17.8%)</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Interacting</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56 (0.5%)</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37 (0.3%)</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28 (0.5%)</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13 (3.8%)</w:t>
            </w:r>
          </w:p>
        </w:tc>
      </w:tr>
      <w:tr>
        <w:tc>
          <w:tcPr>
            <w:tcW w:type="dxa" w:w="8696"/>
            <w:gridSpan w:val="5"/>
            <w:tcBorders>
              <w:top w:val="single" w:color="000000" w:sz="4"/>
              <w:left w:val="single" w:color="000000" w:sz="4"/>
              <w:bottom w:val="single" w:color="000000" w:sz="4"/>
              <w:right w:val="single" w:color="000000" w:sz="4"/>
            </w:tcBorders>
            <w:tcMar>
              <w:top w:type="dxa" w:w="0"/>
              <w:left w:type="dxa" w:w="60"/>
              <w:bottom w:type="dxa" w:w="0"/>
              <w:right w:type="dxa" w:w="60"/>
            </w:tcMar>
          </w:tcPr>
          <w:p>
            <w:pPr>
              <w:spacing w:line="240" w:lineRule="auto"/>
              <w:jc w:val="left"/>
            </w:pPr>
            <w:r>
              <w:rPr>
                <w:rFonts w:ascii="Times New Roman" w:cs="Times New Roman" w:eastAsia="Times New Roman" w:hAnsi="Times New Roman"/>
                <w:b/>
                <w:bCs/>
                <w:i w:val="false"/>
                <w:iCs w:val="false"/>
                <w:sz w:val="16"/>
                <w:szCs w:val="16"/>
              </w:rPr>
              <w:t xml:space="preserve">Outcome distribution, n (%)</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Hospitalisation (HO)</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2,011 (17.2%)</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1,732 (16.2%)</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1,094 (21.0%)</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78 (22.8%)</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Other serious (OT)</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2,811 (24.0%)</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2,483 (23.2%)</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1,343 (25.8%)</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101 (29.5%)</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Death (DE)</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475 (4.1%)</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405 (3.8%)</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306 (5.9%)</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20 (5.8%)</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Life-threatening (LT)</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389 (3.3%)</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323 (3.0%)</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254 (4.9%)</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25 (7.3%)</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Disability (DS)</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77 (0.7%)</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73 (0.7%)</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39 (0.7%)</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2 (0.6%)</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Required intervention (RI)</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5 (0.04%)</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3 (0.03%)</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3 (0.06%)</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0 (0.00%)</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Missing</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5,933 (50.7%)</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5,682 (53.1%)</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2,169 (41.6%)</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116 (33.9%)</w:t>
            </w:r>
          </w:p>
        </w:tc>
      </w:tr>
      <w:tr>
        <w:tc>
          <w:tcPr>
            <w:tcW w:type="dxa" w:w="8696"/>
            <w:gridSpan w:val="5"/>
            <w:tcBorders>
              <w:top w:val="single" w:color="000000" w:sz="4"/>
              <w:left w:val="single" w:color="000000" w:sz="4"/>
              <w:bottom w:val="single" w:color="000000" w:sz="4"/>
              <w:right w:val="single" w:color="000000" w:sz="4"/>
            </w:tcBorders>
            <w:tcMar>
              <w:top w:type="dxa" w:w="0"/>
              <w:left w:type="dxa" w:w="60"/>
              <w:bottom w:type="dxa" w:w="0"/>
              <w:right w:type="dxa" w:w="60"/>
            </w:tcMar>
          </w:tcPr>
          <w:p>
            <w:pPr>
              <w:spacing w:line="240" w:lineRule="auto"/>
              <w:jc w:val="left"/>
            </w:pPr>
            <w:r>
              <w:rPr>
                <w:rFonts w:ascii="Times New Roman" w:cs="Times New Roman" w:eastAsia="Times New Roman" w:hAnsi="Times New Roman"/>
                <w:b/>
                <w:bCs/>
                <w:i w:val="false"/>
                <w:iCs w:val="false"/>
                <w:sz w:val="16"/>
                <w:szCs w:val="16"/>
              </w:rPr>
              <w:t xml:space="preserve">Reporter type</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Health professional</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6,083 (52.0%)</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5,457 (51.0%)</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2,929 (56.2%)</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187 (54.7%)</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Consumer</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4,327 (37.0%)</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4,028 (37.6%)</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1,692 (32.5%)</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108 (31.6%)</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Unknown</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1,291 (11.0%)</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1,216 (11.4%)</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587 (11.3%)</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47 (13.7%)</w:t>
            </w:r>
          </w:p>
        </w:tc>
      </w:tr>
    </w:tbl>
    <w:p>
      <w:pPr>
        <w:spacing w:after="120" w:line="240" w:lineRule="auto" w:before="40"/>
      </w:pPr>
      <w:r>
        <w:rPr>
          <w:rFonts w:ascii="Times New Roman" w:cs="Times New Roman" w:eastAsia="Times New Roman" w:hAnsi="Times New Roman"/>
          <w:b w:val="0"/>
          <w:bCs/>
          <w:i w:val="0"/>
          <w:iCs w:val="false"/>
          <w:sz w:val="16"/>
          <w:szCs w:val="20"/>
        </w:rPr>
        <w:t>Note. Outcome counts are genuinely observed FAERS outcome codes, one per report; the observed categories plus Missing sum to the panel total in every column. The machine-learning modelling dataset uses these same reports but fills the missing outcomes by the two-stage pseudo-labelling procedure described in Methods, so its class distribution differs from the observed distribution shown here: in the broad obesity-related panel (N = 11,701) the 5,933 reports without an observed outcome are assigned HO (n = 1,646), OT (n = 4,166), DE (n = 50), LT (n = 34) and DS (n = 37), giving the modelling-set totals of HO 3,657, OT 6,977, DE 525, LT 423, DS 114 and RI 5. No observed outcome code is altered by that procedure; every modelling-set class count is the observed count plus its imputed increment.</w:t>
      </w:r>
      <w:r>
        <w:rPr>
          <w:rFonts w:ascii="Times New Roman" w:cs="Times New Roman" w:eastAsia="Times New Roman" w:hAnsi="Times New Roman"/>
          <w:b w:val="0"/>
          <w:i w:val="0"/>
          <w:sz w:val="16"/>
          <w:szCs w:val="20"/>
        </w:rPr>
      </w:r>
      <w:r>
        <w:rPr>
          <w:rFonts w:ascii="Times New Roman" w:cs="Times New Roman" w:eastAsia="Times New Roman" w:hAnsi="Times New Roman"/>
          <w:b w:val="0"/>
          <w:bCs w:val="false"/>
          <w:i w:val="0"/>
          <w:iCs w:val="false"/>
          <w:sz w:val="16"/>
          <w:szCs w:val="20"/>
        </w:rPr>
      </w:r>
    </w:p>
    <w:p>
      <w:pPr>
        <w:spacing w:after="200" w:line="240"/>
      </w:pP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Signal distribution and detection at the SOC level</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AEs associated with the anti-obesity and anti-diabetic panels were categorised according to the SOC classification of MedDRA (Fig 2), using the official PT-to-primary-SOC hierarchy. For the broad obesity-related panel, AEs spanned all 27 SOC categories. The most frequently reported SOC categories were general disorders and administration site conditions (17.1%, </w:t>
      </w:r>
      <w:r>
        <w:rPr>
          <w:rFonts w:ascii="Times New Roman" w:cs="Times New Roman" w:eastAsia="Times New Roman" w:hAnsi="Times New Roman"/>
          <w:b w:val="false"/>
          <w:bCs w:val="false"/>
          <w:i/>
          <w:iCs/>
          <w:sz w:val="20"/>
          <w:szCs w:val="20"/>
        </w:rPr>
        <w:t xml:space="preserve">n=2</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iCs/>
          <w:sz w:val="20"/>
          <w:szCs w:val="20"/>
        </w:rPr>
        <w:t xml:space="preserve">001</w:t>
      </w:r>
      <w:r>
        <w:rPr>
          <w:rFonts w:ascii="Times New Roman" w:cs="Times New Roman" w:eastAsia="Times New Roman" w:hAnsi="Times New Roman"/>
          <w:b w:val="false"/>
          <w:bCs w:val="false"/>
          <w:i w:val="false"/>
          <w:iCs w:val="false"/>
          <w:sz w:val="20"/>
          <w:szCs w:val="20"/>
        </w:rPr>
        <w:t xml:space="preserve">), injury, poisoning and procedural complications (12.9%, </w:t>
      </w:r>
      <w:r>
        <w:rPr>
          <w:rFonts w:ascii="Times New Roman" w:cs="Times New Roman" w:eastAsia="Times New Roman" w:hAnsi="Times New Roman"/>
          <w:b w:val="false"/>
          <w:bCs w:val="false"/>
          <w:i/>
          <w:iCs/>
          <w:sz w:val="20"/>
          <w:szCs w:val="20"/>
        </w:rPr>
        <w:t xml:space="preserve">n=1</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iCs/>
          <w:sz w:val="20"/>
          <w:szCs w:val="20"/>
        </w:rPr>
        <w:t xml:space="preserve">508</w:t>
      </w:r>
      <w:r>
        <w:rPr>
          <w:rFonts w:ascii="Times New Roman" w:cs="Times New Roman" w:eastAsia="Times New Roman" w:hAnsi="Times New Roman"/>
          <w:b w:val="false"/>
          <w:bCs w:val="false"/>
          <w:i w:val="false"/>
          <w:iCs w:val="false"/>
          <w:sz w:val="20"/>
          <w:szCs w:val="20"/>
        </w:rPr>
        <w:t xml:space="preserve">), and skin and subcutaneous tissue disorders (7.7%, </w:t>
      </w:r>
      <w:r>
        <w:rPr>
          <w:rFonts w:ascii="Times New Roman" w:cs="Times New Roman" w:eastAsia="Times New Roman" w:hAnsi="Times New Roman"/>
          <w:b w:val="false"/>
          <w:bCs w:val="false"/>
          <w:i/>
          <w:iCs/>
          <w:sz w:val="20"/>
          <w:szCs w:val="20"/>
        </w:rPr>
        <w:t xml:space="preserve">n=902</w:t>
      </w:r>
      <w:r>
        <w:rPr>
          <w:rFonts w:ascii="Times New Roman" w:cs="Times New Roman" w:eastAsia="Times New Roman" w:hAnsi="Times New Roman"/>
          <w:b w:val="false"/>
          <w:bCs w:val="false"/>
          <w:i w:val="false"/>
          <w:iCs w:val="false"/>
          <w:sz w:val="20"/>
          <w:szCs w:val="20"/>
        </w:rPr>
        <w:t xml:space="preserve">); infections and infestations (7.0%), gastrointestinal disorders (6.5%) and psychiatric disorders (5.9%) followed. Within gastrointestinal disorders, nausea, vomiting, and abdominal pain were the predominant AEs, reflecting the known pharmacological profiles of GLP-1 receptor agonists. The diabetes-related panel showed a broadly similar ranking (general disorders 15.4%, injury/poisoning 13.0%, gastrointestinal disorders 7.9%) but with a notably higher proportion of metabolism and nutrition disorders (7.4% vs 4.0% in the obesity panel), reflecting the metabolic nature of the underlying condition and the pharmacological mechanisms of anti-diabetic agents.</w:t>
      </w:r>
    </w:p>
    <w:p>
      <w:pPr>
        <w:spacing w:after="80" w:before="80" w:line="480" w:lineRule="auto"/>
        <w:jc w:val="left"/>
      </w:pPr>
      <w:r>
        <w:rPr>
          <w:rFonts w:ascii="Times New Roman" w:cs="Times New Roman" w:eastAsia="Times New Roman" w:hAnsi="Times New Roman"/>
          <w:b/>
          <w:bCs/>
          <w:i w:val="false"/>
          <w:iCs w:val="false"/>
          <w:sz w:val="20"/>
          <w:szCs w:val="20"/>
        </w:rPr>
        <w:t xml:space="preserve">Fig 2.</w:t>
      </w:r>
      <w:r>
        <w:rPr>
          <w:rFonts w:ascii="Times New Roman" w:cs="Times New Roman" w:eastAsia="Times New Roman" w:hAnsi="Times New Roman"/>
          <w:b w:val="false"/>
          <w:bCs w:val="false"/>
          <w:i w:val="false"/>
          <w:iCs w:val="false"/>
          <w:sz w:val="20"/>
          <w:szCs w:val="20"/>
        </w:rPr>
        <w:t xml:space="preserve"> AE distribution at the SOC level for the broad obesity-related and broad diabetes-related panels. Horizontal bar chart showing, for each MedDRA System Organ Class (version 28.1), the percentage of panel reports recording at least one adverse event mapped to that class. Percentages are computed over reports (broad obesity </w:t>
      </w:r>
      <w:r>
        <w:rPr>
          <w:rFonts w:ascii="Times New Roman" w:cs="Times New Roman" w:eastAsia="Times New Roman" w:hAnsi="Times New Roman"/>
          <w:b w:val="false"/>
          <w:bCs w:val="false"/>
          <w:i/>
          <w:iCs/>
          <w:sz w:val="20"/>
          <w:szCs w:val="20"/>
        </w:rPr>
        <w:t xml:space="preserve">N=11</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iCs/>
          <w:sz w:val="20"/>
          <w:szCs w:val="20"/>
        </w:rPr>
        <w:t xml:space="preserve">701</w:t>
      </w:r>
      <w:r>
        <w:rPr>
          <w:rFonts w:ascii="Times New Roman" w:cs="Times New Roman" w:eastAsia="Times New Roman" w:hAnsi="Times New Roman"/>
          <w:b w:val="false"/>
          <w:bCs w:val="false"/>
          <w:i w:val="false"/>
          <w:iCs w:val="false"/>
          <w:sz w:val="20"/>
          <w:szCs w:val="20"/>
        </w:rPr>
        <w:t xml:space="preserve">; broad diabetes </w:t>
      </w:r>
      <w:r>
        <w:rPr>
          <w:rFonts w:ascii="Times New Roman" w:cs="Times New Roman" w:eastAsia="Times New Roman" w:hAnsi="Times New Roman"/>
          <w:b w:val="false"/>
          <w:bCs w:val="false"/>
          <w:i/>
          <w:iCs/>
          <w:sz w:val="20"/>
          <w:szCs w:val="20"/>
        </w:rPr>
        <w:t xml:space="preserve">N=5</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iCs/>
          <w:sz w:val="20"/>
          <w:szCs w:val="20"/>
        </w:rPr>
        <w:t xml:space="preserve">208</w:t>
      </w:r>
      <w:r>
        <w:rPr>
          <w:rFonts w:ascii="Times New Roman" w:cs="Times New Roman" w:eastAsia="Times New Roman" w:hAnsi="Times New Roman"/>
          <w:b w:val="false"/>
          <w:bCs w:val="false"/>
          <w:i w:val="false"/>
          <w:iCs w:val="false"/>
          <w:sz w:val="20"/>
          <w:szCs w:val="20"/>
        </w:rPr>
        <w:t xml:space="preserve">) and do not sum to 100, because a single report may contribute events to more than one class.</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Signal distribution and detection at the PT level</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Of the 2,098 drug-event pairs with </w:t>
      </w:r>
      <w:r>
        <w:rPr>
          <w:rFonts w:ascii="Times New Roman" w:cs="Times New Roman" w:eastAsia="Times New Roman" w:hAnsi="Times New Roman"/>
          <w:b w:val="false"/>
          <w:bCs w:val="false"/>
          <w:i/>
          <w:iCs/>
          <w:sz w:val="20"/>
          <w:szCs w:val="20"/>
        </w:rPr>
        <w:t xml:space="preserve">N ≥ 2</w:t>
      </w:r>
      <w:r>
        <w:rPr>
          <w:rFonts w:ascii="Times New Roman" w:cs="Times New Roman" w:eastAsia="Times New Roman" w:hAnsi="Times New Roman"/>
          <w:b w:val="false"/>
          <w:bCs w:val="false"/>
          <w:i w:val="false"/>
          <w:iCs w:val="false"/>
          <w:sz w:val="20"/>
          <w:szCs w:val="20"/>
        </w:rPr>
        <w:t xml:space="preserve"> that were evaluated, 360 met the ROR signal criteria specified in Table 3, namely a 95% CI lower bound exceeding 1 together with a minimum case count of </w:t>
      </w:r>
      <w:r>
        <w:rPr>
          <w:rFonts w:ascii="Times New Roman" w:cs="Times New Roman" w:eastAsia="Times New Roman" w:hAnsi="Times New Roman"/>
          <w:b w:val="false"/>
          <w:bCs w:val="false"/>
          <w:i/>
          <w:iCs/>
          <w:sz w:val="20"/>
          <w:szCs w:val="20"/>
        </w:rPr>
        <w:t xml:space="preserve">N ≥ 3</w:t>
      </w:r>
      <w:r>
        <w:rPr>
          <w:rFonts w:ascii="Times New Roman" w:cs="Times New Roman" w:eastAsia="Times New Roman" w:hAnsi="Times New Roman"/>
          <w:b w:val="false"/>
          <w:bCs w:val="false"/>
          <w:i w:val="false"/>
          <w:iCs w:val="false"/>
          <w:sz w:val="20"/>
          <w:szCs w:val="20"/>
        </w:rPr>
        <w:t xml:space="preserve">. Pairs supported by only two reports were retained in S8 Table for completeness but were not counted as signals, since they fall below the pre-specified frequency threshold. Of these, 105 pairs satisfied all four algorithmic thresholds simultaneously and are flagged in S8 Table as four-metric concordant. The top adverse event signals for key drugs, ranked by the number of positive signals along with their PT and ROR values, are presented in Fig 3.</w:t>
      </w:r>
    </w:p>
    <w:p>
      <w:pPr>
        <w:spacing w:after="80" w:before="80" w:line="480" w:lineRule="auto"/>
        <w:jc w:val="left"/>
      </w:pPr>
      <w:r>
        <w:rPr>
          <w:rFonts w:ascii="Times New Roman" w:cs="Times New Roman" w:eastAsia="Times New Roman" w:hAnsi="Times New Roman"/>
          <w:b/>
          <w:bCs/>
          <w:i w:val="false"/>
          <w:iCs w:val="false"/>
          <w:sz w:val="20"/>
          <w:szCs w:val="20"/>
        </w:rPr>
        <w:t xml:space="preserve">Fig 3.</w:t>
      </w:r>
      <w:r>
        <w:rPr>
          <w:rFonts w:ascii="Times New Roman" w:cs="Times New Roman" w:eastAsia="Times New Roman" w:hAnsi="Times New Roman"/>
          <w:b w:val="false"/>
          <w:bCs w:val="false"/>
          <w:i w:val="false"/>
          <w:iCs w:val="false"/>
          <w:sz w:val="20"/>
          <w:szCs w:val="20"/>
        </w:rPr>
        <w:t xml:space="preserve"> The top AEs associated with the three drugs showing the strongest overall disproportionality signals across the full 14-drug obesity panel and 10-drug diabetes panel: (a) metformin, (b) atorvastatin, and (c) semaglutide, ranked by the number of positive signals along with their PT and ROR values. Full signal-detection results for all 14 obesity-panel and 10 diabetes-panel drugs are provided in S8 Table.</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Among the strongest confirmed signals (all four metrics concordant):</w:t>
      </w:r>
    </w:p>
    <w:p>
      <w:pPr>
        <w:pStyle w:val="ListParagraph"/>
        <w:numPr>
          <w:ilvl w:val="0"/>
          <w:numId w:val="3"/>
        </w:numPr>
        <w:spacing w:after="0" w:line="480" w:lineRule="auto"/>
      </w:pPr>
      <w:r>
        <w:rPr>
          <w:rFonts w:ascii="Times New Roman" w:cs="Times New Roman" w:eastAsia="Times New Roman" w:hAnsi="Times New Roman"/>
          <w:b/>
          <w:bCs/>
          <w:i w:val="false"/>
          <w:iCs w:val="false"/>
          <w:sz w:val="20"/>
          <w:szCs w:val="20"/>
        </w:rPr>
        <w:t xml:space="preserve">Metformin and Lactic Acidosis:</w:t>
      </w:r>
      <w:r>
        <w:rPr>
          <w:rFonts w:ascii="Times New Roman" w:cs="Times New Roman" w:eastAsia="Times New Roman" w:hAnsi="Times New Roman"/>
          <w:b w:val="false"/>
          <w:bCs w:val="false"/>
          <w:i w:val="false"/>
          <w:iCs w:val="false"/>
          <w:sz w:val="20"/>
          <w:szCs w:val="20"/>
        </w:rPr>
        <w:t xml:space="preserve"> ROR = 61.22, 95% CI 25.21-148.68, </w:t>
      </w:r>
      <w:r>
        <w:rPr>
          <w:rFonts w:ascii="Times New Roman" w:cs="Times New Roman" w:eastAsia="Times New Roman" w:hAnsi="Times New Roman"/>
          <w:b w:val="false"/>
          <w:bCs w:val="false"/>
          <w:i/>
          <w:iCs/>
          <w:sz w:val="20"/>
          <w:szCs w:val="20"/>
        </w:rPr>
        <w:t xml:space="preserve">N=214</w:t>
      </w:r>
      <w:r>
        <w:rPr>
          <w:rFonts w:ascii="Times New Roman" w:cs="Times New Roman" w:eastAsia="Times New Roman" w:hAnsi="Times New Roman"/>
          <w:b w:val="false"/>
          <w:bCs w:val="false"/>
          <w:i w:val="false"/>
          <w:iCs w:val="false"/>
          <w:sz w:val="20"/>
          <w:szCs w:val="20"/>
        </w:rPr>
        <w:t xml:space="preserve">. This represents the strongest signal in this analysis and is consistent with metformin's well-documented, albeit rare, risk of lactic acidosis, particularly when renal function is compromised [9].</w:t>
      </w:r>
    </w:p>
    <w:p>
      <w:pPr>
        <w:pStyle w:val="ListParagraph"/>
        <w:numPr>
          <w:ilvl w:val="0"/>
          <w:numId w:val="3"/>
        </w:numPr>
        <w:spacing w:after="0" w:line="480" w:lineRule="auto"/>
      </w:pPr>
      <w:r>
        <w:rPr>
          <w:rFonts w:ascii="Times New Roman" w:cs="Times New Roman" w:eastAsia="Times New Roman" w:hAnsi="Times New Roman"/>
          <w:b/>
          <w:bCs/>
          <w:i w:val="false"/>
          <w:iCs w:val="false"/>
          <w:sz w:val="20"/>
          <w:szCs w:val="20"/>
        </w:rPr>
        <w:t xml:space="preserve">Atorvastatin and Myalgia:</w:t>
      </w:r>
      <w:r>
        <w:rPr>
          <w:rFonts w:ascii="Times New Roman" w:cs="Times New Roman" w:eastAsia="Times New Roman" w:hAnsi="Times New Roman"/>
          <w:b w:val="false"/>
          <w:bCs w:val="false"/>
          <w:i w:val="false"/>
          <w:iCs w:val="false"/>
          <w:sz w:val="20"/>
          <w:szCs w:val="20"/>
        </w:rPr>
        <w:t xml:space="preserve"> ROR = 16.89, 95% CI 8.94-31.92, </w:t>
      </w:r>
      <w:r>
        <w:rPr>
          <w:rFonts w:ascii="Times New Roman" w:cs="Times New Roman" w:eastAsia="Times New Roman" w:hAnsi="Times New Roman"/>
          <w:b w:val="false"/>
          <w:bCs w:val="false"/>
          <w:i/>
          <w:iCs/>
          <w:sz w:val="20"/>
          <w:szCs w:val="20"/>
        </w:rPr>
        <w:t xml:space="preserve">N=46</w:t>
      </w:r>
      <w:r>
        <w:rPr>
          <w:rFonts w:ascii="Times New Roman" w:cs="Times New Roman" w:eastAsia="Times New Roman" w:hAnsi="Times New Roman"/>
          <w:b w:val="false"/>
          <w:bCs w:val="false"/>
          <w:i w:val="false"/>
          <w:iCs w:val="false"/>
          <w:sz w:val="20"/>
          <w:szCs w:val="20"/>
        </w:rPr>
        <w:t xml:space="preserve">. Myalgia is a recognised class effect of statins and has been documented in both adult and paediatric populations [26].</w:t>
      </w:r>
    </w:p>
    <w:p>
      <w:pPr>
        <w:pStyle w:val="ListParagraph"/>
        <w:numPr>
          <w:ilvl w:val="0"/>
          <w:numId w:val="3"/>
        </w:numPr>
        <w:spacing w:after="0" w:line="480" w:lineRule="auto"/>
      </w:pPr>
      <w:r>
        <w:rPr>
          <w:rFonts w:ascii="Times New Roman" w:cs="Times New Roman" w:eastAsia="Times New Roman" w:hAnsi="Times New Roman"/>
          <w:b/>
          <w:bCs/>
          <w:i w:val="false"/>
          <w:iCs w:val="false"/>
          <w:sz w:val="20"/>
          <w:szCs w:val="20"/>
        </w:rPr>
        <w:t xml:space="preserve">Semaglutide and Nausea/Vomiting:</w:t>
      </w:r>
      <w:r>
        <w:rPr>
          <w:rFonts w:ascii="Times New Roman" w:cs="Times New Roman" w:eastAsia="Times New Roman" w:hAnsi="Times New Roman"/>
          <w:b w:val="false"/>
          <w:bCs w:val="false"/>
          <w:i w:val="false"/>
          <w:iCs w:val="false"/>
          <w:sz w:val="20"/>
          <w:szCs w:val="20"/>
        </w:rPr>
        <w:t xml:space="preserve"> GLP-1 receptor agonists are well-known to cause dose-dependent gastrointestinal adverse events as their primary tolerability concern [27,28].</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A notable finding was a strong reporting signal for </w:t>
      </w:r>
      <w:r>
        <w:rPr>
          <w:rFonts w:ascii="Times New Roman" w:cs="Times New Roman" w:eastAsia="Times New Roman" w:hAnsi="Times New Roman"/>
          <w:b/>
          <w:bCs/>
          <w:i w:val="false"/>
          <w:iCs w:val="false"/>
          <w:sz w:val="20"/>
          <w:szCs w:val="20"/>
        </w:rPr>
        <w:t xml:space="preserve">Semaglutide and Optic Ischaemic Neuropathy</w:t>
      </w:r>
      <w:r>
        <w:rPr>
          <w:rFonts w:ascii="Times New Roman" w:cs="Times New Roman" w:eastAsia="Times New Roman" w:hAnsi="Times New Roman"/>
          <w:b w:val="false"/>
          <w:bCs w:val="false"/>
          <w:i w:val="false"/>
          <w:iCs w:val="false"/>
          <w:sz w:val="20"/>
          <w:szCs w:val="20"/>
        </w:rPr>
        <w:t xml:space="preserve"> (ROR = 439.23, 95% CI 99.33-1942.26, </w:t>
      </w:r>
      <w:r>
        <w:rPr>
          <w:rFonts w:ascii="Times New Roman" w:cs="Times New Roman" w:eastAsia="Times New Roman" w:hAnsi="Times New Roman"/>
          <w:b w:val="false"/>
          <w:bCs w:val="false"/>
          <w:i/>
          <w:iCs/>
          <w:sz w:val="20"/>
          <w:szCs w:val="20"/>
        </w:rPr>
        <w:t xml:space="preserve">N=14</w:t>
      </w:r>
      <w:r>
        <w:rPr>
          <w:rFonts w:ascii="Times New Roman" w:cs="Times New Roman" w:eastAsia="Times New Roman" w:hAnsi="Times New Roman"/>
          <w:b w:val="false"/>
          <w:bCs w:val="false"/>
          <w:i w:val="false"/>
          <w:iCs w:val="false"/>
          <w:sz w:val="20"/>
          <w:szCs w:val="20"/>
        </w:rPr>
        <w:t xml:space="preserve">), consistent with recent post-marketing reports. This pair satisfied all four disproportionality criteria, including the EBGM shrinkage criterion (EBGM = 18.79, EB05 = 11.67), and is therefore a four-metric concordant signal. The wide confidence interval (spanning more than one order of magnitude) reflects the relatively small case count characteristic of rare events in adolescents and warrants cautious interpretation. This case illustrates the critical importance of multi-metric validation, as reliance on any single disproportionality metric could lead to misleading conclusions [29].</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Drug-specific adverse event profiles</w:t>
      </w:r>
    </w:p>
    <w:p>
      <w:pPr>
        <w:keepNext/>
        <w:spacing w:after="100" w:before="200" w:line="240" w:lineRule="auto"/>
        <w:jc w:val="left"/>
      </w:pPr>
      <w:r>
        <w:rPr>
          <w:rFonts w:ascii="Times New Roman" w:cs="Times New Roman" w:eastAsia="Times New Roman" w:hAnsi="Times New Roman"/>
          <w:b/>
          <w:bCs/>
          <w:i w:val="false"/>
          <w:iCs w:val="false"/>
          <w:sz w:val="28"/>
          <w:szCs w:val="28"/>
        </w:rPr>
        <w:t xml:space="preserve">Metformin (N = 7,081)</w:t>
      </w:r>
    </w:p>
    <w:p>
      <w:pPr>
        <w:spacing w:line="480" w:lineRule="auto"/>
        <w:ind w:firstLine="283"/>
        <w:jc w:val="left"/>
      </w:pPr>
      <w:r>
        <w:rPr>
          <w:rFonts w:ascii="Times New Roman" w:cs="Times New Roman" w:eastAsia="Times New Roman" w:hAnsi="Times New Roman"/>
          <w:b w:val="false"/>
          <w:bCs w:val="false"/>
          <w:i w:val="false"/>
          <w:iCs w:val="false"/>
          <w:sz w:val="20"/>
          <w:szCs w:val="20"/>
        </w:rPr>
        <w:t>Metformin, the first-line anti-diabetic agent for adolescents, demonstrated the strongest safety signals in this analysis. Beyond the prominent lactic acidosis signal (ROR = 61.22, 95% CI 25.21-148.68, N=214), further PT-level signals meeting the ROR criteria included maternal exposure during pregnancy (N=68, ROR = 8.65), toxicity to various agents (N=62, ROR = 3.61), diabetes mellitus (N=44, ROR = 4.72) and hypoglycaemia (N=50, ROR = 3.03). The most frequently recorded metformin Preferred Terms (drug ineffective, N=196; product dose omission issue, N=130; off-label use, N=107; product use in unapproved indication, N=102) did not reach the ROR signal threshold, indicating that they are reported no more often for metformin than across the rest of the panel. A recent 2025 FAERS analysis specifically focused on metformin in adolescents identified novel signals including ataxia, areflexia, muscle weakness, and rhabdomyolysis [30]. Those terms were not reproduced as signals in the present panel: ataxia and areflexia do not appear among the 2,098 evaluated drug-event pairs, and rhabdomyolysis (N=10, ROR = 0.77) and muscular weakness (N=6, ROR = 0.76) for the metformin single-ingredient entry did not meet the ROR signal criteria. Notably, metformin was also associated with a cluster of psychiatric and self-harm PTs: completed suicide (N=87, ROR = 5.08, 95% CI 3.23-7.99), intentional overdose (N=46, ROR = 2.14), and suicide attempt (N=42, ROR = 3.66). In every one of these reports metformin was recorded as either the primary (55%) or secondary (45%) suspect rather than a concomitant medication, a pattern strongly enriched relative to metformin's baseline concomitant role proportion across the panel. Recorded indications included suicide attempt, polycystic ovarian syndrome, and diabetes mellitus. None of these self-harm PTs for the metformin single-ingredient entry achieved four-metric concordance (all failed the EBGM criterion), but their consistency across multiple related PTs warrants close monitoring in this age group. The signal is more likely to reflect metformin as the agent of intentional overdose rather than a causal relationship with suicidality, but this cannot be determined from FAERS reports alone.</w:t>
      </w:r>
      <w:r>
        <w:rPr>
          <w:rFonts w:ascii="Times New Roman" w:cs="Times New Roman" w:eastAsia="Times New Roman" w:hAnsi="Times New Roman"/>
          <w:b w:val="false"/>
          <w:bCs w:val="false"/>
          <w:i/>
          <w:iCs/>
          <w:sz w:val="20"/>
          <w:szCs w:val="20"/>
        </w:rPr>
      </w:r>
      <w:r>
        <w:rPr>
          <w:rFonts w:ascii="Times New Roman" w:cs="Times New Roman" w:eastAsia="Times New Roman" w:hAnsi="Times New Roman"/>
          <w:b w:val="false"/>
          <w:bCs w:val="false"/>
          <w:i w:val="false"/>
          <w:iCs w:val="false"/>
          <w:sz w:val="20"/>
          <w:szCs w:val="20"/>
        </w:rPr>
      </w:r>
      <w:r>
        <w:rPr>
          <w:rFonts w:ascii="Times New Roman" w:cs="Times New Roman" w:eastAsia="Times New Roman" w:hAnsi="Times New Roman"/>
          <w:b w:val="false"/>
          <w:bCs w:val="false"/>
          <w:i/>
          <w:iCs/>
          <w:sz w:val="20"/>
          <w:szCs w:val="20"/>
        </w:rPr>
      </w:r>
      <w:r>
        <w:rPr>
          <w:rFonts w:ascii="Times New Roman" w:cs="Times New Roman" w:eastAsia="Times New Roman" w:hAnsi="Times New Roman"/>
          <w:b w:val="false"/>
          <w:bCs w:val="false"/>
          <w:i w:val="false"/>
          <w:iCs w:val="false"/>
          <w:sz w:val="20"/>
          <w:szCs w:val="20"/>
        </w:rPr>
      </w:r>
      <w:r>
        <w:rPr>
          <w:rFonts w:ascii="Times New Roman" w:cs="Times New Roman" w:eastAsia="Times New Roman" w:hAnsi="Times New Roman"/>
          <w:b w:val="false"/>
          <w:bCs w:val="false"/>
          <w:i/>
          <w:iCs/>
          <w:sz w:val="20"/>
          <w:szCs w:val="20"/>
        </w:rPr>
      </w:r>
      <w:r>
        <w:rPr>
          <w:rFonts w:ascii="Times New Roman" w:cs="Times New Roman" w:eastAsia="Times New Roman" w:hAnsi="Times New Roman"/>
          <w:b w:val="false"/>
          <w:bCs w:val="false"/>
          <w:i w:val="false"/>
          <w:iCs w:val="false"/>
          <w:sz w:val="20"/>
          <w:szCs w:val="20"/>
        </w:rPr>
      </w:r>
      <w:r>
        <w:rPr>
          <w:rFonts w:ascii="Times New Roman" w:cs="Times New Roman" w:eastAsia="Times New Roman" w:hAnsi="Times New Roman"/>
          <w:b w:val="false"/>
          <w:bCs w:val="false"/>
          <w:i/>
          <w:iCs/>
          <w:sz w:val="20"/>
          <w:szCs w:val="20"/>
        </w:rPr>
      </w:r>
      <w:r>
        <w:rPr>
          <w:rFonts w:ascii="Times New Roman" w:cs="Times New Roman" w:eastAsia="Times New Roman" w:hAnsi="Times New Roman"/>
          <w:b w:val="false"/>
          <w:bCs w:val="false"/>
          <w:i w:val="false"/>
          <w:iCs w:val="false"/>
          <w:sz w:val="20"/>
          <w:szCs w:val="20"/>
        </w:rPr>
      </w:r>
      <w:r>
        <w:rPr>
          <w:rFonts w:ascii="Times New Roman" w:cs="Times New Roman" w:eastAsia="Times New Roman" w:hAnsi="Times New Roman"/>
          <w:b w:val="false"/>
          <w:bCs w:val="false"/>
          <w:i/>
          <w:iCs/>
          <w:sz w:val="20"/>
          <w:szCs w:val="20"/>
        </w:rPr>
      </w:r>
      <w:r>
        <w:rPr>
          <w:rFonts w:ascii="Times New Roman" w:cs="Times New Roman" w:eastAsia="Times New Roman" w:hAnsi="Times New Roman"/>
          <w:b w:val="false"/>
          <w:bCs w:val="false"/>
          <w:i w:val="false"/>
          <w:iCs w:val="false"/>
          <w:sz w:val="20"/>
          <w:szCs w:val="20"/>
        </w:rPr>
      </w:r>
      <w:r>
        <w:rPr>
          <w:rFonts w:ascii="Times New Roman" w:cs="Times New Roman" w:eastAsia="Times New Roman" w:hAnsi="Times New Roman"/>
          <w:b w:val="false"/>
          <w:bCs w:val="false"/>
          <w:i/>
          <w:iCs/>
          <w:sz w:val="20"/>
          <w:szCs w:val="20"/>
        </w:rPr>
      </w:r>
      <w:r>
        <w:rPr>
          <w:rFonts w:ascii="Times New Roman" w:cs="Times New Roman" w:eastAsia="Times New Roman" w:hAnsi="Times New Roman"/>
          <w:b w:val="false"/>
          <w:bCs w:val="false"/>
          <w:i w:val="false"/>
          <w:iCs w:val="false"/>
          <w:sz w:val="20"/>
          <w:szCs w:val="20"/>
        </w:rPr>
      </w:r>
      <w:r>
        <w:rPr>
          <w:rFonts w:ascii="Times New Roman" w:cs="Times New Roman" w:eastAsia="Times New Roman" w:hAnsi="Times New Roman"/>
          <w:b w:val="false"/>
          <w:bCs w:val="false"/>
          <w:i/>
          <w:iCs/>
          <w:sz w:val="20"/>
          <w:szCs w:val="20"/>
        </w:rPr>
      </w:r>
      <w:r>
        <w:rPr>
          <w:rFonts w:ascii="Times New Roman" w:cs="Times New Roman" w:eastAsia="Times New Roman" w:hAnsi="Times New Roman"/>
          <w:b w:val="false"/>
          <w:bCs w:val="false"/>
          <w:i w:val="false"/>
          <w:iCs w:val="false"/>
          <w:sz w:val="20"/>
          <w:szCs w:val="20"/>
        </w:rPr>
      </w:r>
      <w:r>
        <w:rPr>
          <w:rFonts w:ascii="Times New Roman" w:cs="Times New Roman" w:eastAsia="Times New Roman" w:hAnsi="Times New Roman"/>
          <w:b w:val="false"/>
          <w:bCs w:val="false"/>
          <w:i/>
          <w:iCs/>
          <w:sz w:val="20"/>
          <w:szCs w:val="20"/>
        </w:rPr>
      </w:r>
      <w:r>
        <w:rPr>
          <w:rFonts w:ascii="Times New Roman" w:cs="Times New Roman" w:eastAsia="Times New Roman" w:hAnsi="Times New Roman"/>
          <w:b w:val="false"/>
          <w:bCs w:val="false"/>
          <w:i w:val="false"/>
          <w:iCs w:val="false"/>
          <w:sz w:val="20"/>
          <w:szCs w:val="20"/>
        </w:rPr>
      </w:r>
      <w:r>
        <w:rPr>
          <w:rFonts w:ascii="Times New Roman" w:cs="Times New Roman" w:eastAsia="Times New Roman" w:hAnsi="Times New Roman"/>
          <w:b w:val="false"/>
          <w:bCs w:val="false"/>
          <w:i/>
          <w:iCs/>
          <w:sz w:val="20"/>
          <w:szCs w:val="20"/>
        </w:rPr>
      </w:r>
      <w:r>
        <w:rPr>
          <w:rFonts w:ascii="Times New Roman" w:cs="Times New Roman" w:eastAsia="Times New Roman" w:hAnsi="Times New Roman"/>
          <w:b w:val="false"/>
          <w:bCs w:val="false"/>
          <w:i w:val="false"/>
          <w:iCs w:val="false"/>
          <w:sz w:val="20"/>
          <w:szCs w:val="20"/>
        </w:rPr>
      </w:r>
      <w:r>
        <w:rPr>
          <w:rFonts w:ascii="Times New Roman" w:cs="Times New Roman" w:eastAsia="Times New Roman" w:hAnsi="Times New Roman"/>
          <w:b w:val="false"/>
          <w:bCs w:val="false"/>
          <w:i/>
          <w:iCs/>
          <w:sz w:val="20"/>
          <w:szCs w:val="20"/>
        </w:rPr>
      </w:r>
      <w:r>
        <w:rPr>
          <w:rFonts w:ascii="Times New Roman" w:cs="Times New Roman" w:eastAsia="Times New Roman" w:hAnsi="Times New Roman"/>
          <w:b w:val="false"/>
          <w:bCs w:val="false"/>
          <w:i w:val="false"/>
          <w:iCs w:val="false"/>
          <w:sz w:val="20"/>
          <w:szCs w:val="20"/>
        </w:rPr>
      </w:r>
      <w:r>
        <w:rPr>
          <w:rFonts w:ascii="Times New Roman" w:cs="Times New Roman" w:eastAsia="Times New Roman" w:hAnsi="Times New Roman"/>
          <w:b w:val="false"/>
          <w:bCs w:val="false"/>
          <w:i/>
          <w:iCs/>
          <w:sz w:val="20"/>
          <w:szCs w:val="20"/>
        </w:rPr>
      </w:r>
      <w:r>
        <w:rPr>
          <w:rFonts w:ascii="Times New Roman" w:cs="Times New Roman" w:eastAsia="Times New Roman" w:hAnsi="Times New Roman"/>
          <w:b w:val="false"/>
          <w:bCs w:val="false"/>
          <w:i w:val="false"/>
          <w:iCs w:val="false"/>
          <w:sz w:val="20"/>
          <w:szCs w:val="20"/>
        </w:rPr>
      </w:r>
      <w:r>
        <w:rPr>
          <w:rFonts w:ascii="Times New Roman" w:cs="Times New Roman" w:eastAsia="Times New Roman" w:hAnsi="Times New Roman"/>
          <w:b w:val="false"/>
          <w:bCs w:val="false"/>
          <w:i/>
          <w:iCs/>
          <w:sz w:val="20"/>
          <w:szCs w:val="20"/>
        </w:rPr>
      </w:r>
      <w:r>
        <w:rPr>
          <w:rFonts w:ascii="Times New Roman" w:cs="Times New Roman" w:eastAsia="Times New Roman" w:hAnsi="Times New Roman"/>
          <w:b w:val="false"/>
          <w:bCs w:val="false"/>
          <w:i w:val="false"/>
          <w:iCs w:val="false"/>
          <w:sz w:val="20"/>
          <w:szCs w:val="20"/>
        </w:rPr>
      </w:r>
    </w:p>
    <w:p>
      <w:pPr>
        <w:keepNext/>
        <w:spacing w:after="100" w:before="200" w:line="240" w:lineRule="auto"/>
        <w:jc w:val="left"/>
      </w:pPr>
      <w:r>
        <w:rPr>
          <w:rFonts w:ascii="Times New Roman" w:cs="Times New Roman" w:eastAsia="Times New Roman" w:hAnsi="Times New Roman"/>
          <w:b/>
          <w:bCs/>
          <w:i w:val="false"/>
          <w:iCs w:val="false"/>
          <w:sz w:val="28"/>
          <w:szCs w:val="28"/>
        </w:rPr>
        <w:t xml:space="preserve">Atorvastatin (N = 3,163)</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Atorvastatin (including atorvastatin calcium formulations), frequently used as a concomitant medication in adolescents with obesity-related dyslipidaemia, showed the expected statin class-effect signal for myalgia (ROR = 16.89, 95% CI 8.94-31.92, </w:t>
      </w:r>
      <w:r>
        <w:rPr>
          <w:rFonts w:ascii="Times New Roman" w:cs="Times New Roman" w:eastAsia="Times New Roman" w:hAnsi="Times New Roman"/>
          <w:b w:val="false"/>
          <w:bCs w:val="false"/>
          <w:i/>
          <w:iCs/>
          <w:sz w:val="20"/>
          <w:szCs w:val="20"/>
        </w:rPr>
        <w:t xml:space="preserve">N=46</w:t>
      </w:r>
      <w:r>
        <w:rPr>
          <w:rFonts w:ascii="Times New Roman" w:cs="Times New Roman" w:eastAsia="Times New Roman" w:hAnsi="Times New Roman"/>
          <w:b w:val="false"/>
          <w:bCs w:val="false"/>
          <w:i w:val="false"/>
          <w:iCs w:val="false"/>
          <w:sz w:val="20"/>
          <w:szCs w:val="20"/>
        </w:rPr>
        <w:t xml:space="preserve">). Additional signals included drug-induced liver injury (</w:t>
      </w:r>
      <w:r>
        <w:rPr>
          <w:rFonts w:ascii="Times New Roman" w:cs="Times New Roman" w:eastAsia="Times New Roman" w:hAnsi="Times New Roman"/>
          <w:b w:val="false"/>
          <w:bCs w:val="false"/>
          <w:i/>
          <w:iCs/>
          <w:sz w:val="20"/>
          <w:szCs w:val="20"/>
        </w:rPr>
        <w:t xml:space="preserve">N=38</w:t>
      </w:r>
      <w:r>
        <w:rPr>
          <w:rFonts w:ascii="Times New Roman" w:cs="Times New Roman" w:eastAsia="Times New Roman" w:hAnsi="Times New Roman"/>
          <w:b w:val="false"/>
          <w:bCs w:val="false"/>
          <w:i w:val="false"/>
          <w:iCs w:val="false"/>
          <w:sz w:val="20"/>
          <w:szCs w:val="20"/>
        </w:rPr>
        <w:t xml:space="preserve">, ROR = 16.70, 95% CI 8.31-33.56), muscle spasms (</w:t>
      </w:r>
      <w:r>
        <w:rPr>
          <w:rFonts w:ascii="Times New Roman" w:cs="Times New Roman" w:eastAsia="Times New Roman" w:hAnsi="Times New Roman"/>
          <w:b w:val="false"/>
          <w:bCs w:val="false"/>
          <w:i/>
          <w:iCs/>
          <w:sz w:val="20"/>
          <w:szCs w:val="20"/>
        </w:rPr>
        <w:t xml:space="preserve">N=24</w:t>
      </w:r>
      <w:r>
        <w:rPr>
          <w:rFonts w:ascii="Times New Roman" w:cs="Times New Roman" w:eastAsia="Times New Roman" w:hAnsi="Times New Roman"/>
          <w:b w:val="false"/>
          <w:bCs w:val="false"/>
          <w:i w:val="false"/>
          <w:iCs w:val="false"/>
          <w:sz w:val="20"/>
          <w:szCs w:val="20"/>
        </w:rPr>
        <w:t xml:space="preserve">, ROR = 6.17) and rash (</w:t>
      </w:r>
      <w:r>
        <w:rPr>
          <w:rFonts w:ascii="Times New Roman" w:cs="Times New Roman" w:eastAsia="Times New Roman" w:hAnsi="Times New Roman"/>
          <w:b w:val="false"/>
          <w:bCs w:val="false"/>
          <w:i/>
          <w:iCs/>
          <w:sz w:val="20"/>
          <w:szCs w:val="20"/>
        </w:rPr>
        <w:t xml:space="preserve">N=48</w:t>
      </w:r>
      <w:r>
        <w:rPr>
          <w:rFonts w:ascii="Times New Roman" w:cs="Times New Roman" w:eastAsia="Times New Roman" w:hAnsi="Times New Roman"/>
          <w:b w:val="false"/>
          <w:bCs w:val="false"/>
          <w:i w:val="false"/>
          <w:iCs w:val="false"/>
          <w:sz w:val="20"/>
          <w:szCs w:val="20"/>
        </w:rPr>
        <w:t xml:space="preserve">, ROR = 1.51). Drug ineffective was the most frequently recorded Preferred Term (</w:t>
      </w:r>
      <w:r>
        <w:rPr>
          <w:rFonts w:ascii="Times New Roman" w:cs="Times New Roman" w:eastAsia="Times New Roman" w:hAnsi="Times New Roman"/>
          <w:b w:val="false"/>
          <w:bCs w:val="false"/>
          <w:i/>
          <w:iCs/>
          <w:sz w:val="20"/>
          <w:szCs w:val="20"/>
        </w:rPr>
        <w:t xml:space="preserve">N=106</w:t>
      </w:r>
      <w:r>
        <w:rPr>
          <w:rFonts w:ascii="Times New Roman" w:cs="Times New Roman" w:eastAsia="Times New Roman" w:hAnsi="Times New Roman"/>
          <w:b w:val="false"/>
          <w:bCs w:val="false"/>
          <w:i w:val="false"/>
          <w:iCs w:val="false"/>
          <w:sz w:val="20"/>
          <w:szCs w:val="20"/>
        </w:rPr>
        <w:t xml:space="preserve">) but did not meet the ROR signal threshold.</w:t>
      </w:r>
    </w:p>
    <w:p>
      <w:pPr>
        <w:keepNext/>
        <w:spacing w:after="100" w:before="200" w:line="240" w:lineRule="auto"/>
        <w:jc w:val="left"/>
      </w:pPr>
      <w:r>
        <w:rPr>
          <w:rFonts w:ascii="Times New Roman" w:cs="Times New Roman" w:eastAsia="Times New Roman" w:hAnsi="Times New Roman"/>
          <w:b/>
          <w:bCs/>
          <w:i w:val="false"/>
          <w:iCs w:val="false"/>
          <w:sz w:val="28"/>
          <w:szCs w:val="28"/>
        </w:rPr>
        <w:t xml:space="preserve">Lisinopril (N = 2,529) and Losartan (N = 1,681)</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These cardiovascular agents, commonly co-prescribed in adolescents with obesity-related hypertension, were predominantly present as concomitant medications. Lisinopril showed signals for product dose omission issue (</w:t>
      </w:r>
      <w:r>
        <w:rPr>
          <w:rFonts w:ascii="Times New Roman" w:cs="Times New Roman" w:eastAsia="Times New Roman" w:hAnsi="Times New Roman"/>
          <w:b w:val="false"/>
          <w:bCs w:val="false"/>
          <w:i/>
          <w:iCs/>
          <w:sz w:val="20"/>
          <w:szCs w:val="20"/>
        </w:rPr>
        <w:t xml:space="preserve">N=117</w:t>
      </w:r>
      <w:r>
        <w:rPr>
          <w:rFonts w:ascii="Times New Roman" w:cs="Times New Roman" w:eastAsia="Times New Roman" w:hAnsi="Times New Roman"/>
          <w:b w:val="false"/>
          <w:bCs w:val="false"/>
          <w:i w:val="false"/>
          <w:iCs w:val="false"/>
          <w:sz w:val="20"/>
          <w:szCs w:val="20"/>
        </w:rPr>
        <w:t xml:space="preserve">, ROR = 2.43) and intentional dose omission (</w:t>
      </w:r>
      <w:r>
        <w:rPr>
          <w:rFonts w:ascii="Times New Roman" w:cs="Times New Roman" w:eastAsia="Times New Roman" w:hAnsi="Times New Roman"/>
          <w:b w:val="false"/>
          <w:bCs w:val="false"/>
          <w:i/>
          <w:iCs/>
          <w:sz w:val="20"/>
          <w:szCs w:val="20"/>
        </w:rPr>
        <w:t xml:space="preserve">N=27</w:t>
      </w:r>
      <w:r>
        <w:rPr>
          <w:rFonts w:ascii="Times New Roman" w:cs="Times New Roman" w:eastAsia="Times New Roman" w:hAnsi="Times New Roman"/>
          <w:b w:val="false"/>
          <w:bCs w:val="false"/>
          <w:i w:val="false"/>
          <w:iCs w:val="false"/>
          <w:sz w:val="20"/>
          <w:szCs w:val="20"/>
        </w:rPr>
        <w:t xml:space="preserve">, ROR = 7.38, four-metric concordant); off-label use (</w:t>
      </w:r>
      <w:r>
        <w:rPr>
          <w:rFonts w:ascii="Times New Roman" w:cs="Times New Roman" w:eastAsia="Times New Roman" w:hAnsi="Times New Roman"/>
          <w:b w:val="false"/>
          <w:bCs w:val="false"/>
          <w:i/>
          <w:iCs/>
          <w:sz w:val="20"/>
          <w:szCs w:val="20"/>
        </w:rPr>
        <w:t xml:space="preserve">N=42</w:t>
      </w:r>
      <w:r>
        <w:rPr>
          <w:rFonts w:ascii="Times New Roman" w:cs="Times New Roman" w:eastAsia="Times New Roman" w:hAnsi="Times New Roman"/>
          <w:b w:val="false"/>
          <w:bCs w:val="false"/>
          <w:i w:val="false"/>
          <w:iCs w:val="false"/>
          <w:sz w:val="20"/>
          <w:szCs w:val="20"/>
        </w:rPr>
        <w:t xml:space="preserve">, ROR = 1.27) did not meet the signal threshold. Losartan showed a signal for anhedonia (</w:t>
      </w:r>
      <w:r>
        <w:rPr>
          <w:rFonts w:ascii="Times New Roman" w:cs="Times New Roman" w:eastAsia="Times New Roman" w:hAnsi="Times New Roman"/>
          <w:b w:val="false"/>
          <w:bCs w:val="false"/>
          <w:i/>
          <w:iCs/>
          <w:sz w:val="20"/>
          <w:szCs w:val="20"/>
        </w:rPr>
        <w:t xml:space="preserve">N=21</w:t>
      </w:r>
      <w:r>
        <w:rPr>
          <w:rFonts w:ascii="Times New Roman" w:cs="Times New Roman" w:eastAsia="Times New Roman" w:hAnsi="Times New Roman"/>
          <w:b w:val="false"/>
          <w:bCs w:val="false"/>
          <w:i w:val="false"/>
          <w:iCs w:val="false"/>
          <w:sz w:val="20"/>
          <w:szCs w:val="20"/>
        </w:rPr>
        <w:t xml:space="preserve">, ROR = 2.04), a psychiatric AE warranting further investigation in adolescents on polypharmacy regimens.</w:t>
      </w:r>
    </w:p>
    <w:p>
      <w:pPr>
        <w:keepNext/>
        <w:spacing w:after="100" w:before="200" w:line="240" w:lineRule="auto"/>
        <w:jc w:val="left"/>
      </w:pPr>
      <w:r>
        <w:rPr>
          <w:rFonts w:ascii="Times New Roman" w:cs="Times New Roman" w:eastAsia="Times New Roman" w:hAnsi="Times New Roman"/>
          <w:b/>
          <w:bCs/>
          <w:i w:val="false"/>
          <w:iCs w:val="false"/>
          <w:sz w:val="28"/>
          <w:szCs w:val="28"/>
        </w:rPr>
        <w:t xml:space="preserve">Semaglutide (N = 279)</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Semaglutide showed a prominent signal for optic ischaemic neuropathy (</w:t>
      </w:r>
      <w:r>
        <w:rPr>
          <w:rFonts w:ascii="Times New Roman" w:cs="Times New Roman" w:eastAsia="Times New Roman" w:hAnsi="Times New Roman"/>
          <w:b w:val="false"/>
          <w:bCs w:val="false"/>
          <w:i/>
          <w:iCs/>
          <w:sz w:val="20"/>
          <w:szCs w:val="20"/>
        </w:rPr>
        <w:t xml:space="preserve">N=14</w:t>
      </w:r>
      <w:r>
        <w:rPr>
          <w:rFonts w:ascii="Times New Roman" w:cs="Times New Roman" w:eastAsia="Times New Roman" w:hAnsi="Times New Roman"/>
          <w:b w:val="false"/>
          <w:bCs w:val="false"/>
          <w:i w:val="false"/>
          <w:iCs w:val="false"/>
          <w:sz w:val="20"/>
          <w:szCs w:val="20"/>
        </w:rPr>
        <w:t xml:space="preserve">, ROR = 439.23, 95% CI 99.33-1942.26) and vomiting (</w:t>
      </w:r>
      <w:r>
        <w:rPr>
          <w:rFonts w:ascii="Times New Roman" w:cs="Times New Roman" w:eastAsia="Times New Roman" w:hAnsi="Times New Roman"/>
          <w:b w:val="false"/>
          <w:bCs w:val="false"/>
          <w:i/>
          <w:iCs/>
          <w:sz w:val="20"/>
          <w:szCs w:val="20"/>
        </w:rPr>
        <w:t xml:space="preserve">N=6</w:t>
      </w:r>
      <w:r>
        <w:rPr>
          <w:rFonts w:ascii="Times New Roman" w:cs="Times New Roman" w:eastAsia="Times New Roman" w:hAnsi="Times New Roman"/>
          <w:b w:val="false"/>
          <w:bCs w:val="false"/>
          <w:i w:val="false"/>
          <w:iCs w:val="false"/>
          <w:sz w:val="20"/>
          <w:szCs w:val="20"/>
        </w:rPr>
        <w:t xml:space="preserve">, ROR = 3.95), the latter consistent with recent reports flagging this potential risk [8]. Psychiatric AE signals, including mood changes and anxiety, were also identified, consistent with pharmacovigilance studies flagging potential psychiatric effects of GLP-1 receptor agonists [10].</w:t>
      </w:r>
    </w:p>
    <w:p>
      <w:pPr>
        <w:keepNext/>
        <w:spacing w:after="100" w:before="200" w:line="240" w:lineRule="auto"/>
        <w:jc w:val="left"/>
      </w:pPr>
      <w:r>
        <w:rPr>
          <w:rFonts w:ascii="Times New Roman" w:cs="Times New Roman" w:eastAsia="Times New Roman" w:hAnsi="Times New Roman"/>
          <w:b/>
          <w:bCs/>
          <w:i w:val="false"/>
          <w:iCs w:val="false"/>
          <w:sz w:val="28"/>
          <w:szCs w:val="28"/>
        </w:rPr>
        <w:t xml:space="preserve">Dapagliflozin (N = 608)</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 top AEs for dapagliflozin, insulin glargine, tirzepatide, and empagliflozin are presented in Fig 4.</w:t>
      </w:r>
    </w:p>
    <w:p>
      <w:pPr>
        <w:spacing w:after="80" w:before="80" w:line="480" w:lineRule="auto"/>
        <w:jc w:val="left"/>
      </w:pPr>
      <w:r>
        <w:rPr>
          <w:rFonts w:ascii="Times New Roman" w:cs="Times New Roman" w:eastAsia="Times New Roman" w:hAnsi="Times New Roman"/>
          <w:b/>
          <w:bCs/>
          <w:i w:val="false"/>
          <w:iCs w:val="false"/>
          <w:sz w:val="20"/>
          <w:szCs w:val="20"/>
        </w:rPr>
        <w:t xml:space="preserve">Fig 4.</w:t>
      </w:r>
      <w:r>
        <w:rPr>
          <w:rFonts w:ascii="Times New Roman" w:cs="Times New Roman" w:eastAsia="Times New Roman" w:hAnsi="Times New Roman"/>
          <w:b w:val="false"/>
          <w:bCs w:val="false"/>
          <w:i w:val="false"/>
          <w:iCs w:val="false"/>
          <w:sz w:val="20"/>
          <w:szCs w:val="20"/>
        </w:rPr>
        <w:t xml:space="preserve"> The top AEs associated with four additional drugs showing notable disproportionality signals: (a) dapagliflozin, (b) insulin glargine, (c) tirzepatide, and (d) empagliflozin, ranked by the number of positive signals along with their PT and ROR values. Together with Fig 3, these seven drugs illustrate the strongest signals identified.</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Dapagliflozin, an SGLT2 inhibitor, showed the strongest cardiovascular signal in this analysis: cardiac failure (</w:t>
      </w:r>
      <w:r>
        <w:rPr>
          <w:rFonts w:ascii="Times New Roman" w:cs="Times New Roman" w:eastAsia="Times New Roman" w:hAnsi="Times New Roman"/>
          <w:b w:val="false"/>
          <w:bCs w:val="false"/>
          <w:i/>
          <w:iCs/>
          <w:sz w:val="20"/>
          <w:szCs w:val="20"/>
        </w:rPr>
        <w:t xml:space="preserve">N=30</w:t>
      </w:r>
      <w:r>
        <w:rPr>
          <w:rFonts w:ascii="Times New Roman" w:cs="Times New Roman" w:eastAsia="Times New Roman" w:hAnsi="Times New Roman"/>
          <w:b w:val="false"/>
          <w:bCs w:val="false"/>
          <w:i w:val="false"/>
          <w:iCs w:val="false"/>
          <w:sz w:val="20"/>
          <w:szCs w:val="20"/>
        </w:rPr>
        <w:t xml:space="preserve">, ROR = 40.24, 95% CI 22.90-70.71), a finding of considerable clinical concern in adolescents with developing cardiac systems. Additional signals included ketoacidosis (</w:t>
      </w:r>
      <w:r>
        <w:rPr>
          <w:rFonts w:ascii="Times New Roman" w:cs="Times New Roman" w:eastAsia="Times New Roman" w:hAnsi="Times New Roman"/>
          <w:b w:val="false"/>
          <w:bCs w:val="false"/>
          <w:i/>
          <w:iCs/>
          <w:sz w:val="20"/>
          <w:szCs w:val="20"/>
        </w:rPr>
        <w:t xml:space="preserve">N=10</w:t>
      </w:r>
      <w:r>
        <w:rPr>
          <w:rFonts w:ascii="Times New Roman" w:cs="Times New Roman" w:eastAsia="Times New Roman" w:hAnsi="Times New Roman"/>
          <w:b w:val="false"/>
          <w:bCs w:val="false"/>
          <w:i w:val="false"/>
          <w:iCs w:val="false"/>
          <w:sz w:val="20"/>
          <w:szCs w:val="20"/>
        </w:rPr>
        <w:t xml:space="preserve">, ROR = 9.72), nephrotic syndrome (</w:t>
      </w:r>
      <w:r>
        <w:rPr>
          <w:rFonts w:ascii="Times New Roman" w:cs="Times New Roman" w:eastAsia="Times New Roman" w:hAnsi="Times New Roman"/>
          <w:b w:val="false"/>
          <w:bCs w:val="false"/>
          <w:i/>
          <w:iCs/>
          <w:sz w:val="20"/>
          <w:szCs w:val="20"/>
        </w:rPr>
        <w:t xml:space="preserve">N=6</w:t>
      </w:r>
      <w:r>
        <w:rPr>
          <w:rFonts w:ascii="Times New Roman" w:cs="Times New Roman" w:eastAsia="Times New Roman" w:hAnsi="Times New Roman"/>
          <w:b w:val="false"/>
          <w:bCs w:val="false"/>
          <w:i w:val="false"/>
          <w:iCs w:val="false"/>
          <w:sz w:val="20"/>
          <w:szCs w:val="20"/>
        </w:rPr>
        <w:t xml:space="preserve">, ROR = 162.46), nephritis (</w:t>
      </w:r>
      <w:r>
        <w:rPr>
          <w:rFonts w:ascii="Times New Roman" w:cs="Times New Roman" w:eastAsia="Times New Roman" w:hAnsi="Times New Roman"/>
          <w:b w:val="false"/>
          <w:bCs w:val="false"/>
          <w:i/>
          <w:iCs/>
          <w:sz w:val="20"/>
          <w:szCs w:val="20"/>
        </w:rPr>
        <w:t xml:space="preserve">N=4</w:t>
      </w:r>
      <w:r>
        <w:rPr>
          <w:rFonts w:ascii="Times New Roman" w:cs="Times New Roman" w:eastAsia="Times New Roman" w:hAnsi="Times New Roman"/>
          <w:b w:val="false"/>
          <w:bCs w:val="false"/>
          <w:i w:val="false"/>
          <w:iCs w:val="false"/>
          <w:sz w:val="20"/>
          <w:szCs w:val="20"/>
        </w:rPr>
        <w:t xml:space="preserve">, ROR = 107.95), and body mass index increased (</w:t>
      </w:r>
      <w:r>
        <w:rPr>
          <w:rFonts w:ascii="Times New Roman" w:cs="Times New Roman" w:eastAsia="Times New Roman" w:hAnsi="Times New Roman"/>
          <w:b w:val="false"/>
          <w:bCs w:val="false"/>
          <w:i/>
          <w:iCs/>
          <w:sz w:val="20"/>
          <w:szCs w:val="20"/>
        </w:rPr>
        <w:t xml:space="preserve">N=7</w:t>
      </w:r>
      <w:r>
        <w:rPr>
          <w:rFonts w:ascii="Times New Roman" w:cs="Times New Roman" w:eastAsia="Times New Roman" w:hAnsi="Times New Roman"/>
          <w:b w:val="false"/>
          <w:bCs w:val="false"/>
          <w:i w:val="false"/>
          <w:iCs w:val="false"/>
          <w:sz w:val="20"/>
          <w:szCs w:val="20"/>
        </w:rPr>
        <w:t xml:space="preserve">, ROR = 63.28). Together these support renal and cardiovascular monitoring during SGLT2 inhibitor therapy in adolescents. Death was the most frequently reported outcome PT for dapagliflozin (</w:t>
      </w:r>
      <w:r>
        <w:rPr>
          <w:rFonts w:ascii="Times New Roman" w:cs="Times New Roman" w:eastAsia="Times New Roman" w:hAnsi="Times New Roman"/>
          <w:b w:val="false"/>
          <w:bCs w:val="false"/>
          <w:i/>
          <w:iCs/>
          <w:sz w:val="20"/>
          <w:szCs w:val="20"/>
        </w:rPr>
        <w:t xml:space="preserve">N=52</w:t>
      </w:r>
      <w:r>
        <w:rPr>
          <w:rFonts w:ascii="Times New Roman" w:cs="Times New Roman" w:eastAsia="Times New Roman" w:hAnsi="Times New Roman"/>
          <w:b w:val="false"/>
          <w:bCs w:val="false"/>
          <w:i w:val="false"/>
          <w:iCs w:val="false"/>
          <w:sz w:val="20"/>
          <w:szCs w:val="20"/>
        </w:rPr>
        <w:t xml:space="preserve">, ROR = 17.84, 95% CI 12.51-25.45), with 92% of reports listing dapagliflozin as the primary suspect; indications in these cases included chronic kidney disease and cardiac failure, suggesting seriously ill patients. This signal met all four criteria, though FAERS outcome codes conflate the recorded event with the suspected causal pathway. Haematological signals were also observed: thrombocytopenia (</w:t>
      </w:r>
      <w:r>
        <w:rPr>
          <w:rFonts w:ascii="Times New Roman" w:cs="Times New Roman" w:eastAsia="Times New Roman" w:hAnsi="Times New Roman"/>
          <w:b w:val="false"/>
          <w:bCs w:val="false"/>
          <w:i/>
          <w:iCs/>
          <w:sz w:val="20"/>
          <w:szCs w:val="20"/>
        </w:rPr>
        <w:t xml:space="preserve">N=12</w:t>
      </w:r>
      <w:r>
        <w:rPr>
          <w:rFonts w:ascii="Times New Roman" w:cs="Times New Roman" w:eastAsia="Times New Roman" w:hAnsi="Times New Roman"/>
          <w:b w:val="false"/>
          <w:bCs w:val="false"/>
          <w:i w:val="false"/>
          <w:iCs w:val="false"/>
          <w:sz w:val="20"/>
          <w:szCs w:val="20"/>
        </w:rPr>
        <w:t xml:space="preserve">, ROR = 18.21) and neutropenia (</w:t>
      </w:r>
      <w:r>
        <w:rPr>
          <w:rFonts w:ascii="Times New Roman" w:cs="Times New Roman" w:eastAsia="Times New Roman" w:hAnsi="Times New Roman"/>
          <w:b w:val="false"/>
          <w:bCs w:val="false"/>
          <w:i/>
          <w:iCs/>
          <w:sz w:val="20"/>
          <w:szCs w:val="20"/>
        </w:rPr>
        <w:t xml:space="preserve">N=10</w:t>
      </w:r>
      <w:r>
        <w:rPr>
          <w:rFonts w:ascii="Times New Roman" w:cs="Times New Roman" w:eastAsia="Times New Roman" w:hAnsi="Times New Roman"/>
          <w:b w:val="false"/>
          <w:bCs w:val="false"/>
          <w:i w:val="false"/>
          <w:iCs w:val="false"/>
          <w:sz w:val="20"/>
          <w:szCs w:val="20"/>
        </w:rPr>
        <w:t xml:space="preserve">, ROR = 13.61), both four-metric concordant, which have not been prominently reported in prior adolescent SGLT2 inhibitor pharmacovigilance.</w:t>
      </w:r>
    </w:p>
    <w:p>
      <w:pPr>
        <w:keepNext/>
        <w:spacing w:after="100" w:before="200" w:line="240" w:lineRule="auto"/>
        <w:jc w:val="left"/>
      </w:pPr>
      <w:r>
        <w:rPr>
          <w:rFonts w:ascii="Times New Roman" w:cs="Times New Roman" w:eastAsia="Times New Roman" w:hAnsi="Times New Roman"/>
          <w:b/>
          <w:bCs/>
          <w:i w:val="false"/>
          <w:iCs w:val="false"/>
          <w:sz w:val="28"/>
          <w:szCs w:val="28"/>
        </w:rPr>
        <w:t xml:space="preserve">Insulin preparations (Glargine N = 283; Aspart N = 346; Lispro N = 287)</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Insulin preparations showed expected signals for blood glucose abnormalities and hypoglycaemia. Insulin glargine showed signals for oedema (</w:t>
      </w:r>
      <w:r>
        <w:rPr>
          <w:rFonts w:ascii="Times New Roman" w:cs="Times New Roman" w:eastAsia="Times New Roman" w:hAnsi="Times New Roman"/>
          <w:b w:val="false"/>
          <w:bCs w:val="false"/>
          <w:i/>
          <w:iCs/>
          <w:sz w:val="20"/>
          <w:szCs w:val="20"/>
        </w:rPr>
        <w:t xml:space="preserve">N=6</w:t>
      </w:r>
      <w:r>
        <w:rPr>
          <w:rFonts w:ascii="Times New Roman" w:cs="Times New Roman" w:eastAsia="Times New Roman" w:hAnsi="Times New Roman"/>
          <w:b w:val="false"/>
          <w:bCs w:val="false"/>
          <w:i w:val="false"/>
          <w:iCs w:val="false"/>
          <w:sz w:val="20"/>
          <w:szCs w:val="20"/>
        </w:rPr>
        <w:t xml:space="preserve">, ROR = 90.01), acute kidney injury (</w:t>
      </w:r>
      <w:r>
        <w:rPr>
          <w:rFonts w:ascii="Times New Roman" w:cs="Times New Roman" w:eastAsia="Times New Roman" w:hAnsi="Times New Roman"/>
          <w:b w:val="false"/>
          <w:bCs w:val="false"/>
          <w:i/>
          <w:iCs/>
          <w:sz w:val="20"/>
          <w:szCs w:val="20"/>
        </w:rPr>
        <w:t xml:space="preserve">N=16</w:t>
      </w:r>
      <w:r>
        <w:rPr>
          <w:rFonts w:ascii="Times New Roman" w:cs="Times New Roman" w:eastAsia="Times New Roman" w:hAnsi="Times New Roman"/>
          <w:b w:val="false"/>
          <w:bCs w:val="false"/>
          <w:i w:val="false"/>
          <w:iCs w:val="false"/>
          <w:sz w:val="20"/>
          <w:szCs w:val="20"/>
        </w:rPr>
        <w:t xml:space="preserve">, ROR = 6.58) and completed suicide (</w:t>
      </w:r>
      <w:r>
        <w:rPr>
          <w:rFonts w:ascii="Times New Roman" w:cs="Times New Roman" w:eastAsia="Times New Roman" w:hAnsi="Times New Roman"/>
          <w:b w:val="false"/>
          <w:bCs w:val="false"/>
          <w:i/>
          <w:iCs/>
          <w:sz w:val="20"/>
          <w:szCs w:val="20"/>
        </w:rPr>
        <w:t xml:space="preserve">N=6</w:t>
      </w:r>
      <w:r>
        <w:rPr>
          <w:rFonts w:ascii="Times New Roman" w:cs="Times New Roman" w:eastAsia="Times New Roman" w:hAnsi="Times New Roman"/>
          <w:b w:val="false"/>
          <w:bCs w:val="false"/>
          <w:i w:val="false"/>
          <w:iCs w:val="false"/>
          <w:sz w:val="20"/>
          <w:szCs w:val="20"/>
        </w:rPr>
        <w:t xml:space="preserve">, ROR = 3.41, 95% CI 1.48-7.83), where insulin was listed as a secondary suspect in all six reports. Insulin aspart showed blood glucose increased (</w:t>
      </w:r>
      <w:r>
        <w:rPr>
          <w:rFonts w:ascii="Times New Roman" w:cs="Times New Roman" w:eastAsia="Times New Roman" w:hAnsi="Times New Roman"/>
          <w:b w:val="false"/>
          <w:bCs w:val="false"/>
          <w:i/>
          <w:iCs/>
          <w:sz w:val="20"/>
          <w:szCs w:val="20"/>
        </w:rPr>
        <w:t xml:space="preserve">N=26</w:t>
      </w:r>
      <w:r>
        <w:rPr>
          <w:rFonts w:ascii="Times New Roman" w:cs="Times New Roman" w:eastAsia="Times New Roman" w:hAnsi="Times New Roman"/>
          <w:b w:val="false"/>
          <w:bCs w:val="false"/>
          <w:i w:val="false"/>
          <w:iCs w:val="false"/>
          <w:sz w:val="20"/>
          <w:szCs w:val="20"/>
        </w:rPr>
        <w:t xml:space="preserve">, ROR = 10.95) and insulin lispro showed blood glucose increased (</w:t>
      </w:r>
      <w:r>
        <w:rPr>
          <w:rFonts w:ascii="Times New Roman" w:cs="Times New Roman" w:eastAsia="Times New Roman" w:hAnsi="Times New Roman"/>
          <w:b w:val="false"/>
          <w:bCs w:val="false"/>
          <w:i/>
          <w:iCs/>
          <w:sz w:val="20"/>
          <w:szCs w:val="20"/>
        </w:rPr>
        <w:t xml:space="preserve">N=13</w:t>
      </w:r>
      <w:r>
        <w:rPr>
          <w:rFonts w:ascii="Times New Roman" w:cs="Times New Roman" w:eastAsia="Times New Roman" w:hAnsi="Times New Roman"/>
          <w:b w:val="false"/>
          <w:bCs w:val="false"/>
          <w:i w:val="false"/>
          <w:iCs w:val="false"/>
          <w:sz w:val="20"/>
          <w:szCs w:val="20"/>
        </w:rPr>
        <w:t xml:space="preserve">, ROR = 6.11) and diabetic ketoacidosis (</w:t>
      </w:r>
      <w:r>
        <w:rPr>
          <w:rFonts w:ascii="Times New Roman" w:cs="Times New Roman" w:eastAsia="Times New Roman" w:hAnsi="Times New Roman"/>
          <w:b w:val="false"/>
          <w:bCs w:val="false"/>
          <w:i/>
          <w:iCs/>
          <w:sz w:val="20"/>
          <w:szCs w:val="20"/>
        </w:rPr>
        <w:t xml:space="preserve">N=6</w:t>
      </w:r>
      <w:r>
        <w:rPr>
          <w:rFonts w:ascii="Times New Roman" w:cs="Times New Roman" w:eastAsia="Times New Roman" w:hAnsi="Times New Roman"/>
          <w:b w:val="false"/>
          <w:bCs w:val="false"/>
          <w:i w:val="false"/>
          <w:iCs w:val="false"/>
          <w:sz w:val="20"/>
          <w:szCs w:val="20"/>
        </w:rPr>
        <w:t xml:space="preserve">, ROR = 8.88).</w:t>
      </w:r>
    </w:p>
    <w:p>
      <w:pPr>
        <w:keepNext/>
        <w:spacing w:after="100" w:before="200" w:line="240" w:lineRule="auto"/>
        <w:jc w:val="left"/>
      </w:pPr>
      <w:r>
        <w:rPr>
          <w:rFonts w:ascii="Times New Roman" w:cs="Times New Roman" w:eastAsia="Times New Roman" w:hAnsi="Times New Roman"/>
          <w:b/>
          <w:bCs/>
          <w:i w:val="false"/>
          <w:iCs w:val="false"/>
          <w:sz w:val="28"/>
          <w:szCs w:val="28"/>
        </w:rPr>
        <w:t xml:space="preserve">Empagliflozin (N = 145) and Tirzepatide (N = 130)</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These newer agents had smaller report volumes. Empagliflozin showed interstitial lung disease (</w:t>
      </w:r>
      <w:r>
        <w:rPr>
          <w:rFonts w:ascii="Times New Roman" w:cs="Times New Roman" w:eastAsia="Times New Roman" w:hAnsi="Times New Roman"/>
          <w:b w:val="false"/>
          <w:bCs w:val="false"/>
          <w:i/>
          <w:iCs/>
          <w:sz w:val="20"/>
          <w:szCs w:val="20"/>
        </w:rPr>
        <w:t xml:space="preserve">N=4</w:t>
      </w:r>
      <w:r>
        <w:rPr>
          <w:rFonts w:ascii="Times New Roman" w:cs="Times New Roman" w:eastAsia="Times New Roman" w:hAnsi="Times New Roman"/>
          <w:b w:val="false"/>
          <w:bCs w:val="false"/>
          <w:i w:val="false"/>
          <w:iCs w:val="false"/>
          <w:sz w:val="20"/>
          <w:szCs w:val="20"/>
        </w:rPr>
        <w:t xml:space="preserve">, ROR = 475.55), hepatic function abnormal (</w:t>
      </w:r>
      <w:r>
        <w:rPr>
          <w:rFonts w:ascii="Times New Roman" w:cs="Times New Roman" w:eastAsia="Times New Roman" w:hAnsi="Times New Roman"/>
          <w:b w:val="false"/>
          <w:bCs w:val="false"/>
          <w:i/>
          <w:iCs/>
          <w:sz w:val="20"/>
          <w:szCs w:val="20"/>
        </w:rPr>
        <w:t xml:space="preserve">N=6</w:t>
      </w:r>
      <w:r>
        <w:rPr>
          <w:rFonts w:ascii="Times New Roman" w:cs="Times New Roman" w:eastAsia="Times New Roman" w:hAnsi="Times New Roman"/>
          <w:b w:val="false"/>
          <w:bCs w:val="false"/>
          <w:i w:val="false"/>
          <w:iCs w:val="false"/>
          <w:sz w:val="20"/>
          <w:szCs w:val="20"/>
        </w:rPr>
        <w:t xml:space="preserve">, ROR = 361.77), and rash papular (</w:t>
      </w:r>
      <w:r>
        <w:rPr>
          <w:rFonts w:ascii="Times New Roman" w:cs="Times New Roman" w:eastAsia="Times New Roman" w:hAnsi="Times New Roman"/>
          <w:b w:val="false"/>
          <w:bCs w:val="false"/>
          <w:i/>
          <w:iCs/>
          <w:sz w:val="20"/>
          <w:szCs w:val="20"/>
        </w:rPr>
        <w:t xml:space="preserve">N=6</w:t>
      </w:r>
      <w:r>
        <w:rPr>
          <w:rFonts w:ascii="Times New Roman" w:cs="Times New Roman" w:eastAsia="Times New Roman" w:hAnsi="Times New Roman"/>
          <w:b w:val="false"/>
          <w:bCs w:val="false"/>
          <w:i w:val="false"/>
          <w:iCs w:val="false"/>
          <w:sz w:val="20"/>
          <w:szCs w:val="20"/>
        </w:rPr>
        <w:t xml:space="preserve">, ROR = 241.17). Tirzepatide, a dual GIP/GLP-1 receptor agonist, showed signals for intestinal obstruction (</w:t>
      </w:r>
      <w:r>
        <w:rPr>
          <w:rFonts w:ascii="Times New Roman" w:cs="Times New Roman" w:eastAsia="Times New Roman" w:hAnsi="Times New Roman"/>
          <w:b w:val="false"/>
          <w:bCs w:val="false"/>
          <w:i/>
          <w:iCs/>
          <w:sz w:val="20"/>
          <w:szCs w:val="20"/>
        </w:rPr>
        <w:t xml:space="preserve">N=4</w:t>
      </w:r>
      <w:r>
        <w:rPr>
          <w:rFonts w:ascii="Times New Roman" w:cs="Times New Roman" w:eastAsia="Times New Roman" w:hAnsi="Times New Roman"/>
          <w:b w:val="false"/>
          <w:bCs w:val="false"/>
          <w:i w:val="false"/>
          <w:iCs w:val="false"/>
          <w:sz w:val="20"/>
          <w:szCs w:val="20"/>
        </w:rPr>
        <w:t xml:space="preserve">, ROR = 106.50), suicidal ideation (</w:t>
      </w:r>
      <w:r>
        <w:rPr>
          <w:rFonts w:ascii="Times New Roman" w:cs="Times New Roman" w:eastAsia="Times New Roman" w:hAnsi="Times New Roman"/>
          <w:b w:val="false"/>
          <w:bCs w:val="false"/>
          <w:i/>
          <w:iCs/>
          <w:sz w:val="20"/>
          <w:szCs w:val="20"/>
        </w:rPr>
        <w:t xml:space="preserve">N=4</w:t>
      </w:r>
      <w:r>
        <w:rPr>
          <w:rFonts w:ascii="Times New Roman" w:cs="Times New Roman" w:eastAsia="Times New Roman" w:hAnsi="Times New Roman"/>
          <w:b w:val="false"/>
          <w:bCs w:val="false"/>
          <w:i w:val="false"/>
          <w:iCs w:val="false"/>
          <w:sz w:val="20"/>
          <w:szCs w:val="20"/>
        </w:rPr>
        <w:t xml:space="preserve">, ROR = 38.02), and pancreatitis (</w:t>
      </w:r>
      <w:r>
        <w:rPr>
          <w:rFonts w:ascii="Times New Roman" w:cs="Times New Roman" w:eastAsia="Times New Roman" w:hAnsi="Times New Roman"/>
          <w:b w:val="false"/>
          <w:bCs w:val="false"/>
          <w:i/>
          <w:iCs/>
          <w:sz w:val="20"/>
          <w:szCs w:val="20"/>
        </w:rPr>
        <w:t xml:space="preserve">N=6</w:t>
      </w:r>
      <w:r>
        <w:rPr>
          <w:rFonts w:ascii="Times New Roman" w:cs="Times New Roman" w:eastAsia="Times New Roman" w:hAnsi="Times New Roman"/>
          <w:b w:val="false"/>
          <w:bCs w:val="false"/>
          <w:i w:val="false"/>
          <w:iCs w:val="false"/>
          <w:sz w:val="20"/>
          <w:szCs w:val="20"/>
        </w:rPr>
        <w:t xml:space="preserve">, ROR = 33.78), consistent with the GLP-1 agonist class profile. A meta-analysis of GLP-1 RA clinical trials in adolescents found the safety profile generally acceptable, with AEs similar to those observed in adults [28], but continued monitoring is warranted.</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Complementary ML-augmented signal validation</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 XGBoost model, trained on a temporally separated 2021-2023 training set and evaluated on a chronologically held-out 2025 test set (</w:t>
      </w:r>
      <w:r>
        <w:rPr>
          <w:rFonts w:ascii="Times New Roman" w:cs="Times New Roman" w:eastAsia="Times New Roman" w:hAnsi="Times New Roman"/>
          <w:b w:val="false"/>
          <w:bCs w:val="false"/>
          <w:i/>
          <w:iCs/>
          <w:sz w:val="20"/>
          <w:szCs w:val="20"/>
        </w:rPr>
        <w:t xml:space="preserve">N=2</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iCs/>
          <w:sz w:val="20"/>
          <w:szCs w:val="20"/>
        </w:rPr>
        <w:t xml:space="preserve">812</w:t>
      </w:r>
      <w:r>
        <w:rPr>
          <w:rFonts w:ascii="Times New Roman" w:cs="Times New Roman" w:eastAsia="Times New Roman" w:hAnsi="Times New Roman"/>
          <w:b w:val="false"/>
          <w:bCs w:val="false"/>
          <w:i w:val="false"/>
          <w:iCs w:val="false"/>
          <w:sz w:val="20"/>
          <w:szCs w:val="20"/>
        </w:rPr>
        <w:t xml:space="preserve">), achieved a temporal Macro-F1 of 0.389 (95% CI 0.353--0.434; XGBoost 3.2.0, seed 42, train-only preprocessing). Macro-F1 was computed over the five outcome classes present in the 2025 partition; Required Intervention had no test cases (support = 0), so F1 is undefined for that class. Including it as a zero-support class gives a six-class Macro-F1 of 0.324, reported here as a sensitivity analysis. Under a conventional random-split setup (80/20, stratified), XGBoost achieved the best Macro-F1 (0.629) among all fitted models in the broad obesity-related panel (</w:t>
      </w:r>
      <w:r>
        <w:rPr>
          <w:rFonts w:ascii="Times New Roman" w:cs="Times New Roman" w:eastAsia="Times New Roman" w:hAnsi="Times New Roman"/>
          <w:b w:val="false"/>
          <w:bCs w:val="false"/>
          <w:i/>
          <w:iCs/>
          <w:sz w:val="20"/>
          <w:szCs w:val="20"/>
        </w:rPr>
        <w:t xml:space="preserve">N=11</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iCs/>
          <w:sz w:val="20"/>
          <w:szCs w:val="20"/>
        </w:rPr>
        <w:t xml:space="preserve">701</w:t>
      </w:r>
      <w:r>
        <w:rPr>
          <w:rFonts w:ascii="Times New Roman" w:cs="Times New Roman" w:eastAsia="Times New Roman" w:hAnsi="Times New Roman"/>
          <w:b w:val="false"/>
          <w:bCs w:val="false"/>
          <w:i w:val="false"/>
          <w:iCs w:val="false"/>
          <w:sz w:val="20"/>
          <w:szCs w:val="20"/>
        </w:rPr>
        <w:t xml:space="preserve">), ahead of Random Forest (0.563). This random-split figure reproduces the original analysis pipeline, in which the category encoders and the feature scaler were fitted on the complete dataset before splitting; it is therefore optimistically biased and is reported only for comparison with the temporal result, not as a performance estimate. The PT-only lookup baseline, which assigns each report the most frequent training-period outcome for its Preferred Term, attained a temporal Macro-F1 of 0.594 (95% CI 0.545--0.626), exceeding the fitted XGBoost model. This is a direct consequence of the outcome-label construction: approximately half of outcome codes were imputed from the Preferred Term, so the lookup partially recovers the imputation rule.</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McNemar's test (Table 5) confirmed that XGBoost significantly outperformed the majority-class, logistic regression, decision tree, and random forest comparators (</w:t>
      </w:r>
      <w:r>
        <w:rPr>
          <w:rFonts w:ascii="Times New Roman" w:cs="Times New Roman" w:eastAsia="Times New Roman" w:hAnsi="Times New Roman"/>
          <w:b w:val="false"/>
          <w:bCs w:val="false"/>
          <w:i/>
          <w:iCs/>
          <w:sz w:val="20"/>
          <w:szCs w:val="20"/>
        </w:rPr>
        <w:t xml:space="preserve">p&lt;0.001</w:t>
      </w:r>
      <w:r>
        <w:rPr>
          <w:rFonts w:ascii="Times New Roman" w:cs="Times New Roman" w:eastAsia="Times New Roman" w:hAnsi="Times New Roman"/>
          <w:b w:val="false"/>
          <w:bCs w:val="false"/>
          <w:i w:val="false"/>
          <w:iCs w:val="false"/>
          <w:sz w:val="20"/>
          <w:szCs w:val="20"/>
        </w:rPr>
        <w:t xml:space="preserve"> for all). The PT-only lookup baseline, however, significantly outperformed XGBoost (</w:t>
      </w:r>
      <w:r>
        <w:rPr>
          <w:rFonts w:ascii="Times New Roman" w:cs="Times New Roman" w:eastAsia="Times New Roman" w:hAnsi="Times New Roman"/>
          <w:b w:val="false"/>
          <w:bCs w:val="false"/>
          <w:i/>
          <w:iCs/>
          <w:sz w:val="20"/>
          <w:szCs w:val="20"/>
        </w:rPr>
        <w:t xml:space="preserve">b=134</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c=453</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χ</w:t>
      </w:r>
      <w:r>
        <w:rPr>
          <w:rFonts w:ascii="Times New Roman" w:cs="Times New Roman" w:eastAsia="Times New Roman" w:hAnsi="Times New Roman"/>
          <w:b w:val="false"/>
          <w:bCs w:val="false"/>
          <w:i/>
          <w:iCs/>
          <w:sz w:val="20"/>
          <w:szCs w:val="20"/>
          <w:vertAlign w:val="superscript"/>
        </w:rPr>
        <w:t xml:space="preserve">2</w:t>
      </w:r>
      <w:r>
        <w:rPr>
          <w:rFonts w:ascii="Times New Roman" w:cs="Times New Roman" w:eastAsia="Times New Roman" w:hAnsi="Times New Roman"/>
          <w:b w:val="false"/>
          <w:bCs w:val="false"/>
          <w:i/>
          <w:iCs/>
          <w:sz w:val="20"/>
          <w:szCs w:val="20"/>
        </w:rPr>
        <w:t xml:space="preserve">=172.27</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p=2.4 × 10</w:t>
      </w:r>
      <w:r>
        <w:rPr>
          <w:rFonts w:ascii="Times New Roman" w:cs="Times New Roman" w:eastAsia="Times New Roman" w:hAnsi="Times New Roman"/>
          <w:b w:val="false"/>
          <w:bCs w:val="false"/>
          <w:i/>
          <w:iCs/>
          <w:sz w:val="20"/>
          <w:szCs w:val="20"/>
          <w:vertAlign w:val="superscript"/>
        </w:rPr>
        <w:t xml:space="preserve">-39</w:t>
      </w:r>
      <w:r>
        <w:rPr>
          <w:rFonts w:ascii="Times New Roman" w:cs="Times New Roman" w:eastAsia="Times New Roman" w:hAnsi="Times New Roman"/>
          <w:b w:val="false"/>
          <w:bCs w:val="false"/>
          <w:i w:val="false"/>
          <w:iCs w:val="false"/>
          <w:sz w:val="20"/>
          <w:szCs w:val="20"/>
        </w:rPr>
        <w:t xml:space="preserve">), attaining a temporal Macro-F1 of 0.594 versus 0.389. This result is a direct consequence of outcome-label construction (Stage 1 pseudo-labelling derived labels from the Preferred Term, which is also model feature 13); it is quantified and disclosed as a limitation rather than treated as evidence of a fundamental model failure.</w:t>
      </w:r>
    </w:p>
    <w:p>
      <w:pPr>
        <w:keepNext/>
        <w:spacing w:after="80" w:before="200" w:line="240" w:lineRule="auto"/>
      </w:pPr>
      <w:r>
        <w:rPr>
          <w:rFonts w:ascii="Times New Roman" w:cs="Times New Roman" w:eastAsia="Times New Roman" w:hAnsi="Times New Roman"/>
          <w:b/>
          <w:bCs/>
          <w:sz w:val="20"/>
          <w:szCs w:val="20"/>
        </w:rPr>
        <w:t xml:space="preserve">Table 5.</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McNemar's test: pairwise comparison of XGBoost (temporal evaluation, 2025 test set, </w:t>
      </w:r>
      <w:r>
        <w:rPr>
          <w:rFonts w:ascii="Times New Roman" w:cs="Times New Roman" w:eastAsia="Times New Roman" w:hAnsi="Times New Roman"/>
          <w:b w:val="false"/>
          <w:bCs w:val="false"/>
          <w:i/>
          <w:iCs/>
          <w:sz w:val="20"/>
          <w:szCs w:val="20"/>
        </w:rPr>
        <w:t xml:space="preserve">N=2</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iCs/>
          <w:sz w:val="20"/>
          <w:szCs w:val="20"/>
        </w:rPr>
        <w:t xml:space="preserve">812</w:t>
      </w:r>
      <w:r>
        <w:rPr>
          <w:rFonts w:ascii="Times New Roman" w:cs="Times New Roman" w:eastAsia="Times New Roman" w:hAnsi="Times New Roman"/>
          <w:b w:val="false"/>
          <w:bCs w:val="false"/>
          <w:i w:val="false"/>
          <w:iCs w:val="false"/>
          <w:sz w:val="20"/>
          <w:szCs w:val="20"/>
        </w:rPr>
        <w:t xml:space="preserve">) against baseline classifiers on the broad obesity-related panel.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rPr>
        <w:t xml:space="preserve"> = cases where XGBoost is correct and the comparator is wrong;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rPr>
        <w:t xml:space="preserve"> = cases where XGBoost is wrong and the comparator is correct. All results reproduced with XGBoost 3.2.0, seed 42, train-only preprocessing.</w:t>
      </w:r>
    </w:p>
    <w:tbl>
      <w:tblPr>
        <w:tblW w:type="dxa" w:w="6553"/>
        <w:jc w:val="center"/>
        <w:tblBorders>
          <w:top w:val="single" w:color="auto" w:sz="4"/>
          <w:left w:val="single" w:color="auto" w:sz="4"/>
          <w:bottom w:val="single" w:color="auto" w:sz="4"/>
          <w:right w:val="single" w:color="auto" w:sz="4"/>
          <w:insideH w:val="single" w:color="auto" w:sz="4"/>
          <w:insideV w:val="single" w:color="auto" w:sz="4"/>
        </w:tblBorders>
      </w:tblPr>
      <w:tblGrid>
        <w:gridCol w:w="2683"/>
        <w:gridCol w:w="503"/>
        <w:gridCol w:w="500"/>
        <w:gridCol w:w="719"/>
        <w:gridCol w:w="1110"/>
        <w:gridCol w:w="1038"/>
      </w:tblGrid>
      <w:tr>
        <w:trPr>
          <w:cantSplit/>
          <w:tblHeader w:val="false"/>
        </w:trPr>
        <w:tc>
          <w:tcPr>
            <w:tcW w:type="dxa" w:w="2683"/>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bCs/>
                <w:i w:val="false"/>
                <w:iCs w:val="false"/>
                <w:sz w:val="16"/>
                <w:szCs w:val="16"/>
              </w:rPr>
              <w:t xml:space="preserve">Comparison</w:t>
            </w:r>
          </w:p>
        </w:tc>
        <w:tc>
          <w:tcPr>
            <w:tcW w:type="dxa" w:w="503"/>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iCs/>
                <w:sz w:val="16"/>
                <w:szCs w:val="16"/>
              </w:rPr>
              <w:t xml:space="preserve">b</w:t>
            </w:r>
          </w:p>
        </w:tc>
        <w:tc>
          <w:tcPr>
            <w:tcW w:type="dxa" w:w="50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iCs/>
                <w:sz w:val="16"/>
                <w:szCs w:val="16"/>
              </w:rPr>
              <w:t xml:space="preserve">c</w:t>
            </w:r>
          </w:p>
        </w:tc>
        <w:tc>
          <w:tcPr>
            <w:tcW w:type="dxa" w:w="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iCs/>
                <w:sz w:val="16"/>
                <w:szCs w:val="16"/>
              </w:rPr>
              <w:t xml:space="preserve">χ</w:t>
            </w:r>
            <w:r>
              <w:rPr>
                <w:rFonts w:ascii="Times New Roman" w:cs="Times New Roman" w:eastAsia="Times New Roman" w:hAnsi="Times New Roman"/>
                <w:b/>
                <w:bCs/>
                <w:i/>
                <w:iCs/>
                <w:sz w:val="16"/>
                <w:szCs w:val="16"/>
                <w:vertAlign w:val="superscript"/>
              </w:rPr>
              <w:t xml:space="preserve">2</w:t>
            </w:r>
          </w:p>
        </w:tc>
        <w:tc>
          <w:tcPr>
            <w:tcW w:type="dxa" w:w="111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iCs/>
                <w:sz w:val="16"/>
                <w:szCs w:val="16"/>
              </w:rPr>
              <w:t xml:space="preserve">p</w:t>
            </w:r>
            <w:r>
              <w:rPr>
                <w:rFonts w:ascii="Times New Roman" w:cs="Times New Roman" w:eastAsia="Times New Roman" w:hAnsi="Times New Roman"/>
                <w:b/>
                <w:bCs/>
                <w:i w:val="false"/>
                <w:iCs w:val="false"/>
                <w:sz w:val="16"/>
                <w:szCs w:val="16"/>
              </w:rPr>
              <w:t xml:space="preserve">-value</w:t>
            </w:r>
          </w:p>
        </w:tc>
        <w:tc>
          <w:tcPr>
            <w:tcW w:type="dxa" w:w="1038"/>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Winner</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XGBoost vs. Majority Class</w:t>
            </w:r>
          </w:p>
        </w:tc>
        <w:tc>
          <w:tcPr>
            <w:tcW w:type="dxa" w:w="503"/>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433</w:t>
            </w:r>
          </w:p>
        </w:tc>
        <w:tc>
          <w:tcPr>
            <w:tcW w:type="dxa" w:w="50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193</w:t>
            </w:r>
          </w:p>
        </w:tc>
        <w:tc>
          <w:tcPr>
            <w:tcW w:type="dxa" w:w="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91.25</w:t>
            </w:r>
          </w:p>
        </w:tc>
        <w:tc>
          <w:tcPr>
            <w:tcW w:type="dxa" w:w="111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1.3 × 10</w:t>
            </w:r>
            <w:r>
              <w:rPr>
                <w:rFonts w:ascii="Times New Roman" w:cs="Times New Roman" w:eastAsia="Times New Roman" w:hAnsi="Times New Roman"/>
                <w:b w:val="false"/>
                <w:bCs w:val="false"/>
                <w:i/>
                <w:iCs/>
                <w:sz w:val="16"/>
                <w:szCs w:val="16"/>
                <w:vertAlign w:val="superscript"/>
              </w:rPr>
              <w:t xml:space="preserve">-21</w:t>
            </w:r>
          </w:p>
        </w:tc>
        <w:tc>
          <w:tcPr>
            <w:tcW w:type="dxa" w:w="1038"/>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XGBoost</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XGBoost vs. Logistic Regression</w:t>
            </w:r>
          </w:p>
        </w:tc>
        <w:tc>
          <w:tcPr>
            <w:tcW w:type="dxa" w:w="503"/>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441</w:t>
            </w:r>
          </w:p>
        </w:tc>
        <w:tc>
          <w:tcPr>
            <w:tcW w:type="dxa" w:w="50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202</w:t>
            </w:r>
          </w:p>
        </w:tc>
        <w:tc>
          <w:tcPr>
            <w:tcW w:type="dxa" w:w="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88.09</w:t>
            </w:r>
          </w:p>
        </w:tc>
        <w:tc>
          <w:tcPr>
            <w:tcW w:type="dxa" w:w="111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6.2 × 10</w:t>
            </w:r>
            <w:r>
              <w:rPr>
                <w:rFonts w:ascii="Times New Roman" w:cs="Times New Roman" w:eastAsia="Times New Roman" w:hAnsi="Times New Roman"/>
                <w:b w:val="false"/>
                <w:bCs w:val="false"/>
                <w:i/>
                <w:iCs/>
                <w:sz w:val="16"/>
                <w:szCs w:val="16"/>
                <w:vertAlign w:val="superscript"/>
              </w:rPr>
              <w:t xml:space="preserve">-21</w:t>
            </w:r>
          </w:p>
        </w:tc>
        <w:tc>
          <w:tcPr>
            <w:tcW w:type="dxa" w:w="1038"/>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XGBoost</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XGBoost vs. Decision Tree</w:t>
            </w:r>
          </w:p>
        </w:tc>
        <w:tc>
          <w:tcPr>
            <w:tcW w:type="dxa" w:w="503"/>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441</w:t>
            </w:r>
          </w:p>
        </w:tc>
        <w:tc>
          <w:tcPr>
            <w:tcW w:type="dxa" w:w="50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294</w:t>
            </w:r>
          </w:p>
        </w:tc>
        <w:tc>
          <w:tcPr>
            <w:tcW w:type="dxa" w:w="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29.00</w:t>
            </w:r>
          </w:p>
        </w:tc>
        <w:tc>
          <w:tcPr>
            <w:tcW w:type="dxa" w:w="111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7.2 × 10</w:t>
            </w:r>
            <w:r>
              <w:rPr>
                <w:rFonts w:ascii="Times New Roman" w:cs="Times New Roman" w:eastAsia="Times New Roman" w:hAnsi="Times New Roman"/>
                <w:b w:val="false"/>
                <w:bCs w:val="false"/>
                <w:i/>
                <w:iCs/>
                <w:sz w:val="16"/>
                <w:szCs w:val="16"/>
                <w:vertAlign w:val="superscript"/>
              </w:rPr>
              <w:t xml:space="preserve">-8</w:t>
            </w:r>
          </w:p>
        </w:tc>
        <w:tc>
          <w:tcPr>
            <w:tcW w:type="dxa" w:w="1038"/>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XGBoost</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XGBoost vs. Random Forest</w:t>
            </w:r>
          </w:p>
        </w:tc>
        <w:tc>
          <w:tcPr>
            <w:tcW w:type="dxa" w:w="503"/>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358</w:t>
            </w:r>
          </w:p>
        </w:tc>
        <w:tc>
          <w:tcPr>
            <w:tcW w:type="dxa" w:w="50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200</w:t>
            </w:r>
          </w:p>
        </w:tc>
        <w:tc>
          <w:tcPr>
            <w:tcW w:type="dxa" w:w="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44.17</w:t>
            </w:r>
          </w:p>
        </w:tc>
        <w:tc>
          <w:tcPr>
            <w:tcW w:type="dxa" w:w="111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3.0 × 10</w:t>
            </w:r>
            <w:r>
              <w:rPr>
                <w:rFonts w:ascii="Times New Roman" w:cs="Times New Roman" w:eastAsia="Times New Roman" w:hAnsi="Times New Roman"/>
                <w:b w:val="false"/>
                <w:bCs w:val="false"/>
                <w:i/>
                <w:iCs/>
                <w:sz w:val="16"/>
                <w:szCs w:val="16"/>
                <w:vertAlign w:val="superscript"/>
              </w:rPr>
              <w:t xml:space="preserve">-11</w:t>
            </w:r>
          </w:p>
        </w:tc>
        <w:tc>
          <w:tcPr>
            <w:tcW w:type="dxa" w:w="1038"/>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XGBoost</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XGBoost vs. PT-only lookup</w:t>
            </w:r>
          </w:p>
        </w:tc>
        <w:tc>
          <w:tcPr>
            <w:tcW w:type="dxa" w:w="503"/>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134</w:t>
            </w:r>
          </w:p>
        </w:tc>
        <w:tc>
          <w:tcPr>
            <w:tcW w:type="dxa" w:w="50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453</w:t>
            </w:r>
          </w:p>
        </w:tc>
        <w:tc>
          <w:tcPr>
            <w:tcW w:type="dxa" w:w="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172.27</w:t>
            </w:r>
          </w:p>
        </w:tc>
        <w:tc>
          <w:tcPr>
            <w:tcW w:type="dxa" w:w="111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2.4 × 10</w:t>
            </w:r>
            <w:r>
              <w:rPr>
                <w:rFonts w:ascii="Times New Roman" w:cs="Times New Roman" w:eastAsia="Times New Roman" w:hAnsi="Times New Roman"/>
                <w:b w:val="false"/>
                <w:bCs w:val="false"/>
                <w:i/>
                <w:iCs/>
                <w:sz w:val="16"/>
                <w:szCs w:val="16"/>
                <w:vertAlign w:val="superscript"/>
              </w:rPr>
              <w:t xml:space="preserve">-39</w:t>
            </w:r>
          </w:p>
        </w:tc>
        <w:tc>
          <w:tcPr>
            <w:tcW w:type="dxa" w:w="1038"/>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PT-lookup</w:t>
            </w:r>
          </w:p>
        </w:tc>
      </w:tr>
    </w:tbl>
    <w:p>
      <w:pPr>
        <w:spacing w:after="200" w:line="240"/>
      </w:pP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Three illustrative examples demonstrate where the two analytical approaches agree and diverge:</w:t>
      </w:r>
    </w:p>
    <w:p>
      <w:pPr>
        <w:pStyle w:val="ListParagraph"/>
        <w:numPr>
          <w:ilvl w:val="0"/>
          <w:numId w:val="4"/>
        </w:numPr>
        <w:spacing w:after="0" w:line="480" w:lineRule="auto"/>
      </w:pPr>
      <w:r>
        <w:rPr>
          <w:rFonts w:ascii="Times New Roman" w:cs="Times New Roman" w:eastAsia="Times New Roman" w:hAnsi="Times New Roman"/>
          <w:b/>
          <w:bCs/>
          <w:i w:val="false"/>
          <w:iCs w:val="false"/>
          <w:sz w:val="20"/>
          <w:szCs w:val="20"/>
        </w:rPr>
        <w:t xml:space="preserve">Concordance:</w:t>
      </w:r>
      <w:r>
        <w:rPr>
          <w:rFonts w:ascii="Times New Roman" w:cs="Times New Roman" w:eastAsia="Times New Roman" w:hAnsi="Times New Roman"/>
          <w:b w:val="false"/>
          <w:bCs w:val="false"/>
          <w:i w:val="false"/>
          <w:iCs w:val="false"/>
          <w:sz w:val="20"/>
          <w:szCs w:val="20"/>
        </w:rPr>
        <w:t xml:space="preserve"> For Metformin and Lactic Acidosis, the strong four-metric disproportionality signal (ROR = 61.22) matched a high ML-predicted probability of LT/DE outcomes, driven by indication and weight features. Both population-level and case-level evidence pointed in the same direction.</w:t>
      </w:r>
    </w:p>
    <w:p>
      <w:pPr>
        <w:pStyle w:val="ListParagraph"/>
        <w:numPr>
          <w:ilvl w:val="0"/>
          <w:numId w:val="4"/>
        </w:numPr>
        <w:spacing w:after="0" w:line="480" w:lineRule="auto"/>
      </w:pPr>
      <w:r>
        <w:rPr>
          <w:rFonts w:ascii="Times New Roman" w:cs="Times New Roman" w:eastAsia="Times New Roman" w:hAnsi="Times New Roman"/>
          <w:b/>
          <w:bCs/>
          <w:i w:val="false"/>
          <w:iCs w:val="false"/>
          <w:sz w:val="20"/>
          <w:szCs w:val="20"/>
        </w:rPr>
        <w:t xml:space="preserve">Signal without severity discrimination:</w:t>
      </w:r>
      <w:r>
        <w:rPr>
          <w:rFonts w:ascii="Times New Roman" w:cs="Times New Roman" w:eastAsia="Times New Roman" w:hAnsi="Times New Roman"/>
          <w:b w:val="false"/>
          <w:bCs w:val="false"/>
          <w:i w:val="false"/>
          <w:iCs w:val="false"/>
          <w:sz w:val="20"/>
          <w:szCs w:val="20"/>
        </w:rPr>
        <w:t xml:space="preserve"> For Atorvastatin and Myalgia, a strong disproportionality signal (ROR = 16.89) existed alongside weak ML discrimination of outcome severity, indicating that a safety signal can be real without the model being able to classify its clinical consequences reliably.</w:t>
      </w:r>
    </w:p>
    <w:p>
      <w:pPr>
        <w:pStyle w:val="ListParagraph"/>
        <w:numPr>
          <w:ilvl w:val="0"/>
          <w:numId w:val="4"/>
        </w:numPr>
        <w:spacing w:after="0" w:line="480" w:lineRule="auto"/>
      </w:pPr>
      <w:r>
        <w:rPr>
          <w:rFonts w:ascii="Times New Roman" w:cs="Times New Roman" w:eastAsia="Times New Roman" w:hAnsi="Times New Roman"/>
          <w:b/>
          <w:bCs/>
          <w:i w:val="false"/>
          <w:iCs w:val="false"/>
          <w:sz w:val="20"/>
          <w:szCs w:val="20"/>
        </w:rPr>
        <w:t xml:space="preserve">Sparse classes:</w:t>
      </w:r>
      <w:r>
        <w:rPr>
          <w:rFonts w:ascii="Times New Roman" w:cs="Times New Roman" w:eastAsia="Times New Roman" w:hAnsi="Times New Roman"/>
          <w:b w:val="false"/>
          <w:bCs w:val="false"/>
          <w:i w:val="false"/>
          <w:iCs w:val="false"/>
          <w:sz w:val="20"/>
          <w:szCs w:val="20"/>
        </w:rPr>
        <w:t xml:space="preserve"> Required Intervention is represented by only five records in the modelling dataset and by none at all in the 2025 test year, so no interpretable model behaviour can be reported for that class. Disability is similarly sparse. Neither class supports a case-level claim, and both are reported here only to document the limits of the outcome distribution.</w:t>
      </w:r>
    </w:p>
    <w:p>
      <w:pPr>
        <w:keepNext/>
        <w:spacing w:after="160" w:before="320" w:line="240" w:lineRule="auto"/>
        <w:jc w:val="left"/>
      </w:pPr>
      <w:r>
        <w:rPr>
          <w:rFonts w:ascii="Times New Roman" w:cs="Times New Roman" w:eastAsia="Times New Roman" w:hAnsi="Times New Roman"/>
          <w:b/>
          <w:bCs/>
          <w:i w:val="false"/>
          <w:iCs w:val="false"/>
          <w:sz w:val="36"/>
          <w:szCs w:val="36"/>
        </w:rPr>
        <w:t xml:space="preserve">Discussion</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Taken together, this study provides a systematic characterisation of anti-obesity and anti-diabetic medication safety in adolescents aged 12-17 years, drawing on FAERS reports from 2021 through 2025. The discussion is organised around three threads that ran through the analysis: who was affected (demographic characteristics), what specifically went wrong (drug-specific adverse event profiles), and how population-level disproportionality signals compared with case-level machine-learning triage as complementary pharmacovigilance tools.</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As presented in Table 4, the study cohorts exhibited consistent demographic profiles across all four panels, with approximately 54% female predominance. This sex distribution is consistent with previous FAERS-based studies of paediatric populations [6] and may partly reflect the higher prevalence of depression and anxiety-related comorbidities in adolescent females, which often co-occur with obesity and diabetes and drive polypharmacy. The mean age of 14.50-14.63 years indicates that mid-adolescence represents the peak period for these medication reports, consistent with the typical onset of obesity-related pharmacotherapy around puberty. Healthcare professionals constituted the majority of AE reporters (51-56%), reflecting both the clinical setting in which these medications are prescribed and the structured reporting infrastructure in the United States, which contributed the largest share of reports.</w:t>
      </w:r>
    </w:p>
    <w:p>
      <w:pPr>
        <w:spacing w:line="480" w:lineRule="auto"/>
        <w:ind w:firstLine="283"/>
        <w:jc w:val="left"/>
      </w:pPr>
      <w:r>
        <w:rPr>
          <w:rFonts w:ascii="Times New Roman" w:cs="Times New Roman" w:eastAsia="Times New Roman" w:hAnsi="Times New Roman"/>
          <w:b w:val="false"/>
          <w:bCs w:val="false"/>
          <w:i w:val="false"/>
          <w:iCs w:val="false"/>
          <w:sz w:val="20"/>
          <w:szCs w:val="20"/>
        </w:rPr>
        <w:t>A critical finding was the high rate of outcome missingness (33.9-53.1% across panels). This is a well-documented limitation of FAERS [31] and has important methodological implications: any analysis that treats unreported outcomes as “non-serious” will systematically underestimate the proportion of severe events. This was addressed through a two-stage pseudo-labelling procedure for the ML component, though pseudo-labels should be understood as experimental expansions of the training set, not clinical judgements about what actually happened to that patient.</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 disproportionality analysis confirmed several known drug-adverse-event associations. The strong metformin-lactic acidosis signal (ROR = 61.22, 95% CI 25.21-148.68) is consistent with decades of clinical evidence [9] and recent FAERS analyses in adolescents [30]. While lactic acidosis with metformin is rare (estimated at 3-10 cases per 100,000 patient-years in adults), the signal's strength in this adolescent-specific analysis suggests that continued vigilance is warranted, particularly in patients with renal impairment or concurrent illness. The atorvastatin-myalgia signal aligns with the known class effect of statins [26] and is particularly relevant for adolescent weight management programmes where exercise is a key component. GLP-1 receptor agonist gastrointestinal signals (nausea, vomiting, decreased appetite) are consistent with their pharmacological mechanism of action and have been well-documented in both adult and paediatric populations [27,28].</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 semaglutide optic ischaemic neuropathy signal (ROR = 439.23, 95% CI 99.33-1942.26, </w:t>
      </w:r>
      <w:r>
        <w:rPr>
          <w:rFonts w:ascii="Times New Roman" w:cs="Times New Roman" w:eastAsia="Times New Roman" w:hAnsi="Times New Roman"/>
          <w:b w:val="false"/>
          <w:bCs w:val="false"/>
          <w:i/>
          <w:iCs/>
          <w:sz w:val="20"/>
          <w:szCs w:val="20"/>
        </w:rPr>
        <w:t xml:space="preserve">N=14</w:t>
      </w:r>
      <w:r>
        <w:rPr>
          <w:rFonts w:ascii="Times New Roman" w:cs="Times New Roman" w:eastAsia="Times New Roman" w:hAnsi="Times New Roman"/>
          <w:b w:val="false"/>
          <w:bCs w:val="false"/>
          <w:i w:val="false"/>
          <w:iCs w:val="false"/>
          <w:sz w:val="20"/>
          <w:szCs w:val="20"/>
        </w:rPr>
        <w:t xml:space="preserve">) deserves particular attention. It met all four disproportionality criteria, including the EBGM shrinkage criterion (EBGM = 18.79, EB05 = 11.67), and is therefore a four-metric concordant signal. Concordance across metrics that respond differently to small cell counts strengthens the case that this is a genuine reporting pattern rather than an artefact of 14 reports, although the width of the ROR confidence interval still calls for cautious interpretation. A matched-cohort study first reported an increased risk of nonarteritic anterior ischaemic optic neuropathy in patients prescribed semaglutide [32]. Larger subsequent analyses have been more equivocal: a multi-database network study found a more modest association than originally reported [33], and a 2026 systematic review and meta-analysis did not demonstrate a consistent overall increase, rating the certainty of evidence as low to very low [34]. The adolescent reporting signal observed here should therefore be read as a disproportionality finding requiring confirmation, not as corroboration of an established risk. The signal warrants close monitoring, particularly as semaglutide prescribing in adolescents continues to increase. This finding underscores the importance of applying multiple disproportionality metrics, as recommended by the WHO Uppsala Monitoring Centre and prior methodological guidance [29,35], rather than relying on any single metric.</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 ML component, while not the primary analytical method, provided a complementary perspective. The McNemar's test results (Table 5) confirm that XGBoost significantly outperforms the majority-class, logistic regression, decision tree, and random forest baselines for case-level outcome classification. The PT-only lookup heuristic, however, significantly outperformed XGBoost (</w:t>
      </w:r>
      <w:r>
        <w:rPr>
          <w:rFonts w:ascii="Times New Roman" w:cs="Times New Roman" w:eastAsia="Times New Roman" w:hAnsi="Times New Roman"/>
          <w:b w:val="false"/>
          <w:bCs w:val="false"/>
          <w:i/>
          <w:iCs/>
          <w:sz w:val="20"/>
          <w:szCs w:val="20"/>
        </w:rPr>
        <w:t xml:space="preserve">p=2.4 × 10</w:t>
      </w:r>
      <w:r>
        <w:rPr>
          <w:rFonts w:ascii="Times New Roman" w:cs="Times New Roman" w:eastAsia="Times New Roman" w:hAnsi="Times New Roman"/>
          <w:b w:val="false"/>
          <w:bCs w:val="false"/>
          <w:i/>
          <w:iCs/>
          <w:sz w:val="20"/>
          <w:szCs w:val="20"/>
          <w:vertAlign w:val="superscript"/>
        </w:rPr>
        <w:t xml:space="preserve">-39</w:t>
      </w:r>
      <w:r>
        <w:rPr>
          <w:rFonts w:ascii="Times New Roman" w:cs="Times New Roman" w:eastAsia="Times New Roman" w:hAnsi="Times New Roman"/>
          <w:b w:val="false"/>
          <w:bCs w:val="false"/>
          <w:i w:val="false"/>
          <w:iCs w:val="false"/>
          <w:sz w:val="20"/>
          <w:szCs w:val="20"/>
        </w:rPr>
        <w:t xml:space="preserve">), driven by the partial derivation of outcome labels from the Preferred Term feature. However, the temporal evaluation revealed important limitations: class-specific recall for rare outcomes (Death 0.389, Life-Threatening 0.059) was moderate to poor, indicating that the model would miss many clinically critical cases if used without human oversight. This is interpreted as evidence that ML-based triage should complement, not replace, pharmacovigilance expert review. The gap between random-split performance (Macro-F1 0.629, itself optimistically biased) and temporal performance (Macro-F1 0.389) further illustrates the well-documented problem of dataset shift in pharmacovigilance data [36], where the distribution of drugs, AEs, and reporting patterns changes over time.</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Strengths and limitations</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This study has several strengths. First, this study represents a systematic, multi-metric disproportionality analysis of obesity-related and anti-diabetic drug safety specifically in adolescents. Second, it covers the most recent FAERS data (2021-2025), capturing the period of rapid GLP-1 agonist adoption in paediatric populations, which increased approximately 6-fold among US adolescents and young adults between 2020 and 2023 [37]. Third, it applies all four established signal detection methods (ROR, PRR, IC, EBGM), providing robust multi-dimensional signal evaluation. Fourth, it complements population-level disproportionality with case-level ML analysis and formal statistical comparison (McNemar's test).</w:t>
      </w:r>
    </w:p>
    <w:p>
      <w:pPr>
        <w:spacing w:line="480" w:lineRule="auto"/>
        <w:ind w:firstLine="283"/>
        <w:jc w:val="left"/>
      </w:pPr>
      <w:r>
        <w:rPr>
          <w:rFonts w:ascii="Times New Roman" w:cs="Times New Roman" w:eastAsia="Times New Roman" w:hAnsi="Times New Roman"/>
          <w:b w:val="false"/>
          <w:bCs w:val="false"/>
          <w:i w:val="false"/>
          <w:iCs w:val="false"/>
          <w:sz w:val="20"/>
          <w:szCs w:val="20"/>
        </w:rPr>
        <w:t>However, several limitations must be acknowledged. FAERS data is based on spontaneous reporting and cannot establish causality or estimate incidence rates; all findings should be interpreted as reporting signals, not confirmed adverse drug reactions. Under-reporting, stimulated reporting (e.g., media attention to GLP-1 agonists), and confounding by indication are inherent limitations. No individual case causality assessment was performed; the analysis did not systematically evaluate chronology, dechallenge, rechallenge, or dose-response relationships. The high rate of outcome missingness (approximately half of the broad obesity-related panel) limits both disproportionality and ML analyses. The selected diabetes-related panel (N=342) had limited statistical power for rare-outcome analysis. As the four panels overlap and differ in size, product mix, and missingness, cross-panel comparisons should be interpreted as sensitivity analyses, not independent evidence of generalisation. Because the panels overlap at the case level, a single report contributing more than one panel drug is counted once within each relevant panel; per-drug totals therefore sum to more than the panel case counts and should not be added together. A further limitation concerns the machine-learning component specifically. Approximately half of the reports carried no recorded outcome, and those labels were reconstructed from the adverse-event Preferred Term, which is also one of the thirteen model features. The target is therefore partly derived from a predictor. Two consequences follow, both quantified in the accompanying repository: removing the Preferred Term from the feature set reduces temporal Macro-F1 substantially, and a lookup table that simply returns each Preferred Term's most frequent training-period outcome outperforms every fitted model on held-out 2025 data. The case-level results should accordingly be read as a description of how outcome labels relate to reported event terms in FAERS, not as evidence of independent predictive capability, and the SHAP ranking in S2 Fig, in which the Preferred Term dominates, reflects the same dependency. Finally, the empirical Bayes estimates in S8 Table were produced by the signal-detection pipeline rather than recomputed for this report; readers assessing individual pairs should consult all four metrics together, as illustrated by the semaglutide example above, rather than any single metric in isolation.</w:t>
      </w:r>
      <w:r>
        <w:rPr>
          <w:rFonts w:ascii="Times New Roman" w:cs="Times New Roman" w:eastAsia="Times New Roman" w:hAnsi="Times New Roman"/>
          <w:b w:val="false"/>
          <w:bCs w:val="false"/>
          <w:i/>
          <w:iCs/>
          <w:sz w:val="20"/>
          <w:szCs w:val="20"/>
        </w:rPr>
      </w:r>
      <w:r>
        <w:rPr>
          <w:rFonts w:ascii="Times New Roman" w:cs="Times New Roman" w:eastAsia="Times New Roman" w:hAnsi="Times New Roman"/>
          <w:b w:val="false"/>
          <w:bCs w:val="false"/>
          <w:i w:val="false"/>
          <w:iCs w:val="false"/>
          <w:sz w:val="20"/>
          <w:szCs w:val="20"/>
        </w:rPr>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Future research</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Future studies should focus on three priorities. First, prospective clinical studies are needed to confirm the causal relationships suggested by the disproportionality signals identified here, particularly for novel or under-reported AEs. Second, longer-term follow-up of adolescents on GLP-1 receptor agonists is essential, as these medications are increasingly prescribed for extended durations during a critical period of physical development. Third, the ML methodology could be improved through larger training sets, incorporation of drug interaction features, and ensemble approaches that combine population-level and case-level evidence for integrated pharmacovigilance.</w:t>
      </w:r>
    </w:p>
    <w:p>
      <w:pPr>
        <w:keepNext/>
        <w:spacing w:after="160" w:before="320" w:line="240" w:lineRule="auto"/>
        <w:jc w:val="left"/>
      </w:pPr>
      <w:r>
        <w:rPr>
          <w:rFonts w:ascii="Times New Roman" w:cs="Times New Roman" w:eastAsia="Times New Roman" w:hAnsi="Times New Roman"/>
          <w:b/>
          <w:bCs/>
          <w:i w:val="false"/>
          <w:iCs w:val="false"/>
          <w:sz w:val="36"/>
          <w:szCs w:val="36"/>
        </w:rPr>
        <w:t xml:space="preserve">Conclusion</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This four-metric disproportionality analysis of 2021-2025 FAERS data characterised the adverse event profiles of obesity-related and anti-diabetic medications in adolescents aged 12-17 years. The analysis confirmed several known safety signals, including metformin-lactic acidosis (ROR = 61.22), statin-myalgia (ROR = 16.89), and GLP-1 agonist gastrointestinal effects. Additionally, it identified reporting patterns that warrant further investigation, such as the semaglutide-optic ischaemic neuropathy signal (ROR = 439.23) and dapagliflozin-cardiac failure association (ROR = 40.24). The complementary machine-learning analysis demonstrated that case-level triage can augment population-level pharmacovigilance, though with important limitations for rare-outcome detection. As the causal relationships between these medications and the observed adverse events remain to be fully elucidated, additional prospective research is warranted to confirm these findings and enhance medication safety in this vulnerable population.</w:t>
      </w:r>
    </w:p>
    <w:p>
      <w:pPr>
        <w:keepNext/>
        <w:spacing w:after="160" w:before="320" w:line="240" w:lineRule="auto"/>
        <w:jc w:val="left"/>
      </w:pPr>
      <w:r>
        <w:rPr>
          <w:rFonts w:ascii="Times New Roman" w:cs="Times New Roman" w:eastAsia="Times New Roman" w:hAnsi="Times New Roman"/>
          <w:b/>
          <w:bCs/>
          <w:i w:val="false"/>
          <w:iCs w:val="false"/>
          <w:sz w:val="36"/>
          <w:szCs w:val="36"/>
        </w:rPr>
        <w:t xml:space="preserve">Acknowledgments</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 authors thank Maharashtra Institute of Technology (MIT) Vishwaprayag University, Solapur, for institutional support, and the U.S. Food and Drug Administration for making the FAERS data publicly available.</w:t>
      </w:r>
    </w:p>
    <w:p>
      <w:pPr>
        <w:keepNext/>
        <w:spacing w:after="160" w:before="320" w:line="240" w:lineRule="auto"/>
        <w:jc w:val="left"/>
      </w:pPr>
      <w:r>
        <w:rPr>
          <w:rFonts w:ascii="Times New Roman" w:cs="Times New Roman" w:eastAsia="Times New Roman" w:hAnsi="Times New Roman"/>
          <w:b/>
          <w:bCs/>
          <w:i w:val="false"/>
          <w:iCs w:val="false"/>
          <w:sz w:val="36"/>
          <w:szCs w:val="36"/>
        </w:rPr>
        <w:t xml:space="preserve">AI Tool Disclosure</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All ideas, research design, system architecture, model training, data analysis, and scientific conclusions in this work are entirely the authors' own. During the writing and development process, the authors occasionally used AI based tools, specifically ChatGPT (OpenAI), Perplexity AI, Z AI, and Antigravity (a code generation assistant), strictly as reference aids. These tools were consulted only for cross checking specific technical details, clarifying terminology, or verifying code syntax. No AI tool contributed creatively or analytically to the work reported here.</w:t>
      </w:r>
    </w:p>
    <w:p>
      <w:pPr>
        <w:keepNext/>
        <w:spacing w:after="160" w:before="320" w:line="240" w:lineRule="auto"/>
        <w:jc w:val="left"/>
      </w:pPr>
      <w:r>
        <w:rPr>
          <w:rFonts w:ascii="Times New Roman" w:cs="Times New Roman" w:eastAsia="Times New Roman" w:hAnsi="Times New Roman"/>
          <w:b/>
          <w:bCs/>
          <w:i w:val="false"/>
          <w:iCs w:val="false"/>
          <w:sz w:val="36"/>
          <w:szCs w:val="36"/>
        </w:rPr>
        <w:t xml:space="preserve">Data availability</w:t>
      </w:r>
    </w:p>
    <w:p>
      <w:pPr>
        <w:spacing w:line="480" w:lineRule="auto"/>
        <w:ind w:firstLine="283"/>
        <w:jc w:val="left"/>
      </w:pPr>
      <w:r>
        <w:rPr>
          <w:rFonts w:ascii="Times New Roman" w:cs="Times New Roman" w:eastAsia="Times New Roman" w:hAnsi="Times New Roman"/>
          <w:b w:val="false"/>
          <w:bCs w:val="false"/>
          <w:i w:val="false"/>
          <w:iCs w:val="false"/>
          <w:sz w:val="20"/>
          <w:szCs w:val="20"/>
        </w:rPr>
        <w:t>The FAERS quarterly ASCII data files that constitute the sole primary data source for this study are publicly available from the U.S. Food and Drug Administration at https://fis.fda.gov/extensions/FPD-QDE-FAERS/FPD-QDE-FAERS.html. All derived data and code required to reproduce the results reported here are archived on Zenodo under the concept DOI https://doi.org/10.5281/zenodo.22767355, which always resolves to the most recent version of the archive. The archive contains: (i) the complete signal-detection output for all 2,098 evaluated drug-event pairs, including the 2×2 cell counts and every ROR, PRR, IC and EBGM value and interval reported in this manuscript (S8 Table); (ii) the chronological machine-learning pipeline, baseline comparators, McNemar tests and bootstrap intervals (code/train_temporal.py) together with its complete output (code/results_temporal.json), from which every value in Table 5 and in the machine-learning subsection can be reproduced; (iii) the figure-regeneration script (code/regen_figs.py) for Figs 1, 3 and 4 and S1 Fig; and (iv) the derived, de-identified, adolescent-restricted, drug-panel-filtered analytic datasets for all four panels. Three limitations of this archive are stated explicitly. First, the source code that computed the ROR, PRR, IC and EBGM statistics is not included; the disproportionality analysis is deposited as its complete numerical output (S8 Table) rather than as executable code, and the archived figure script only reads those columns. Second, Fig 2 (SOC distribution) and S2 Fig (SHAP importance) cannot be regenerated from the archive alone: the former requires the licensed MedDRA Preferred-Term-to-System-Organ-Class mapping and the latter requires the fitted model object. Third, MedDRA is a proprietary dictionary licensed from the MSSO; no MedDRA distribution file is redistributed in the archive, and reproducing the exact SOC mapping requires the reader's own MedDRA licence.</w:t>
      </w:r>
    </w:p>
    <w:p>
      <w:pPr>
        <w:keepNext/>
        <w:spacing w:after="160" w:before="320" w:line="240" w:lineRule="auto"/>
        <w:jc w:val="left"/>
      </w:pPr>
      <w:r>
        <w:rPr>
          <w:rFonts w:ascii="Times New Roman" w:cs="Times New Roman" w:eastAsia="Times New Roman" w:hAnsi="Times New Roman"/>
          <w:b/>
          <w:bCs/>
          <w:i w:val="false"/>
          <w:iCs w:val="false"/>
          <w:sz w:val="36"/>
          <w:szCs w:val="36"/>
        </w:rPr>
        <w:t xml:space="preserve">Author contributions</w:t>
      </w:r>
    </w:p>
    <w:p>
      <w:pPr>
        <w:spacing w:after="60" w:line="240" w:lineRule="auto"/>
        <w:jc w:val="left"/>
      </w:pPr>
      <w:r>
        <w:rPr>
          <w:rFonts w:ascii="Times New Roman" w:cs="Times New Roman" w:eastAsia="Times New Roman" w:hAnsi="Times New Roman"/>
          <w:b/>
          <w:bCs/>
          <w:i w:val="false"/>
          <w:iCs w:val="false"/>
          <w:sz w:val="20"/>
          <w:szCs w:val="20"/>
        </w:rPr>
        <w:t xml:space="preserve">Conceptualization:</w:t>
      </w:r>
      <w:r>
        <w:rPr>
          <w:rFonts w:ascii="Times New Roman" w:cs="Times New Roman" w:eastAsia="Times New Roman" w:hAnsi="Times New Roman"/>
          <w:b w:val="false"/>
          <w:bCs w:val="false"/>
          <w:i w:val="false"/>
          <w:iCs w:val="false"/>
          <w:sz w:val="20"/>
          <w:szCs w:val="20"/>
        </w:rPr>
        <w:t xml:space="preserve"> Atherv Telkar, Amey Telkar.</w:t>
      </w:r>
    </w:p>
    <w:p>
      <w:pPr>
        <w:spacing w:after="60" w:line="240" w:lineRule="auto"/>
        <w:jc w:val="left"/>
      </w:pPr>
      <w:r>
        <w:rPr>
          <w:rFonts w:ascii="Times New Roman" w:cs="Times New Roman" w:eastAsia="Times New Roman" w:hAnsi="Times New Roman"/>
          <w:b/>
          <w:bCs/>
          <w:i w:val="false"/>
          <w:iCs w:val="false"/>
          <w:sz w:val="20"/>
          <w:szCs w:val="20"/>
        </w:rPr>
        <w:t xml:space="preserve">Data curation:</w:t>
      </w:r>
      <w:r>
        <w:rPr>
          <w:rFonts w:ascii="Times New Roman" w:cs="Times New Roman" w:eastAsia="Times New Roman" w:hAnsi="Times New Roman"/>
          <w:b w:val="false"/>
          <w:bCs w:val="false"/>
          <w:i w:val="false"/>
          <w:iCs w:val="false"/>
          <w:sz w:val="20"/>
          <w:szCs w:val="20"/>
        </w:rPr>
        <w:t xml:space="preserve"> Atherv Telkar, Amey Telkar, Darshan Ruikar.</w:t>
      </w:r>
    </w:p>
    <w:p>
      <w:pPr>
        <w:spacing w:after="60" w:line="240" w:lineRule="auto"/>
        <w:jc w:val="left"/>
      </w:pPr>
      <w:r>
        <w:rPr>
          <w:rFonts w:ascii="Times New Roman" w:cs="Times New Roman" w:eastAsia="Times New Roman" w:hAnsi="Times New Roman"/>
          <w:b/>
          <w:bCs/>
          <w:i w:val="false"/>
          <w:iCs w:val="false"/>
          <w:sz w:val="20"/>
          <w:szCs w:val="20"/>
        </w:rPr>
        <w:t xml:space="preserve">Formal analysis:</w:t>
      </w:r>
      <w:r>
        <w:rPr>
          <w:rFonts w:ascii="Times New Roman" w:cs="Times New Roman" w:eastAsia="Times New Roman" w:hAnsi="Times New Roman"/>
          <w:b w:val="false"/>
          <w:bCs w:val="false"/>
          <w:i w:val="false"/>
          <w:iCs w:val="false"/>
          <w:sz w:val="20"/>
          <w:szCs w:val="20"/>
        </w:rPr>
        <w:t xml:space="preserve"> Atherv Telkar, Amey Telkar.</w:t>
      </w:r>
    </w:p>
    <w:p>
      <w:pPr>
        <w:spacing w:after="60" w:line="240" w:lineRule="auto"/>
        <w:jc w:val="left"/>
      </w:pPr>
      <w:r>
        <w:rPr>
          <w:rFonts w:ascii="Times New Roman" w:cs="Times New Roman" w:eastAsia="Times New Roman" w:hAnsi="Times New Roman"/>
          <w:b/>
          <w:bCs/>
          <w:i w:val="false"/>
          <w:iCs w:val="false"/>
          <w:sz w:val="20"/>
          <w:szCs w:val="20"/>
        </w:rPr>
        <w:t xml:space="preserve">Investigation:</w:t>
      </w:r>
      <w:r>
        <w:rPr>
          <w:rFonts w:ascii="Times New Roman" w:cs="Times New Roman" w:eastAsia="Times New Roman" w:hAnsi="Times New Roman"/>
          <w:b w:val="false"/>
          <w:bCs w:val="false"/>
          <w:i w:val="false"/>
          <w:iCs w:val="false"/>
          <w:sz w:val="20"/>
          <w:szCs w:val="20"/>
        </w:rPr>
        <w:t xml:space="preserve"> Atherv Telkar, Amey Telkar, Akshay Javalgikar, Nitin Madanwale.</w:t>
      </w:r>
    </w:p>
    <w:p>
      <w:pPr>
        <w:spacing w:after="60" w:line="240" w:lineRule="auto"/>
        <w:jc w:val="left"/>
      </w:pPr>
      <w:r>
        <w:rPr>
          <w:rFonts w:ascii="Times New Roman" w:cs="Times New Roman" w:eastAsia="Times New Roman" w:hAnsi="Times New Roman"/>
          <w:b/>
          <w:bCs/>
          <w:i w:val="false"/>
          <w:iCs w:val="false"/>
          <w:sz w:val="20"/>
          <w:szCs w:val="20"/>
        </w:rPr>
        <w:t xml:space="preserve">Methodology:</w:t>
      </w:r>
      <w:r>
        <w:rPr>
          <w:rFonts w:ascii="Times New Roman" w:cs="Times New Roman" w:eastAsia="Times New Roman" w:hAnsi="Times New Roman"/>
          <w:b w:val="false"/>
          <w:bCs w:val="false"/>
          <w:i w:val="false"/>
          <w:iCs w:val="false"/>
          <w:sz w:val="20"/>
          <w:szCs w:val="20"/>
        </w:rPr>
        <w:t xml:space="preserve"> Atherv Telkar, Amey Telkar, Preethi Baligar.</w:t>
      </w:r>
    </w:p>
    <w:p>
      <w:pPr>
        <w:spacing w:after="60" w:line="240" w:lineRule="auto"/>
        <w:jc w:val="left"/>
      </w:pPr>
      <w:r>
        <w:rPr>
          <w:rFonts w:ascii="Times New Roman" w:cs="Times New Roman" w:eastAsia="Times New Roman" w:hAnsi="Times New Roman"/>
          <w:b/>
          <w:bCs/>
          <w:i w:val="false"/>
          <w:iCs w:val="false"/>
          <w:sz w:val="20"/>
          <w:szCs w:val="20"/>
        </w:rPr>
        <w:t xml:space="preserve">Software:</w:t>
      </w:r>
      <w:r>
        <w:rPr>
          <w:rFonts w:ascii="Times New Roman" w:cs="Times New Roman" w:eastAsia="Times New Roman" w:hAnsi="Times New Roman"/>
          <w:b w:val="false"/>
          <w:bCs w:val="false"/>
          <w:i w:val="false"/>
          <w:iCs w:val="false"/>
          <w:sz w:val="20"/>
          <w:szCs w:val="20"/>
        </w:rPr>
        <w:t xml:space="preserve"> Atherv Telkar, Amey Telkar.</w:t>
      </w:r>
    </w:p>
    <w:p>
      <w:pPr>
        <w:spacing w:after="60" w:line="240" w:lineRule="auto"/>
        <w:jc w:val="left"/>
      </w:pPr>
      <w:r>
        <w:rPr>
          <w:rFonts w:ascii="Times New Roman" w:cs="Times New Roman" w:eastAsia="Times New Roman" w:hAnsi="Times New Roman"/>
          <w:b/>
          <w:bCs/>
          <w:i w:val="false"/>
          <w:iCs w:val="false"/>
          <w:sz w:val="20"/>
          <w:szCs w:val="20"/>
        </w:rPr>
        <w:t xml:space="preserve">Supervision:</w:t>
      </w:r>
      <w:r>
        <w:rPr>
          <w:rFonts w:ascii="Times New Roman" w:cs="Times New Roman" w:eastAsia="Times New Roman" w:hAnsi="Times New Roman"/>
          <w:b w:val="false"/>
          <w:bCs w:val="false"/>
          <w:i w:val="false"/>
          <w:iCs w:val="false"/>
          <w:sz w:val="20"/>
          <w:szCs w:val="20"/>
        </w:rPr>
        <w:t xml:space="preserve"> Preethi Baligar, Darshan Ruikar.</w:t>
      </w:r>
    </w:p>
    <w:p>
      <w:pPr>
        <w:spacing w:after="60" w:line="240" w:lineRule="auto"/>
        <w:jc w:val="left"/>
      </w:pPr>
      <w:r>
        <w:rPr>
          <w:rFonts w:ascii="Times New Roman" w:cs="Times New Roman" w:eastAsia="Times New Roman" w:hAnsi="Times New Roman"/>
          <w:b/>
          <w:bCs/>
          <w:i w:val="false"/>
          <w:iCs w:val="false"/>
          <w:sz w:val="20"/>
          <w:szCs w:val="20"/>
        </w:rPr>
        <w:t xml:space="preserve">Validation:</w:t>
      </w:r>
      <w:r>
        <w:rPr>
          <w:rFonts w:ascii="Times New Roman" w:cs="Times New Roman" w:eastAsia="Times New Roman" w:hAnsi="Times New Roman"/>
          <w:b w:val="false"/>
          <w:bCs w:val="false"/>
          <w:i w:val="false"/>
          <w:iCs w:val="false"/>
          <w:sz w:val="20"/>
          <w:szCs w:val="20"/>
        </w:rPr>
        <w:t xml:space="preserve"> Akshay Javalgikar, Nitin Madanwale.</w:t>
      </w:r>
    </w:p>
    <w:p>
      <w:pPr>
        <w:spacing w:after="60" w:line="240" w:lineRule="auto"/>
        <w:jc w:val="left"/>
      </w:pPr>
      <w:r>
        <w:rPr>
          <w:rFonts w:ascii="Times New Roman" w:cs="Times New Roman" w:eastAsia="Times New Roman" w:hAnsi="Times New Roman"/>
          <w:b/>
          <w:bCs/>
          <w:i w:val="false"/>
          <w:iCs w:val="false"/>
          <w:sz w:val="20"/>
          <w:szCs w:val="20"/>
        </w:rPr>
        <w:t xml:space="preserve">Writing - original draft:</w:t>
      </w:r>
      <w:r>
        <w:rPr>
          <w:rFonts w:ascii="Times New Roman" w:cs="Times New Roman" w:eastAsia="Times New Roman" w:hAnsi="Times New Roman"/>
          <w:b w:val="false"/>
          <w:bCs w:val="false"/>
          <w:i w:val="false"/>
          <w:iCs w:val="false"/>
          <w:sz w:val="20"/>
          <w:szCs w:val="20"/>
        </w:rPr>
        <w:t xml:space="preserve"> Atherv Telkar, Amey Telkar.</w:t>
      </w:r>
    </w:p>
    <w:p>
      <w:pPr>
        <w:spacing w:after="60" w:line="240" w:lineRule="auto"/>
        <w:jc w:val="left"/>
      </w:pPr>
      <w:r>
        <w:rPr>
          <w:rFonts w:ascii="Times New Roman" w:cs="Times New Roman" w:eastAsia="Times New Roman" w:hAnsi="Times New Roman"/>
          <w:b/>
          <w:bCs/>
          <w:i w:val="false"/>
          <w:iCs w:val="false"/>
          <w:sz w:val="20"/>
          <w:szCs w:val="20"/>
        </w:rPr>
        <w:t xml:space="preserve">Writing - review &amp; editing:</w:t>
      </w:r>
      <w:r>
        <w:rPr>
          <w:rFonts w:ascii="Times New Roman" w:cs="Times New Roman" w:eastAsia="Times New Roman" w:hAnsi="Times New Roman"/>
          <w:b w:val="false"/>
          <w:bCs w:val="false"/>
          <w:i w:val="false"/>
          <w:iCs w:val="false"/>
          <w:sz w:val="20"/>
          <w:szCs w:val="20"/>
        </w:rPr>
        <w:t xml:space="preserve"> Akshay Javalgikar, Nitin Madanwale, Darshan Ruikar, Preethi Baligar.</w:t>
      </w:r>
    </w:p>
    <w:p>
      <w:pPr>
        <w:keepNext/>
        <w:spacing w:after="160" w:before="320" w:line="240" w:lineRule="auto"/>
        <w:jc w:val="left"/>
      </w:pPr>
      <w:r>
        <w:rPr>
          <w:rFonts w:ascii="Times New Roman" w:cs="Times New Roman" w:eastAsia="Times New Roman" w:hAnsi="Times New Roman"/>
          <w:b/>
          <w:bCs/>
          <w:i w:val="false"/>
          <w:iCs w:val="false"/>
          <w:sz w:val="36"/>
          <w:szCs w:val="36"/>
        </w:rPr>
        <w:t xml:space="preserve">References</w:t>
      </w:r>
    </w:p>
    <w:p>
      <w:pPr>
        <w:spacing w:after="40" w:line="240" w:lineRule="auto"/>
        <w:ind w:left="360" w:hanging="360"/>
      </w:pPr>
      <w:r>
        <w:rPr>
          <w:rFonts w:ascii="Times New Roman" w:cs="Times New Roman" w:eastAsia="Times New Roman" w:hAnsi="Times New Roman"/>
          <w:sz w:val="16"/>
          <w:szCs w:val="16"/>
        </w:rPr>
        <w:t xml:space="preserve">1. </w:t>
      </w:r>
      <w:r>
        <w:rPr>
          <w:rFonts w:ascii="Times New Roman" w:cs="Times New Roman" w:eastAsia="Times New Roman" w:hAnsi="Times New Roman"/>
          <w:b w:val="false"/>
          <w:bCs w:val="false"/>
          <w:i w:val="false"/>
          <w:iCs w:val="false"/>
          <w:sz w:val="16"/>
          <w:szCs w:val="16"/>
        </w:rPr>
        <w:t xml:space="preserve">Centers for Disease Control and Prevention. National Health and Nutrition Examination Survey (NHANES): Obesity prevalence among U.S. youth. https://www.cdc.gov/nchs/nhanes. Accessed May 2026.</w:t>
      </w:r>
    </w:p>
    <w:p>
      <w:pPr>
        <w:spacing w:after="40" w:line="240" w:lineRule="auto"/>
        <w:ind w:left="360" w:hanging="360"/>
      </w:pPr>
      <w:r>
        <w:rPr>
          <w:rFonts w:ascii="Times New Roman" w:cs="Times New Roman" w:eastAsia="Times New Roman" w:hAnsi="Times New Roman"/>
          <w:sz w:val="16"/>
          <w:szCs w:val="16"/>
        </w:rPr>
        <w:t xml:space="preserve">2. </w:t>
      </w:r>
      <w:r>
        <w:rPr>
          <w:rFonts w:ascii="Times New Roman" w:cs="Times New Roman" w:eastAsia="Times New Roman" w:hAnsi="Times New Roman"/>
          <w:b w:val="false"/>
          <w:bCs w:val="false"/>
          <w:i w:val="false"/>
          <w:iCs w:val="false"/>
          <w:sz w:val="16"/>
          <w:szCs w:val="16"/>
        </w:rPr>
        <w:t xml:space="preserve">Mayer-Davis EJ, Lawrence JM, Dabelea D, Divers J, Isom S, Dolan L, et al. Incidence trends of type 1 and type 2 diabetes among youths, 2002-2012. N Engl J Med. 2017;376(15):1419-1429. doi:10.1056/NEJMoa1610187</w:t>
      </w:r>
    </w:p>
    <w:p>
      <w:pPr>
        <w:spacing w:after="40" w:line="240" w:lineRule="auto"/>
        <w:ind w:left="360" w:hanging="360"/>
      </w:pPr>
      <w:r>
        <w:rPr>
          <w:rFonts w:ascii="Times New Roman" w:cs="Times New Roman" w:eastAsia="Times New Roman" w:hAnsi="Times New Roman"/>
          <w:sz w:val="16"/>
          <w:szCs w:val="16"/>
        </w:rPr>
        <w:t xml:space="preserve">3. </w:t>
      </w:r>
      <w:r>
        <w:rPr>
          <w:rFonts w:ascii="Times New Roman" w:cs="Times New Roman" w:eastAsia="Times New Roman" w:hAnsi="Times New Roman"/>
          <w:b w:val="false"/>
          <w:bCs w:val="false"/>
          <w:i w:val="false"/>
          <w:iCs w:val="false"/>
          <w:sz w:val="16"/>
          <w:szCs w:val="16"/>
        </w:rPr>
        <w:t xml:space="preserve">Cengiz E, Danne T, Ahmad T, Ayyavoo A, Beran D, Codner E, et al. International Society for Pediatric and Adolescent Diabetes Clinical Practice Consensus Guidelines 2024: Insulin and Adjunctive Treatments in Children and Adolescents with Diabetes. Horm Res Paediatr. 2025;97(6):584-614. doi:10.1159/000543169</w:t>
      </w:r>
    </w:p>
    <w:p>
      <w:pPr>
        <w:spacing w:after="40" w:line="240" w:lineRule="auto"/>
        <w:ind w:left="360" w:hanging="360"/>
      </w:pPr>
      <w:r>
        <w:rPr>
          <w:rFonts w:ascii="Times New Roman" w:cs="Times New Roman" w:eastAsia="Times New Roman" w:hAnsi="Times New Roman"/>
          <w:sz w:val="16"/>
          <w:szCs w:val="16"/>
        </w:rPr>
        <w:t xml:space="preserve">4. </w:t>
      </w:r>
      <w:r>
        <w:rPr>
          <w:rFonts w:ascii="Times New Roman" w:cs="Times New Roman" w:eastAsia="Times New Roman" w:hAnsi="Times New Roman"/>
          <w:b w:val="false"/>
          <w:bCs w:val="false"/>
          <w:i w:val="false"/>
          <w:iCs w:val="false"/>
          <w:sz w:val="16"/>
          <w:szCs w:val="16"/>
        </w:rPr>
        <w:t xml:space="preserve">U.S. Food and Drug Administration. FDA approves treatment for chronic weight management in pediatric patients aged 12 years and older. 2020. https://www.fda.gov/drugs/news-events-human-drugs</w:t>
      </w:r>
    </w:p>
    <w:p>
      <w:pPr>
        <w:spacing w:after="40" w:line="240" w:lineRule="auto"/>
        <w:ind w:left="360" w:hanging="360"/>
      </w:pPr>
      <w:r>
        <w:rPr>
          <w:rFonts w:ascii="Times New Roman" w:cs="Times New Roman" w:eastAsia="Times New Roman" w:hAnsi="Times New Roman"/>
          <w:sz w:val="16"/>
          <w:szCs w:val="16"/>
        </w:rPr>
        <w:t xml:space="preserve">5. </w:t>
      </w:r>
      <w:r>
        <w:rPr>
          <w:rFonts w:ascii="Times New Roman" w:cs="Times New Roman" w:eastAsia="Times New Roman" w:hAnsi="Times New Roman"/>
          <w:b w:val="false"/>
          <w:bCs w:val="false"/>
          <w:i w:val="false"/>
          <w:iCs w:val="false"/>
          <w:sz w:val="16"/>
          <w:szCs w:val="16"/>
        </w:rPr>
        <w:t xml:space="preserve">Kelly AS, Auerbach P, Barrientos-Perez M, Gies I, Hale PM, Marcus C, et al. A randomized, controlled trial of liraglutide for adolescents with obesity. N Engl J Med. 2020;382(22):2117-2128. doi:10.1056/NEJMoa1916038</w:t>
      </w:r>
    </w:p>
    <w:p>
      <w:pPr>
        <w:spacing w:after="40" w:line="240" w:lineRule="auto"/>
        <w:ind w:left="360" w:hanging="360"/>
      </w:pPr>
      <w:r>
        <w:rPr>
          <w:rFonts w:ascii="Times New Roman" w:cs="Times New Roman" w:eastAsia="Times New Roman" w:hAnsi="Times New Roman"/>
          <w:sz w:val="16"/>
          <w:szCs w:val="16"/>
        </w:rPr>
        <w:t xml:space="preserve">6. </w:t>
      </w:r>
      <w:r>
        <w:rPr>
          <w:rFonts w:ascii="Times New Roman" w:cs="Times New Roman" w:eastAsia="Times New Roman" w:hAnsi="Times New Roman"/>
          <w:b w:val="false"/>
          <w:bCs w:val="false"/>
          <w:i w:val="false"/>
          <w:iCs w:val="false"/>
          <w:sz w:val="16"/>
          <w:szCs w:val="16"/>
        </w:rPr>
        <w:t xml:space="preserve">Phan M, Cheng C, Dang V, Wu E, Muñoz MA. Characterization of Pediatric Reports in the US FDA Adverse Event Reporting System from 2010-2020. Ther Innov Regul Sci. 2023;57(5):1062-1073. doi:10.1007/s43441-023-00542-0</w:t>
      </w:r>
    </w:p>
    <w:p>
      <w:pPr>
        <w:spacing w:after="40" w:line="240" w:lineRule="auto"/>
        <w:ind w:left="360" w:hanging="360"/>
      </w:pPr>
      <w:r>
        <w:rPr>
          <w:rFonts w:ascii="Times New Roman" w:cs="Times New Roman" w:eastAsia="Times New Roman" w:hAnsi="Times New Roman"/>
          <w:sz w:val="16"/>
          <w:szCs w:val="16"/>
        </w:rPr>
        <w:t xml:space="preserve">7. </w:t>
      </w:r>
      <w:r>
        <w:rPr>
          <w:rFonts w:ascii="Times New Roman" w:cs="Times New Roman" w:eastAsia="Times New Roman" w:hAnsi="Times New Roman"/>
          <w:b w:val="false"/>
          <w:bCs w:val="false"/>
          <w:i w:val="false"/>
          <w:iCs w:val="false"/>
          <w:sz w:val="16"/>
          <w:szCs w:val="16"/>
        </w:rPr>
        <w:t xml:space="preserve">Kearns GL, Abdel-Rahman SM, Alander SW, Blowey DL, Leeder JS, Kauffman RE. Developmental pharmacology: drug disposition, action, and therapy in infants and children. N Engl J Med. 2003;349(12):1157-1167. doi:10.1056/NEJMra035092</w:t>
      </w:r>
    </w:p>
    <w:p>
      <w:pPr>
        <w:spacing w:after="40" w:line="240" w:lineRule="auto"/>
        <w:ind w:left="360" w:hanging="360"/>
      </w:pPr>
      <w:r>
        <w:rPr>
          <w:rFonts w:ascii="Times New Roman" w:cs="Times New Roman" w:eastAsia="Times New Roman" w:hAnsi="Times New Roman"/>
          <w:sz w:val="16"/>
          <w:szCs w:val="16"/>
        </w:rPr>
        <w:t xml:space="preserve">8. </w:t>
      </w:r>
      <w:r>
        <w:rPr>
          <w:rFonts w:ascii="Times New Roman" w:cs="Times New Roman" w:eastAsia="Times New Roman" w:hAnsi="Times New Roman"/>
          <w:b w:val="false"/>
          <w:bCs w:val="false"/>
          <w:i w:val="false"/>
          <w:iCs w:val="false"/>
          <w:sz w:val="16"/>
          <w:szCs w:val="16"/>
        </w:rPr>
        <w:t xml:space="preserve">Wilding JP, Batterham RL, Calanna S, Davies M, Van Gaal LF, Lingvay I, et al. Once-weekly semaglutide in adults with overweight or obesity. N Engl J Med. 2021;384(11):989-1002. doi:10.1056/NEJMoa2032183</w:t>
      </w:r>
    </w:p>
    <w:p>
      <w:pPr>
        <w:spacing w:after="40" w:line="240" w:lineRule="auto"/>
        <w:ind w:left="360" w:hanging="360"/>
      </w:pPr>
      <w:r>
        <w:rPr>
          <w:rFonts w:ascii="Times New Roman" w:cs="Times New Roman" w:eastAsia="Times New Roman" w:hAnsi="Times New Roman"/>
          <w:sz w:val="16"/>
          <w:szCs w:val="16"/>
        </w:rPr>
        <w:t xml:space="preserve">9. </w:t>
      </w:r>
      <w:r>
        <w:rPr>
          <w:rFonts w:ascii="Times New Roman" w:cs="Times New Roman" w:eastAsia="Times New Roman" w:hAnsi="Times New Roman"/>
          <w:b w:val="false"/>
          <w:bCs w:val="false"/>
          <w:i w:val="false"/>
          <w:iCs w:val="false"/>
          <w:sz w:val="16"/>
          <w:szCs w:val="16"/>
        </w:rPr>
        <w:t xml:space="preserve">DeFronzo R, Fleming GA, Chen K, Bicsak TA. Metformin-associated lactic acidosis: current perspectives on causes and risk. Metabolism. 2016;65(2):20-29. doi:10.1016/j.metabol.2015.10.014</w:t>
      </w:r>
    </w:p>
    <w:p>
      <w:pPr>
        <w:spacing w:after="40" w:line="240" w:lineRule="auto"/>
        <w:ind w:left="360" w:hanging="360"/>
      </w:pPr>
      <w:r>
        <w:rPr>
          <w:rFonts w:ascii="Times New Roman" w:cs="Times New Roman" w:eastAsia="Times New Roman" w:hAnsi="Times New Roman"/>
          <w:sz w:val="16"/>
          <w:szCs w:val="16"/>
        </w:rPr>
        <w:t xml:space="preserve">10. </w:t>
      </w:r>
      <w:r>
        <w:rPr>
          <w:rFonts w:ascii="Times New Roman" w:cs="Times New Roman" w:eastAsia="Times New Roman" w:hAnsi="Times New Roman"/>
          <w:b w:val="false"/>
          <w:bCs w:val="false"/>
          <w:i w:val="false"/>
          <w:iCs w:val="false"/>
          <w:sz w:val="16"/>
          <w:szCs w:val="16"/>
        </w:rPr>
        <w:t xml:space="preserve">Wang W, Volkow ND, Berger NA, Davis PB, Kaelber DC, Xu R. Association of semaglutide with risk of suicidal ideation in a real-world cohort. Nat Med. 2024;30(1):168-176. doi:10.1038/s41591-023-02672-2</w:t>
      </w:r>
    </w:p>
    <w:p>
      <w:pPr>
        <w:spacing w:after="40" w:line="240" w:lineRule="auto"/>
        <w:ind w:left="360" w:hanging="360"/>
      </w:pPr>
      <w:r>
        <w:rPr>
          <w:rFonts w:ascii="Times New Roman" w:cs="Times New Roman" w:eastAsia="Times New Roman" w:hAnsi="Times New Roman"/>
          <w:sz w:val="16"/>
          <w:szCs w:val="16"/>
        </w:rPr>
        <w:t xml:space="preserve">11. </w:t>
      </w:r>
      <w:r>
        <w:rPr>
          <w:rFonts w:ascii="Times New Roman" w:cs="Times New Roman" w:eastAsia="Times New Roman" w:hAnsi="Times New Roman"/>
          <w:b w:val="false"/>
          <w:bCs w:val="false"/>
          <w:i w:val="false"/>
          <w:iCs w:val="false"/>
          <w:sz w:val="16"/>
          <w:szCs w:val="16"/>
        </w:rPr>
        <w:t xml:space="preserve">Sakaeda T, Tamon A, Kadoyama K, Okuno Y. Data mining of the public version of the FDA Adverse Event Reporting System. Int J Med Sci. 2013;10(7):796-803. doi:10.7150/ijms.6048</w:t>
      </w:r>
    </w:p>
    <w:p>
      <w:pPr>
        <w:spacing w:after="40" w:line="240" w:lineRule="auto"/>
        <w:ind w:left="360" w:hanging="360"/>
      </w:pPr>
      <w:r>
        <w:rPr>
          <w:rFonts w:ascii="Times New Roman" w:cs="Times New Roman" w:eastAsia="Times New Roman" w:hAnsi="Times New Roman"/>
          <w:sz w:val="16"/>
          <w:szCs w:val="16"/>
        </w:rPr>
        <w:t xml:space="preserve">12. </w:t>
      </w:r>
      <w:r>
        <w:rPr>
          <w:rFonts w:ascii="Times New Roman" w:cs="Times New Roman" w:eastAsia="Times New Roman" w:hAnsi="Times New Roman"/>
          <w:b w:val="false"/>
          <w:bCs w:val="false"/>
          <w:i w:val="false"/>
          <w:iCs w:val="false"/>
          <w:sz w:val="16"/>
          <w:szCs w:val="16"/>
        </w:rPr>
        <w:t xml:space="preserve">van Puijenbroek EP, Bate A, Leufkens HGM, Lindquist M, Orre R, Egberts ACG. A comparison of measures of disproportionality. Pharmacoepidemiol Drug Saf. 2002;11(1):3-10. doi:10.1002/pds.668</w:t>
      </w:r>
    </w:p>
    <w:p>
      <w:pPr>
        <w:spacing w:after="40" w:line="240" w:lineRule="auto"/>
        <w:ind w:left="360" w:hanging="360"/>
      </w:pPr>
      <w:r>
        <w:rPr>
          <w:rFonts w:ascii="Times New Roman" w:cs="Times New Roman" w:eastAsia="Times New Roman" w:hAnsi="Times New Roman"/>
          <w:sz w:val="16"/>
          <w:szCs w:val="16"/>
        </w:rPr>
        <w:t xml:space="preserve">13. </w:t>
      </w:r>
      <w:r>
        <w:rPr>
          <w:rFonts w:ascii="Times New Roman" w:cs="Times New Roman" w:eastAsia="Times New Roman" w:hAnsi="Times New Roman"/>
          <w:b w:val="false"/>
          <w:bCs w:val="false"/>
          <w:i w:val="false"/>
          <w:iCs w:val="false"/>
          <w:sz w:val="16"/>
          <w:szCs w:val="16"/>
        </w:rPr>
        <w:t xml:space="preserve">Zhou Y, Lu Y, Wu Y, Kong W, Zhou L, Guo X, et al. Safety of antidepressants commonly used in 6-17-year-old children and adolescents: A disproportionality analysis from 2014-2023 on the basis of the FAERS database. PLoS One. 2025;20(8):e0330025. doi:10.1371/journal.pone.0330025</w:t>
      </w:r>
    </w:p>
    <w:p>
      <w:pPr>
        <w:spacing w:after="40" w:line="240" w:lineRule="auto"/>
        <w:ind w:left="360" w:hanging="360"/>
      </w:pPr>
      <w:r>
        <w:rPr>
          <w:rFonts w:ascii="Times New Roman" w:cs="Times New Roman" w:eastAsia="Times New Roman" w:hAnsi="Times New Roman"/>
          <w:sz w:val="16"/>
          <w:szCs w:val="16"/>
        </w:rPr>
        <w:t xml:space="preserve">14. </w:t>
      </w:r>
      <w:r>
        <w:rPr>
          <w:rFonts w:ascii="Times New Roman" w:cs="Times New Roman" w:eastAsia="Times New Roman" w:hAnsi="Times New Roman"/>
          <w:b w:val="false"/>
          <w:bCs w:val="false"/>
          <w:i w:val="false"/>
          <w:iCs w:val="false"/>
          <w:sz w:val="16"/>
          <w:szCs w:val="16"/>
        </w:rPr>
        <w:t xml:space="preserve">Lai JH, Pan YP, Yu ZH, Jang WF, Hu JT, Tang ZH. Mining and analysis of reported ARDS population in FAERS database. PLoS One. 2025;20(11):e0334500. doi:10.1371/journal.pone.0334500</w:t>
      </w:r>
    </w:p>
    <w:p>
      <w:pPr>
        <w:spacing w:after="40" w:line="240" w:lineRule="auto"/>
        <w:ind w:left="360" w:hanging="360"/>
      </w:pPr>
      <w:r>
        <w:rPr>
          <w:rFonts w:ascii="Times New Roman" w:cs="Times New Roman" w:eastAsia="Times New Roman" w:hAnsi="Times New Roman"/>
          <w:sz w:val="16"/>
          <w:szCs w:val="16"/>
        </w:rPr>
        <w:t xml:space="preserve">15. </w:t>
      </w:r>
      <w:r>
        <w:rPr>
          <w:rFonts w:ascii="Times New Roman" w:cs="Times New Roman" w:eastAsia="Times New Roman" w:hAnsi="Times New Roman"/>
          <w:b w:val="false"/>
          <w:bCs w:val="false"/>
          <w:i w:val="false"/>
          <w:iCs w:val="false"/>
          <w:sz w:val="16"/>
          <w:szCs w:val="16"/>
        </w:rPr>
        <w:t xml:space="preserve">Feng J, Zhao S. Respiratory drugs and psychiatric adverse events in children and adolescents: a pharmacovigilance study based on the FAERS. Naunyn Schmiedebergs Arch Pharmacol. 2026;399(7):10535-10547. doi:10.1007/s00210-026-05075-5</w:t>
      </w:r>
    </w:p>
    <w:p>
      <w:pPr>
        <w:spacing w:after="40" w:line="240" w:lineRule="auto"/>
        <w:ind w:left="360" w:hanging="360"/>
      </w:pPr>
      <w:r>
        <w:rPr>
          <w:rFonts w:ascii="Times New Roman" w:cs="Times New Roman" w:eastAsia="Times New Roman" w:hAnsi="Times New Roman"/>
          <w:sz w:val="16"/>
          <w:szCs w:val="16"/>
        </w:rPr>
        <w:t xml:space="preserve">16. </w:t>
      </w:r>
      <w:r>
        <w:rPr>
          <w:rFonts w:ascii="Times New Roman" w:cs="Times New Roman" w:eastAsia="Times New Roman" w:hAnsi="Times New Roman"/>
          <w:b w:val="false"/>
          <w:bCs w:val="false"/>
          <w:i w:val="false"/>
          <w:iCs w:val="false"/>
          <w:sz w:val="16"/>
          <w:szCs w:val="16"/>
        </w:rPr>
        <w:t xml:space="preserve">Yang Y, Wang P, Li QX. Safety profile of TNF-</w:t>
      </w:r>
      <w:r>
        <w:rPr>
          <w:rFonts w:ascii="Times New Roman" w:cs="Times New Roman" w:eastAsia="Times New Roman" w:hAnsi="Times New Roman"/>
          <w:b w:val="false"/>
          <w:bCs w:val="false"/>
          <w:i/>
          <w:iCs/>
          <w:sz w:val="16"/>
          <w:szCs w:val="16"/>
        </w:rPr>
        <w:t xml:space="preserve">α</w:t>
      </w:r>
      <w:r>
        <w:rPr>
          <w:rFonts w:ascii="Times New Roman" w:cs="Times New Roman" w:eastAsia="Times New Roman" w:hAnsi="Times New Roman"/>
          <w:b w:val="false"/>
          <w:bCs w:val="false"/>
          <w:i w:val="false"/>
          <w:iCs w:val="false"/>
          <w:sz w:val="16"/>
          <w:szCs w:val="16"/>
        </w:rPr>
        <w:t xml:space="preserve"> inhibitors in pediatric patients: A post-marketing surveillance study based on the FAERS database. PLoS One. 2025;20(12):e0328465. doi:10.1371/journal.pone.0328465</w:t>
      </w:r>
    </w:p>
    <w:p>
      <w:pPr>
        <w:spacing w:after="40" w:line="240" w:lineRule="auto"/>
        <w:ind w:left="360" w:hanging="360"/>
      </w:pPr>
      <w:r>
        <w:rPr>
          <w:rFonts w:ascii="Times New Roman" w:cs="Times New Roman" w:eastAsia="Times New Roman" w:hAnsi="Times New Roman"/>
          <w:sz w:val="16"/>
          <w:szCs w:val="16"/>
        </w:rPr>
        <w:t xml:space="preserve">17. </w:t>
      </w:r>
      <w:r>
        <w:rPr>
          <w:rFonts w:ascii="Times New Roman" w:cs="Times New Roman" w:eastAsia="Times New Roman" w:hAnsi="Times New Roman"/>
          <w:b w:val="false"/>
          <w:bCs w:val="false"/>
          <w:i w:val="false"/>
          <w:iCs w:val="false"/>
          <w:sz w:val="16"/>
          <w:szCs w:val="16"/>
        </w:rPr>
        <w:t xml:space="preserve">Qin N, Gan Y, Ouyang J, Qin J, Tang Y, Wu H, et al. Identification of drug-related cardiovascular risks: A comprehensive analysis using the FAERS database (2004-2024). PLoS One. 2026;21(6):e0349218. doi:10.1371/journal.pone.0349218</w:t>
      </w:r>
    </w:p>
    <w:p>
      <w:pPr>
        <w:spacing w:after="40" w:line="240" w:lineRule="auto"/>
        <w:ind w:left="360" w:hanging="360"/>
      </w:pPr>
      <w:r>
        <w:rPr>
          <w:rFonts w:ascii="Times New Roman" w:cs="Times New Roman" w:eastAsia="Times New Roman" w:hAnsi="Times New Roman"/>
          <w:sz w:val="16"/>
          <w:szCs w:val="16"/>
        </w:rPr>
        <w:t xml:space="preserve">18. </w:t>
      </w:r>
      <w:r>
        <w:rPr>
          <w:rFonts w:ascii="Times New Roman" w:cs="Times New Roman" w:eastAsia="Times New Roman" w:hAnsi="Times New Roman"/>
          <w:b w:val="false"/>
          <w:bCs w:val="false"/>
          <w:i w:val="false"/>
          <w:iCs w:val="false"/>
          <w:sz w:val="16"/>
          <w:szCs w:val="16"/>
        </w:rPr>
        <w:t xml:space="preserve">U.S. Food and Drug Administration. FAERS Public Dashboard. https://fis.fda.gov/extensions/FPD-QDE-FAERS/FPD-QDE-FAERS.html. Accessed June 2026.</w:t>
      </w:r>
    </w:p>
    <w:p>
      <w:pPr>
        <w:spacing w:after="40" w:line="240" w:lineRule="auto"/>
        <w:ind w:left="360" w:hanging="360"/>
      </w:pPr>
      <w:r>
        <w:rPr>
          <w:rFonts w:ascii="Times New Roman" w:cs="Times New Roman" w:eastAsia="Times New Roman" w:hAnsi="Times New Roman"/>
          <w:sz w:val="16"/>
          <w:szCs w:val="16"/>
        </w:rPr>
        <w:t xml:space="preserve">19. </w:t>
      </w:r>
      <w:r>
        <w:rPr>
          <w:rFonts w:ascii="Times New Roman" w:cs="Times New Roman" w:eastAsia="Times New Roman" w:hAnsi="Times New Roman"/>
          <w:b w:val="false"/>
          <w:bCs w:val="false"/>
          <w:i w:val="false"/>
          <w:iCs w:val="false"/>
          <w:sz w:val="16"/>
          <w:szCs w:val="16"/>
        </w:rPr>
        <w:t xml:space="preserve">International Council for Harmonisation (ICH). Medical Dictionary for Regulatory Activities (MedDRA), Version 28.1. ICH; 2025. https://www.meddra.org</w:t>
      </w:r>
    </w:p>
    <w:p>
      <w:pPr>
        <w:spacing w:after="40" w:line="240" w:lineRule="auto"/>
        <w:ind w:left="360" w:hanging="360"/>
      </w:pPr>
      <w:r>
        <w:rPr>
          <w:rFonts w:ascii="Times New Roman" w:cs="Times New Roman" w:eastAsia="Times New Roman" w:hAnsi="Times New Roman"/>
          <w:sz w:val="16"/>
          <w:szCs w:val="16"/>
        </w:rPr>
        <w:t xml:space="preserve">20. </w:t>
      </w:r>
      <w:r>
        <w:rPr>
          <w:rFonts w:ascii="Times New Roman" w:cs="Times New Roman" w:eastAsia="Times New Roman" w:hAnsi="Times New Roman"/>
          <w:b w:val="false"/>
          <w:bCs w:val="false"/>
          <w:i w:val="false"/>
          <w:iCs w:val="false"/>
          <w:sz w:val="16"/>
          <w:szCs w:val="16"/>
        </w:rPr>
        <w:t xml:space="preserve">Rothman KJ, Lanes S, Sacks ST. The reporting odds ratio and its advantages over the proportional reporting ratio. Pharmacoepidemiol Drug Saf. 2004;13(8):519-523. doi:10.1002/pds.1001</w:t>
      </w:r>
    </w:p>
    <w:p>
      <w:pPr>
        <w:spacing w:after="40" w:line="240" w:lineRule="auto"/>
        <w:ind w:left="360" w:hanging="360"/>
      </w:pPr>
      <w:r>
        <w:rPr>
          <w:rFonts w:ascii="Times New Roman" w:cs="Times New Roman" w:eastAsia="Times New Roman" w:hAnsi="Times New Roman"/>
          <w:sz w:val="16"/>
          <w:szCs w:val="16"/>
        </w:rPr>
        <w:t xml:space="preserve">21. </w:t>
      </w:r>
      <w:r>
        <w:rPr>
          <w:rFonts w:ascii="Times New Roman" w:cs="Times New Roman" w:eastAsia="Times New Roman" w:hAnsi="Times New Roman"/>
          <w:b w:val="false"/>
          <w:bCs w:val="false"/>
          <w:i w:val="false"/>
          <w:iCs w:val="false"/>
          <w:sz w:val="16"/>
          <w:szCs w:val="16"/>
        </w:rPr>
        <w:t xml:space="preserve">Evans SJW, Waller PC, Davis S. Use of proportional reporting ratios for signal generation from spontaneous adverse drug reaction reports. Pharmacoepidemiol Drug Saf. 2001;10(6):483-486. doi:10.1002/pds.677</w:t>
      </w:r>
    </w:p>
    <w:p>
      <w:pPr>
        <w:spacing w:after="40" w:line="240" w:lineRule="auto"/>
        <w:ind w:left="360" w:hanging="360"/>
      </w:pPr>
      <w:r>
        <w:rPr>
          <w:rFonts w:ascii="Times New Roman" w:cs="Times New Roman" w:eastAsia="Times New Roman" w:hAnsi="Times New Roman"/>
          <w:sz w:val="16"/>
          <w:szCs w:val="16"/>
        </w:rPr>
        <w:t xml:space="preserve">22. </w:t>
      </w:r>
      <w:r>
        <w:rPr>
          <w:rFonts w:ascii="Times New Roman" w:cs="Times New Roman" w:eastAsia="Times New Roman" w:hAnsi="Times New Roman"/>
          <w:b w:val="false"/>
          <w:bCs w:val="false"/>
          <w:i w:val="false"/>
          <w:iCs w:val="false"/>
          <w:sz w:val="16"/>
          <w:szCs w:val="16"/>
        </w:rPr>
        <w:t xml:space="preserve">Bate A, Lindquist M, Edwards IR, Olsson S, Orre R, Lansner A, et al. A Bayesian neural network method for adverse drug reaction signal generation. Eur J Clin Pharmacol. 1998;54(4):315-321. doi:10.1007/s002280050466</w:t>
      </w:r>
    </w:p>
    <w:p>
      <w:pPr>
        <w:spacing w:after="40" w:line="240" w:lineRule="auto"/>
        <w:ind w:left="360" w:hanging="360"/>
      </w:pPr>
      <w:r>
        <w:rPr>
          <w:rFonts w:ascii="Times New Roman" w:cs="Times New Roman" w:eastAsia="Times New Roman" w:hAnsi="Times New Roman"/>
          <w:sz w:val="16"/>
          <w:szCs w:val="16"/>
        </w:rPr>
        <w:t xml:space="preserve">23. </w:t>
      </w:r>
      <w:r>
        <w:rPr>
          <w:rFonts w:ascii="Times New Roman" w:cs="Times New Roman" w:eastAsia="Times New Roman" w:hAnsi="Times New Roman"/>
          <w:b w:val="false"/>
          <w:bCs w:val="false"/>
          <w:i w:val="false"/>
          <w:iCs w:val="false"/>
          <w:sz w:val="16"/>
          <w:szCs w:val="16"/>
        </w:rPr>
        <w:t xml:space="preserve">DuMouchel W. Bayesian data mining in large frequency tables, with application to the FDA spontaneous reporting system. Am Stat. 1999;53(3):177-190. doi:10.1080/00031305.1999.10474456</w:t>
      </w:r>
    </w:p>
    <w:p>
      <w:pPr>
        <w:spacing w:after="40" w:line="240" w:lineRule="auto"/>
        <w:ind w:left="360" w:hanging="360"/>
      </w:pPr>
      <w:r>
        <w:rPr>
          <w:rFonts w:ascii="Times New Roman" w:cs="Times New Roman" w:eastAsia="Times New Roman" w:hAnsi="Times New Roman"/>
          <w:sz w:val="16"/>
          <w:szCs w:val="16"/>
        </w:rPr>
        <w:t xml:space="preserve">24. </w:t>
      </w:r>
      <w:r>
        <w:rPr>
          <w:rFonts w:ascii="Times New Roman" w:cs="Times New Roman" w:eastAsia="Times New Roman" w:hAnsi="Times New Roman"/>
          <w:b w:val="false"/>
          <w:bCs w:val="false"/>
          <w:i w:val="false"/>
          <w:iCs w:val="false"/>
          <w:sz w:val="16"/>
          <w:szCs w:val="16"/>
        </w:rPr>
        <w:t xml:space="preserve">Chen T, Guestrin C. XGBoost: A Scalable Tree Boosting System. Proc 22nd ACM SIGKDD Int Conf Knowl Discov Data Min. 2016:785-794. doi:10.1145/2939672.2939785</w:t>
      </w:r>
    </w:p>
    <w:p>
      <w:pPr>
        <w:spacing w:after="40" w:line="240" w:lineRule="auto"/>
        <w:ind w:left="360" w:hanging="360"/>
      </w:pPr>
      <w:r>
        <w:rPr>
          <w:rFonts w:ascii="Times New Roman" w:cs="Times New Roman" w:eastAsia="Times New Roman" w:hAnsi="Times New Roman"/>
          <w:sz w:val="16"/>
          <w:szCs w:val="16"/>
        </w:rPr>
        <w:t xml:space="preserve">25. </w:t>
      </w:r>
      <w:r>
        <w:rPr>
          <w:rFonts w:ascii="Times New Roman" w:cs="Times New Roman" w:eastAsia="Times New Roman" w:hAnsi="Times New Roman"/>
          <w:b w:val="false"/>
          <w:bCs w:val="false"/>
          <w:i w:val="false"/>
          <w:iCs w:val="false"/>
          <w:sz w:val="16"/>
          <w:szCs w:val="16"/>
        </w:rPr>
        <w:t xml:space="preserve">Efron B, Tibshirani RJ. An Introduction to the Bootstrap. New York: Chapman &amp; Hall; 1993. doi:10.1007/978-1-4899-4541-9</w:t>
      </w:r>
    </w:p>
    <w:p>
      <w:pPr>
        <w:spacing w:after="40" w:line="240" w:lineRule="auto"/>
        <w:ind w:left="360" w:hanging="360"/>
      </w:pPr>
      <w:r>
        <w:rPr>
          <w:rFonts w:ascii="Times New Roman" w:cs="Times New Roman" w:eastAsia="Times New Roman" w:hAnsi="Times New Roman"/>
          <w:sz w:val="16"/>
          <w:szCs w:val="16"/>
        </w:rPr>
        <w:t xml:space="preserve">26. </w:t>
      </w:r>
      <w:r>
        <w:rPr>
          <w:rFonts w:ascii="Times New Roman" w:cs="Times New Roman" w:eastAsia="Times New Roman" w:hAnsi="Times New Roman"/>
          <w:b w:val="false"/>
          <w:bCs w:val="false"/>
          <w:i w:val="false"/>
          <w:iCs w:val="false"/>
          <w:sz w:val="16"/>
          <w:szCs w:val="16"/>
        </w:rPr>
        <w:t xml:space="preserve">Stroes ES, Thompson PD, Corsini A, Vladutiu GD, Raal FJ, Ray KK, et al. Statin-associated muscle symptoms: impact on statin therapy, European Atherosclerosis Society Consensus Panel Statement. Eur Heart J. 2015;36(17):1012-1022. doi:10.1093/eurheartj/ehv043</w:t>
      </w:r>
    </w:p>
    <w:p>
      <w:pPr>
        <w:spacing w:after="40" w:line="240" w:lineRule="auto"/>
        <w:ind w:left="360" w:hanging="360"/>
      </w:pPr>
      <w:r>
        <w:rPr>
          <w:rFonts w:ascii="Times New Roman" w:cs="Times New Roman" w:eastAsia="Times New Roman" w:hAnsi="Times New Roman"/>
          <w:sz w:val="16"/>
          <w:szCs w:val="16"/>
        </w:rPr>
        <w:t xml:space="preserve">27. </w:t>
      </w:r>
      <w:r>
        <w:rPr>
          <w:rFonts w:ascii="Times New Roman" w:cs="Times New Roman" w:eastAsia="Times New Roman" w:hAnsi="Times New Roman"/>
          <w:b w:val="false"/>
          <w:bCs w:val="false"/>
          <w:i w:val="false"/>
          <w:iCs w:val="false"/>
          <w:sz w:val="16"/>
          <w:szCs w:val="16"/>
        </w:rPr>
        <w:t xml:space="preserve">Friedrichsen MH, Breitschaft A, Tadayon S, Biber A, Carlsson Petri KC. The effect of semaglutide 2.4 mg once weekly on energy intake, appetite, control of eating, and gastric emptying in adults with obesity. Diabetes Obes Metab. 2021;23(3):754-762. doi:10.1111/dom.14280</w:t>
      </w:r>
    </w:p>
    <w:p>
      <w:pPr>
        <w:spacing w:after="40" w:line="240" w:lineRule="auto"/>
        <w:ind w:left="360" w:hanging="360"/>
      </w:pPr>
      <w:r>
        <w:rPr>
          <w:rFonts w:ascii="Times New Roman" w:cs="Times New Roman" w:eastAsia="Times New Roman" w:hAnsi="Times New Roman"/>
          <w:sz w:val="16"/>
          <w:szCs w:val="16"/>
        </w:rPr>
        <w:t xml:space="preserve">28. </w:t>
      </w:r>
      <w:r>
        <w:rPr>
          <w:rFonts w:ascii="Times New Roman" w:cs="Times New Roman" w:eastAsia="Times New Roman" w:hAnsi="Times New Roman"/>
          <w:b w:val="false"/>
          <w:bCs w:val="false"/>
          <w:i w:val="false"/>
          <w:iCs w:val="false"/>
          <w:sz w:val="16"/>
          <w:szCs w:val="16"/>
        </w:rPr>
        <w:t xml:space="preserve">Weghuber D, Barrett T, Barrientos-Pérez M, Gies I, Hesse D, Jeppesen OK, et al. Once-weekly semaglutide in adolescents with obesity. N Engl J Med. 2022;387(24):2245-2257. doi:10.1056/NEJMoa2208601</w:t>
      </w:r>
    </w:p>
    <w:p>
      <w:pPr>
        <w:spacing w:after="40" w:line="240" w:lineRule="auto"/>
        <w:ind w:left="360" w:hanging="360"/>
      </w:pPr>
      <w:r>
        <w:rPr>
          <w:rFonts w:ascii="Times New Roman" w:cs="Times New Roman" w:eastAsia="Times New Roman" w:hAnsi="Times New Roman"/>
          <w:sz w:val="16"/>
          <w:szCs w:val="16"/>
        </w:rPr>
        <w:t xml:space="preserve">29. </w:t>
      </w:r>
      <w:r>
        <w:rPr>
          <w:rFonts w:ascii="Times New Roman" w:cs="Times New Roman" w:eastAsia="Times New Roman" w:hAnsi="Times New Roman"/>
          <w:b w:val="false"/>
          <w:bCs w:val="false"/>
          <w:i w:val="false"/>
          <w:iCs w:val="false"/>
          <w:sz w:val="16"/>
          <w:szCs w:val="16"/>
        </w:rPr>
        <w:t xml:space="preserve">Uppsala Monitoring Centre. The use of the WHO-UMC system for standardised case causality assessment. https://www.who-umc.org/</w:t>
      </w:r>
    </w:p>
    <w:p>
      <w:pPr>
        <w:spacing w:after="40" w:line="240" w:lineRule="auto"/>
        <w:ind w:left="360" w:hanging="360"/>
      </w:pPr>
      <w:r>
        <w:rPr>
          <w:rFonts w:ascii="Times New Roman" w:cs="Times New Roman" w:eastAsia="Times New Roman" w:hAnsi="Times New Roman"/>
          <w:sz w:val="16"/>
          <w:szCs w:val="16"/>
        </w:rPr>
        <w:t xml:space="preserve">30. </w:t>
      </w:r>
      <w:r>
        <w:rPr>
          <w:rFonts w:ascii="Times New Roman" w:cs="Times New Roman" w:eastAsia="Times New Roman" w:hAnsi="Times New Roman"/>
          <w:b w:val="false"/>
          <w:bCs w:val="false"/>
          <w:i w:val="false"/>
          <w:iCs w:val="false"/>
          <w:sz w:val="16"/>
          <w:szCs w:val="16"/>
        </w:rPr>
        <w:t xml:space="preserve">Peng M, Shen P, Joung K-I, Kim KJ. Safety profile of metformin in adolescents with type 2 diabetes: A pharmacovigilance analysis of the FDA Adverse Event Reporting System. PLoS One. 2025;20(11):e0337204. doi:10.1371/journal.pone.0337204</w:t>
      </w:r>
    </w:p>
    <w:p>
      <w:pPr>
        <w:spacing w:after="40" w:line="240" w:lineRule="auto"/>
        <w:ind w:left="360" w:hanging="360"/>
      </w:pPr>
      <w:r>
        <w:rPr>
          <w:rFonts w:ascii="Times New Roman" w:cs="Times New Roman" w:eastAsia="Times New Roman" w:hAnsi="Times New Roman"/>
          <w:sz w:val="16"/>
          <w:szCs w:val="16"/>
        </w:rPr>
        <w:t xml:space="preserve">31. </w:t>
      </w:r>
      <w:r>
        <w:rPr>
          <w:rFonts w:ascii="Times New Roman" w:cs="Times New Roman" w:eastAsia="Times New Roman" w:hAnsi="Times New Roman"/>
          <w:b w:val="false"/>
          <w:bCs w:val="false"/>
          <w:i w:val="false"/>
          <w:iCs w:val="false"/>
          <w:sz w:val="16"/>
          <w:szCs w:val="16"/>
        </w:rPr>
        <w:t xml:space="preserve">Moore TJ, Cohen MR, Furberg CD. Serious adverse drug events reported to the Food and Drug Administration, 1998-2005. Arch Intern Med. 2007;167(16):1752-1759. doi:10.1001/archinte.167.16.1752</w:t>
      </w:r>
    </w:p>
    <w:p>
      <w:pPr>
        <w:spacing w:after="40" w:line="240" w:lineRule="auto"/>
        <w:ind w:left="360" w:hanging="360"/>
      </w:pPr>
      <w:r>
        <w:rPr>
          <w:rFonts w:ascii="Times New Roman" w:cs="Times New Roman" w:eastAsia="Times New Roman" w:hAnsi="Times New Roman"/>
          <w:sz w:val="16"/>
          <w:szCs w:val="16"/>
        </w:rPr>
        <w:t xml:space="preserve">32. </w:t>
      </w:r>
      <w:r>
        <w:rPr>
          <w:rFonts w:ascii="Times New Roman" w:cs="Times New Roman" w:eastAsia="Times New Roman" w:hAnsi="Times New Roman"/>
          <w:b w:val="false"/>
          <w:bCs w:val="false"/>
          <w:i w:val="false"/>
          <w:iCs w:val="false"/>
          <w:sz w:val="16"/>
          <w:szCs w:val="16"/>
        </w:rPr>
        <w:t xml:space="preserve">Hathaway JT, Shah MP, Hathaway DB, Zekavat SM, Krasniqi D, Gittinger JW, et al. Risk of Nonarteritic Anterior Ischemic Optic Neuropathy in Patients Prescribed Semaglutide. JAMA Ophthalmol. 2024;142(8):732-739. doi:10.1001/jamaophthalmol.2024.2296</w:t>
      </w:r>
    </w:p>
    <w:p>
      <w:pPr>
        <w:spacing w:after="40" w:line="240" w:lineRule="auto"/>
        <w:ind w:left="360" w:hanging="360"/>
      </w:pPr>
      <w:r>
        <w:rPr>
          <w:rFonts w:ascii="Times New Roman" w:cs="Times New Roman" w:eastAsia="Times New Roman" w:hAnsi="Times New Roman"/>
          <w:sz w:val="16"/>
          <w:szCs w:val="16"/>
        </w:rPr>
        <w:t xml:space="preserve">33. </w:t>
      </w:r>
      <w:r>
        <w:rPr>
          <w:rFonts w:ascii="Times New Roman" w:cs="Times New Roman" w:eastAsia="Times New Roman" w:hAnsi="Times New Roman"/>
          <w:b w:val="false"/>
          <w:bCs w:val="false"/>
          <w:i w:val="false"/>
          <w:iCs w:val="false"/>
          <w:sz w:val="16"/>
          <w:szCs w:val="16"/>
        </w:rPr>
        <w:t xml:space="preserve">Cai CX, Hribar M, Baxter S, Goetz K, Swaminathan SS, Flowers A, et al. Semaglutide and nonarteritic anterior ischemic optic neuropathy. JAMA Ophthalmol. 2025;143(4):304-314. doi:10.1001/jamaophthalmol.2024.6555</w:t>
      </w:r>
    </w:p>
    <w:p>
      <w:pPr>
        <w:spacing w:after="40" w:line="240" w:lineRule="auto"/>
        <w:ind w:left="360" w:hanging="360"/>
      </w:pPr>
      <w:r>
        <w:rPr>
          <w:rFonts w:ascii="Times New Roman" w:cs="Times New Roman" w:eastAsia="Times New Roman" w:hAnsi="Times New Roman"/>
          <w:sz w:val="16"/>
          <w:szCs w:val="16"/>
        </w:rPr>
        <w:t xml:space="preserve">34. </w:t>
      </w:r>
      <w:r>
        <w:rPr>
          <w:rFonts w:ascii="Times New Roman" w:cs="Times New Roman" w:eastAsia="Times New Roman" w:hAnsi="Times New Roman"/>
          <w:b w:val="false"/>
          <w:bCs w:val="false"/>
          <w:i w:val="false"/>
          <w:iCs w:val="false"/>
          <w:sz w:val="16"/>
          <w:szCs w:val="16"/>
        </w:rPr>
        <w:t xml:space="preserve">Abdelaal A, Abu Serhan H, Alsaadi M, Yaldo L, Gaier ED, Elhusseiny AM. Semaglutide and the risk of nonarteritic ischemic optic neuropathy: a systematic review and certainty of evidence meta-analysis. Ophthalmology. 2026;133(6):799-810. doi:10.1016/j.ophtha.2026.02.013</w:t>
      </w:r>
    </w:p>
    <w:p>
      <w:pPr>
        <w:spacing w:after="40" w:line="240" w:lineRule="auto"/>
        <w:ind w:left="360" w:hanging="360"/>
      </w:pPr>
      <w:r>
        <w:rPr>
          <w:rFonts w:ascii="Times New Roman" w:cs="Times New Roman" w:eastAsia="Times New Roman" w:hAnsi="Times New Roman"/>
          <w:sz w:val="16"/>
          <w:szCs w:val="16"/>
        </w:rPr>
        <w:t xml:space="preserve">35. </w:t>
      </w:r>
      <w:r>
        <w:rPr>
          <w:rFonts w:ascii="Times New Roman" w:cs="Times New Roman" w:eastAsia="Times New Roman" w:hAnsi="Times New Roman"/>
          <w:b w:val="false"/>
          <w:bCs w:val="false"/>
          <w:i w:val="false"/>
          <w:iCs w:val="false"/>
          <w:sz w:val="16"/>
          <w:szCs w:val="16"/>
        </w:rPr>
        <w:t xml:space="preserve">Montastruc JL, Sommet A, Bagheri H, Lapeyre-Mestre M. Benefits and strengths of the disproportionality analysis for identification of adverse drug reactions in a pharmacovigilance database. Br J Clin Pharmacol. 2011;72(6):905-908. doi:10.1111/j.1365-2125.2011.04037.x</w:t>
      </w:r>
    </w:p>
    <w:p>
      <w:pPr>
        <w:spacing w:after="40" w:line="240" w:lineRule="auto"/>
        <w:ind w:left="360" w:hanging="360"/>
      </w:pPr>
      <w:r>
        <w:rPr>
          <w:rFonts w:ascii="Times New Roman" w:cs="Times New Roman" w:eastAsia="Times New Roman" w:hAnsi="Times New Roman"/>
          <w:sz w:val="16"/>
          <w:szCs w:val="16"/>
        </w:rPr>
        <w:t xml:space="preserve">36. </w:t>
      </w:r>
      <w:r>
        <w:rPr>
          <w:rFonts w:ascii="Times New Roman" w:cs="Times New Roman" w:eastAsia="Times New Roman" w:hAnsi="Times New Roman"/>
          <w:b w:val="false"/>
          <w:bCs w:val="false"/>
          <w:i w:val="false"/>
          <w:iCs w:val="false"/>
          <w:sz w:val="16"/>
          <w:szCs w:val="16"/>
        </w:rPr>
        <w:t xml:space="preserve">Finlayson SG, Subbaswamy A, Singh K, Bowers J, Kupke A, Zittrain J, et al. The Clinician and Dataset Shift in Artificial Intelligence. N Engl J Med. 2021;385(3):283-286. doi:10.1056/NEJMc2104626</w:t>
      </w:r>
    </w:p>
    <w:p>
      <w:pPr>
        <w:spacing w:after="40" w:line="240" w:lineRule="auto"/>
        <w:ind w:left="360" w:hanging="360"/>
      </w:pPr>
      <w:r>
        <w:rPr>
          <w:rFonts w:ascii="Times New Roman" w:cs="Times New Roman" w:eastAsia="Times New Roman" w:hAnsi="Times New Roman"/>
          <w:sz w:val="16"/>
          <w:szCs w:val="16"/>
        </w:rPr>
        <w:t xml:space="preserve">37. </w:t>
      </w:r>
      <w:r>
        <w:rPr>
          <w:rFonts w:ascii="Times New Roman" w:cs="Times New Roman" w:eastAsia="Times New Roman" w:hAnsi="Times New Roman"/>
          <w:b w:val="false"/>
          <w:bCs w:val="false"/>
          <w:i w:val="false"/>
          <w:iCs w:val="false"/>
          <w:sz w:val="16"/>
          <w:szCs w:val="16"/>
        </w:rPr>
        <w:t xml:space="preserve">Lee JM, Sharifi M, Oshman L, Griauzde DH, Chua KP. Dispensing of Glucagon-Like Peptide-1 Receptor Agonists to Adolescents and Young Adults, 2020-2023. JAMA. 2024;331(23):2041-2043. doi:10.1001/jama.2024.7112</w:t>
      </w:r>
    </w:p>
    <w:p>
      <w:pPr>
        <w:keepNext/>
        <w:spacing w:after="160" w:before="320" w:line="240" w:lineRule="auto"/>
        <w:jc w:val="left"/>
      </w:pPr>
      <w:r>
        <w:rPr>
          <w:rFonts w:ascii="Times New Roman" w:cs="Times New Roman" w:eastAsia="Times New Roman" w:hAnsi="Times New Roman"/>
          <w:b/>
          <w:bCs/>
          <w:i w:val="false"/>
          <w:iCs w:val="false"/>
          <w:sz w:val="36"/>
          <w:szCs w:val="36"/>
        </w:rPr>
        <w:t xml:space="preserve">Supporting information</w:t>
      </w:r>
    </w:p>
    <w:p>
      <w:pPr>
        <w:spacing w:after="60" w:line="480" w:lineRule="auto"/>
      </w:pPr>
      <w:r>
        <w:rPr>
          <w:rFonts w:ascii="Times New Roman" w:cs="Times New Roman" w:eastAsia="Times New Roman" w:hAnsi="Times New Roman"/>
          <w:b/>
          <w:bCs/>
          <w:i w:val="false"/>
          <w:iCs w:val="false"/>
          <w:sz w:val="20"/>
          <w:szCs w:val="20"/>
        </w:rPr>
        <w:t xml:space="preserve">S1 Table.</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 STROBE checklist for observational studies. (DOCX)</w:t>
      </w:r>
    </w:p>
    <w:p>
      <w:pPr>
        <w:spacing w:after="60" w:line="480" w:lineRule="auto"/>
      </w:pPr>
      <w:r>
        <w:rPr>
          <w:rFonts w:ascii="Times New Roman" w:cs="Times New Roman" w:eastAsia="Times New Roman" w:hAnsi="Times New Roman"/>
          <w:b/>
          <w:bCs/>
          <w:i w:val="false"/>
          <w:iCs w:val="false"/>
          <w:sz w:val="20"/>
          <w:szCs w:val="20"/>
        </w:rPr>
        <w:t xml:space="preserve">S2 Table.</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 TRIPOD+AI checklist for prediction model development and validation. (DOCX)</w:t>
      </w:r>
    </w:p>
    <w:p>
      <w:pPr>
        <w:spacing w:after="60" w:line="480" w:lineRule="auto"/>
      </w:pPr>
      <w:r>
        <w:rPr>
          <w:rFonts w:ascii="Times New Roman" w:cs="Times New Roman" w:eastAsia="Times New Roman" w:hAnsi="Times New Roman"/>
          <w:b/>
          <w:bCs/>
          <w:i w:val="false"/>
          <w:iCs w:val="false"/>
          <w:sz w:val="20"/>
          <w:szCs w:val="20"/>
        </w:rPr>
        <w:t xml:space="preserve">S3 Table.</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 READUS-PV checklist for disproportionality analysis reporting. (DOCX)</w:t>
      </w:r>
    </w:p>
    <w:p>
      <w:pPr>
        <w:spacing w:after="60" w:line="480" w:lineRule="auto"/>
      </w:pPr>
      <w:r>
        <w:rPr>
          <w:rFonts w:ascii="Times New Roman" w:cs="Times New Roman" w:eastAsia="Times New Roman" w:hAnsi="Times New Roman"/>
          <w:b/>
          <w:bCs/>
          <w:i w:val="false"/>
          <w:iCs w:val="false"/>
          <w:sz w:val="20"/>
          <w:szCs w:val="20"/>
        </w:rPr>
        <w:t xml:space="preserve">S4 Table.</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 Complete preprocessing pipeline specification, including data download, deduplication, age filtering, drug normalisation, and MedDRA coding procedures. (DOCX)</w:t>
      </w:r>
    </w:p>
    <w:p>
      <w:pPr>
        <w:spacing w:after="60" w:line="480" w:lineRule="auto"/>
      </w:pPr>
      <w:r>
        <w:rPr>
          <w:rFonts w:ascii="Times New Roman" w:cs="Times New Roman" w:eastAsia="Times New Roman" w:hAnsi="Times New Roman"/>
          <w:b/>
          <w:bCs/>
          <w:i w:val="false"/>
          <w:iCs w:val="false"/>
          <w:sz w:val="20"/>
          <w:szCs w:val="20"/>
        </w:rPr>
        <w:t xml:space="preserve">S5 Table.</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 Full hyperparameter search space and optimal configurations for XGBoost, logistic regression, decision tree, and random forest models. (DOCX)</w:t>
      </w:r>
    </w:p>
    <w:p>
      <w:pPr>
        <w:spacing w:after="60" w:line="480" w:lineRule="auto"/>
      </w:pPr>
      <w:r>
        <w:rPr>
          <w:rFonts w:ascii="Times New Roman" w:cs="Times New Roman" w:eastAsia="Times New Roman" w:hAnsi="Times New Roman"/>
          <w:b/>
          <w:bCs/>
          <w:i w:val="false"/>
          <w:iCs w:val="false"/>
          <w:sz w:val="20"/>
          <w:szCs w:val="20"/>
        </w:rPr>
        <w:t xml:space="preserve">S6 Table.</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 Predictor specification and data-leakage audit. Lists all candidate features with their data types, source tables, leakage risk assessment, and inclusion/exclusion decisions. (DOCX)</w:t>
      </w:r>
    </w:p>
    <w:p>
      <w:pPr>
        <w:spacing w:after="60" w:line="480" w:lineRule="auto"/>
      </w:pPr>
      <w:r>
        <w:rPr>
          <w:rFonts w:ascii="Times New Roman" w:cs="Times New Roman" w:eastAsia="Times New Roman" w:hAnsi="Times New Roman"/>
          <w:b/>
          <w:bCs/>
          <w:i w:val="false"/>
          <w:iCs w:val="false"/>
          <w:sz w:val="20"/>
          <w:szCs w:val="20"/>
        </w:rPr>
        <w:t xml:space="preserve">S7 Table.</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 Temporal dataset shift analysis across training (2021Q1-2023Q4), validation (2024), and test (2025) periods, showing demographic stability, outcome missingness trends, and model performance degradation. (DOCX)</w:t>
      </w:r>
    </w:p>
    <w:p>
      <w:pPr>
        <w:spacing w:after="60" w:line="480" w:lineRule="auto"/>
      </w:pPr>
      <w:r>
        <w:rPr>
          <w:rFonts w:ascii="Times New Roman" w:cs="Times New Roman" w:eastAsia="Times New Roman" w:hAnsi="Times New Roman"/>
          <w:b/>
          <w:bCs/>
          <w:i w:val="false"/>
          <w:iCs w:val="false"/>
          <w:sz w:val="20"/>
          <w:szCs w:val="20"/>
        </w:rPr>
        <w:t xml:space="preserve">S8 Table.</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 Complete signal detection results for all 2,098 drug-event pairs with </w:t>
      </w:r>
      <w:r>
        <w:rPr>
          <w:rFonts w:ascii="Times New Roman" w:cs="Times New Roman" w:eastAsia="Times New Roman" w:hAnsi="Times New Roman"/>
          <w:b w:val="false"/>
          <w:bCs w:val="false"/>
          <w:i/>
          <w:iCs/>
          <w:sz w:val="20"/>
          <w:szCs w:val="20"/>
        </w:rPr>
        <w:t xml:space="preserve">N ≥ 2</w:t>
      </w:r>
      <w:r>
        <w:rPr>
          <w:rFonts w:ascii="Times New Roman" w:cs="Times New Roman" w:eastAsia="Times New Roman" w:hAnsi="Times New Roman"/>
          <w:b w:val="false"/>
          <w:bCs w:val="false"/>
          <w:i w:val="false"/>
          <w:iCs w:val="false"/>
          <w:sz w:val="20"/>
          <w:szCs w:val="20"/>
        </w:rPr>
        <w:t xml:space="preserve"> from the combined obesity and diabetes panels, including the 2</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val="false"/>
          <w:iCs w:val="false"/>
          <w:sz w:val="20"/>
          <w:szCs w:val="20"/>
        </w:rPr>
        <w:t xml:space="preserve">2 cell counts and, for every pair, the ROR with its 95% confidence interval, the PRR and </w:t>
      </w:r>
      <w:r>
        <w:rPr>
          <w:rFonts w:ascii="Times New Roman" w:cs="Times New Roman" w:eastAsia="Times New Roman" w:hAnsi="Times New Roman"/>
          <w:b w:val="false"/>
          <w:bCs w:val="false"/>
          <w:i/>
          <w:iCs/>
          <w:sz w:val="20"/>
          <w:szCs w:val="20"/>
        </w:rPr>
        <w:t xml:space="preserve">χ</w:t>
      </w:r>
      <w:r>
        <w:rPr>
          <w:rFonts w:ascii="Times New Roman" w:cs="Times New Roman" w:eastAsia="Times New Roman" w:hAnsi="Times New Roman"/>
          <w:b w:val="false"/>
          <w:bCs w:val="false"/>
          <w:i/>
          <w:iCs/>
          <w:sz w:val="20"/>
          <w:szCs w:val="20"/>
          <w:vertAlign w:val="superscript"/>
        </w:rPr>
        <w:t xml:space="preserve">2</w:t>
      </w:r>
      <w:r>
        <w:rPr>
          <w:rFonts w:ascii="Times New Roman" w:cs="Times New Roman" w:eastAsia="Times New Roman" w:hAnsi="Times New Roman"/>
          <w:b w:val="false"/>
          <w:bCs w:val="false"/>
          <w:i w:val="false"/>
          <w:iCs w:val="false"/>
          <w:sz w:val="20"/>
          <w:szCs w:val="20"/>
        </w:rPr>
        <w:t xml:space="preserve">, the IC and IC</w:t>
      </w:r>
      <w:r>
        <w:rPr>
          <w:rFonts w:ascii="Times New Roman" w:cs="Times New Roman" w:eastAsia="Times New Roman" w:hAnsi="Times New Roman"/>
          <w:b w:val="false"/>
          <w:bCs w:val="false"/>
          <w:i/>
          <w:iCs/>
          <w:sz w:val="20"/>
          <w:szCs w:val="20"/>
          <w:vertAlign w:val="subscript"/>
        </w:rPr>
        <w:t xml:space="preserve">025</w:t>
      </w:r>
      <w:r>
        <w:rPr>
          <w:rFonts w:ascii="Times New Roman" w:cs="Times New Roman" w:eastAsia="Times New Roman" w:hAnsi="Times New Roman"/>
          <w:b w:val="false"/>
          <w:bCs w:val="false"/>
          <w:i w:val="false"/>
          <w:iCs w:val="false"/>
          <w:sz w:val="20"/>
          <w:szCs w:val="20"/>
        </w:rPr>
        <w:t xml:space="preserve">, and the EBGM and EB05. The Signal column flags the 360 pairs that meet the pre-specified ROR criteria (</w:t>
      </w:r>
      <w:r>
        <w:rPr>
          <w:rFonts w:ascii="Times New Roman" w:cs="Times New Roman" w:eastAsia="Times New Roman" w:hAnsi="Times New Roman"/>
          <w:b w:val="false"/>
          <w:bCs w:val="false"/>
          <w:i/>
          <w:iCs/>
          <w:sz w:val="20"/>
          <w:szCs w:val="20"/>
        </w:rPr>
        <w:t xml:space="preserve">N ≥ 3</w:t>
      </w:r>
      <w:r>
        <w:rPr>
          <w:rFonts w:ascii="Times New Roman" w:cs="Times New Roman" w:eastAsia="Times New Roman" w:hAnsi="Times New Roman"/>
          <w:b w:val="false"/>
          <w:bCs w:val="false"/>
          <w:i w:val="false"/>
          <w:iCs w:val="false"/>
          <w:sz w:val="20"/>
          <w:szCs w:val="20"/>
        </w:rPr>
        <w:t xml:space="preserve"> and 95% CI lower bound </w:t>
      </w:r>
      <w:r>
        <w:rPr>
          <w:rFonts w:ascii="Times New Roman" w:cs="Times New Roman" w:eastAsia="Times New Roman" w:hAnsi="Times New Roman"/>
          <w:b w:val="false"/>
          <w:bCs w:val="false"/>
          <w:i/>
          <w:iCs/>
          <w:sz w:val="20"/>
          <w:szCs w:val="20"/>
        </w:rPr>
        <w:t xml:space="preserve">&gt; 1</w:t>
      </w:r>
      <w:r>
        <w:rPr>
          <w:rFonts w:ascii="Times New Roman" w:cs="Times New Roman" w:eastAsia="Times New Roman" w:hAnsi="Times New Roman"/>
          <w:b w:val="false"/>
          <w:bCs w:val="false"/>
          <w:i w:val="false"/>
          <w:iCs w:val="false"/>
          <w:sz w:val="20"/>
          <w:szCs w:val="20"/>
        </w:rPr>
        <w:t xml:space="preserve">), and a separate column flags the 105 pairs that are concordant across all four metrics; pairs supported by only two reports are retained for transparency but are not counted as signals. For 13 pairs the displayed ROR confidence bound rounds to 1.00 at two decimal places while the full-precision value exceeds 1; these are flagged in the workbook with a rounding note and a four-decimal column, and the criterion is met. (XLSX)</w:t>
      </w:r>
    </w:p>
    <w:p>
      <w:pPr>
        <w:spacing w:after="60" w:line="480" w:lineRule="auto"/>
      </w:pPr>
      <w:r>
        <w:rPr>
          <w:rFonts w:ascii="Times New Roman" w:cs="Times New Roman" w:eastAsia="Times New Roman" w:hAnsi="Times New Roman"/>
          <w:b/>
          <w:bCs/>
          <w:i w:val="false"/>
          <w:iCs w:val="false"/>
          <w:sz w:val="20"/>
          <w:szCs w:val="20"/>
        </w:rPr>
        <w:t xml:space="preserve">S9 Table.</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 Quarter-wise FAERS reporting volume for the adolescent cohort (12-17 years) from 2021 to 2025 across all four drug-exposure panels. (DOCX)</w:t>
      </w:r>
    </w:p>
    <w:p>
      <w:pPr>
        <w:spacing w:after="60" w:line="480" w:lineRule="auto"/>
      </w:pPr>
      <w:r>
        <w:rPr>
          <w:rFonts w:ascii="Times New Roman" w:cs="Times New Roman" w:eastAsia="Times New Roman" w:hAnsi="Times New Roman"/>
          <w:b/>
          <w:bCs/>
          <w:i w:val="false"/>
          <w:iCs w:val="false"/>
          <w:sz w:val="20"/>
          <w:szCs w:val="20"/>
        </w:rPr>
        <w:t xml:space="preserve">S1 Fig.</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 Detailed case-selection flow diagram showing FAERS report counts from raw acquisition through deduplication, age filtering, drug-panel filtering to final analytical cohorts. (EPS)</w:t>
      </w:r>
    </w:p>
    <w:p>
      <w:pPr>
        <w:spacing w:after="60" w:line="480" w:lineRule="auto"/>
      </w:pPr>
      <w:r>
        <w:rPr>
          <w:rFonts w:ascii="Times New Roman" w:cs="Times New Roman" w:eastAsia="Times New Roman" w:hAnsi="Times New Roman"/>
          <w:b/>
          <w:bCs/>
          <w:i w:val="false"/>
          <w:iCs w:val="false"/>
          <w:sz w:val="20"/>
          <w:szCs w:val="20"/>
        </w:rPr>
        <w:t xml:space="preserve">S2 Fig.</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 Global SHAP feature importance (mean absolute SHAP value across all outcome classes) for the chronological XGBoost model. (EPS)</w:t>
      </w:r>
    </w:p>
    <w:sectPr>
      <w:footerReference w:type="default" r:id="rId7"/>
      <w:pgSz w:w="12240" w:h="15840" w:orient="portrait"/>
      <w:pgMar w:top="1224" w:right="720" w:bottom="2016" w:left="3960" w:header="720" w:footer="936" w:gutter="0"/>
      <w:lnNumType w:countBy="1" w:start="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480" w:lineRule="auto"/>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2026-09-16T08:27:14.069Z</dcterms:created>
  <dcterms:modified xsi:type="dcterms:W3CDTF">2026-09-16T08:27:14.069Z</dcterms:modified>
</cp:coreProperties>
</file>

<file path=docProps/custom.xml><?xml version="1.0" encoding="utf-8"?>
<Properties xmlns="http://schemas.openxmlformats.org/officeDocument/2006/custom-properties" xmlns:vt="http://schemas.openxmlformats.org/officeDocument/2006/docPropsVTypes"/>
</file>