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Table. Predictor Specification and Data-Leakage Audit</w:t>
      </w:r>
    </w:p>
    <w:p>
      <w:r>
        <w:t>This table lists all candidate features considered for the XGBoost outcome-triage model, including their data types, source FAERS tables, leakage risk assessment, and final inclusion/exclusion decisions.</w:t>
      </w:r>
    </w:p>
    <w:p>
      <w:pPr>
        <w:pStyle w:val="Heading2"/>
      </w:pPr>
      <w:r>
        <w:t>Feature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Leakage Risk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Patient age (years) at event onset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Patient sex (M/F/Unknown)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wt_kg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Patient weight in kg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drug_seq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 sequence number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Ordinal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Route of administration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role_cod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 role (PS/SS/C/I)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drugname_normalized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Standardised drug 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rxcui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RxNorm Concept Unique 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dose_amt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Dose amount (numeric)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dose_unit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Dose unit (mg, ml, etc.)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dose_form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Dosage form (tablet, etc.)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indi_pt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Indication preferred term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INDI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pt_term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Adverse event 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REAC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HIGH - partial target leakage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 with disclosure; quantified by NO_PT sensitivity analysis and PT-only lookup baseline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outc_cod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Outcome code (target)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OUTC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occp_cod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Reporter occupation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mfr_sndr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Manufacturer/sender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init_fda_dt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Initial FDA 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Moderate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Split only</w:t>
            </w:r>
          </w:p>
        </w:tc>
      </w:tr>
    </w:tbl>
    <w:p>
      <w:r>
        <w:t>Note added in revision: approximately half of the outcome codes in the modelling dataset were missing and were reconstructed from pt_term by a two-stage pseudo-labelling procedure. pt_term is therefore partly the source of the target, not an independent predictor, and constitutes target leakage rather than a low risk. It is retained so that the dependency can be measured rather than hidden: removing it lowers temporal Macro-F1 from 0.389 to 0.222, and a Preferred-Term-only lookup table outperforms every fitted model on the 2025 partition (Macro-F1 0.594). Both results are reported in the manuscript and discussed under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