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S3 Table. READUS-PV Checklist for Disproportionality Analysis Reporting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Section/Topic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Item No.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Checklist Item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Reported on Page/Section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Database and study period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Specify the database(s) used and the time period of included reports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FAERS Q1 2021 – Q1 2025 (Methods Section 2.3, Stage 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Drug exposure definition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Define how drug exposure was identified (generic names, brand names, ATC codes)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D); RxNorm normalisation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Event definition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Define how adverse events were coded (MedDRA level, version)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D); MedDRA Preferred Terms from REAC 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Comparator/Reference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Define the reference group (full database, non-cases, specific comparators)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Full FAERS database (all other drug–event pairs)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Deduplication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the deduplication strategy applied to the database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B); four-level deterministic deduplication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Restriction criteria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Report any restriction criteria applied to the analysis (age, sex, indication, reporter)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Restricted to adolescent age band 12.0–17.0 years (ICH E11(R1))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Disproportionality measures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Report which disproportionality measures were used (PRR, ROR, EBGM, IC)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PRR, ROR, EBGM, IC₀₂₅ (Methods Section 2.5)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Signal threshold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State the thresholds used for signal detection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PRR ≥ 2, χ² ≥ 4, n₁₁ ≥ 3 (Methods Section 2.5)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Stratification/adjustment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any stratification or adjustment applied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Primary suspect reports; age-restricted cohort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Sensitivity analyses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Report any sensitivity analyses performed for the disproportionality analysis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Cohort-definition sensitivity across 4 pharmacotherapy panels (Section 3.7)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Masking/notoriety bias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 the potential impact of masking, notoriety bias, or Weber effect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Discussion (Section 4, Limitations)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Interpretation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Provide a clear interpretation noting that disproportionality does not imply causation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Discussion (Section 4); Fig 6 caption 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Visualisation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Present results in appropriate tables or figures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Fig 6 (heatmap); Table 23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Reproducibility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Provide sufficient detail to allow reproducibility of the analysis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GitHub repository; Methods Sections 2.3–2.5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