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8" w:space="8"/>
        </w:pBdr>
        <w:spacing w:after="120" w:before="0" w:line="300" w:lineRule="auto"/>
      </w:pPr>
      <w:r>
        <w:rPr>
          <w:rFonts w:ascii="Times New Roman" w:cs="Times New Roman" w:eastAsia="Times New Roman" w:hAnsi="Times New Roman"/>
          <w:b/>
          <w:bCs/>
          <w:i w:val="false"/>
          <w:iCs w:val="false"/>
          <w:sz w:val="40"/>
          <w:szCs w:val="40"/>
        </w:rPr>
        <w:t xml:space="preserve">Safety of anti-obesity and anti-diabetic medications in adolescents: A disproportionality analysis and machine-learning validation from 2021-2025 on the basis of the FAERS database</w:t>
      </w:r>
    </w:p>
    <w:p>
      <w:pPr>
        <w:spacing w:after="200" w:line="240" w:lineRule="auto"/>
        <w:jc w:val="left"/>
      </w:pPr>
      <w:r>
        <w:rPr>
          <w:rFonts w:ascii="Times New Roman" w:cs="Times New Roman" w:eastAsia="Times New Roman" w:hAnsi="Times New Roman"/>
          <w:b w:val="false"/>
          <w:bCs w:val="false"/>
          <w:i w:val="false"/>
          <w:iCs w:val="false"/>
          <w:sz w:val="20"/>
          <w:szCs w:val="20"/>
        </w:rPr>
        <w:t xml:space="preserve">Short title: Adolescent anti-obesity and anti-diabetic drug safety via FAERS disproportionality analysis</w:t>
      </w:r>
    </w:p>
    <w:p>
      <w:pPr>
        <w:spacing w:after="120" w:line="240" w:lineRule="auto"/>
        <w:jc w:val="left"/>
      </w:pPr>
      <w:r>
        <w:rPr>
          <w:rFonts w:ascii="Times New Roman" w:cs="Times New Roman" w:eastAsia="Times New Roman" w:hAnsi="Times New Roman"/>
          <w:b w:val="false"/>
          <w:bCs w:val="false"/>
          <w:i w:val="false"/>
          <w:iCs w:val="false"/>
          <w:sz w:val="24"/>
          <w:szCs w:val="24"/>
        </w:rPr>
        <w:t xml:space="preserve">Atherv Telkar</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Amey Telkar</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Akshay Javalgikar</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Nitin Madanwale</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Darshan Ruikar</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Preethi Baligar</w:t>
      </w:r>
      <w:r>
        <w:rPr>
          <w:rFonts w:ascii="Times New Roman" w:cs="Times New Roman" w:eastAsia="Times New Roman" w:hAnsi="Times New Roman"/>
          <w:b w:val="false"/>
          <w:bCs w:val="false"/>
          <w:i w:val="false"/>
          <w:iCs w:val="false"/>
          <w:sz w:val="24"/>
          <w:szCs w:val="24"/>
          <w:vertAlign w:val="superscript"/>
        </w:rPr>
        <w:t xml:space="preserve">1</w:t>
      </w:r>
    </w:p>
    <w:p>
      <w:pPr>
        <w:spacing w:after="40" w:line="240" w:lineRule="auto"/>
        <w:jc w:val="left"/>
      </w:pPr>
      <w:r>
        <w:rPr>
          <w:rFonts w:ascii="Times New Roman" w:cs="Times New Roman" w:eastAsia="Times New Roman" w:hAnsi="Times New Roman"/>
          <w:b/>
          <w:bCs/>
          <w:i w:val="false"/>
          <w:iCs w:val="false"/>
          <w:sz w:val="18"/>
          <w:szCs w:val="18"/>
        </w:rPr>
        <w:t xml:space="preserve">1</w:t>
      </w:r>
      <w:r>
        <w:rPr>
          <w:rFonts w:ascii="Times New Roman" w:cs="Times New Roman" w:eastAsia="Times New Roman" w:hAnsi="Times New Roman"/>
          <w:b w:val="false"/>
          <w:bCs w:val="false"/>
          <w:i w:val="false"/>
          <w:iCs w:val="false"/>
          <w:sz w:val="18"/>
          <w:szCs w:val="18"/>
        </w:rPr>
        <w:t xml:space="preserve"> School of Computing, Maharashtra Institute of Technology (MIT) Vishwaprayag University, Solapur, Maharashtra, India</w:t>
      </w:r>
    </w:p>
    <w:p>
      <w:pPr>
        <w:spacing w:after="40" w:line="240" w:lineRule="auto"/>
        <w:jc w:val="left"/>
      </w:pPr>
      <w:r>
        <w:rPr>
          <w:rFonts w:ascii="Times New Roman" w:cs="Times New Roman" w:eastAsia="Times New Roman" w:hAnsi="Times New Roman"/>
          <w:b/>
          <w:bCs/>
          <w:i w:val="false"/>
          <w:iCs w:val="false"/>
          <w:sz w:val="18"/>
          <w:szCs w:val="18"/>
        </w:rPr>
        <w:t xml:space="preserve">2</w:t>
      </w:r>
      <w:r>
        <w:rPr>
          <w:rFonts w:ascii="Times New Roman" w:cs="Times New Roman" w:eastAsia="Times New Roman" w:hAnsi="Times New Roman"/>
          <w:b w:val="false"/>
          <w:bCs w:val="false"/>
          <w:i w:val="false"/>
          <w:iCs w:val="false"/>
          <w:sz w:val="18"/>
          <w:szCs w:val="18"/>
        </w:rPr>
        <w:t xml:space="preserve"> School of Pharmacy, Maharashtra Institute of Technology (MIT) Vishwaprayag University, Solapur, Maharashtra, India</w:t>
      </w:r>
    </w:p>
    <w:p>
      <w:pPr>
        <w:spacing w:after="40" w:line="240" w:lineRule="auto"/>
        <w:jc w:val="left"/>
      </w:pPr>
      <w:r>
        <w:rPr>
          <w:rFonts w:ascii="Times New Roman" w:cs="Times New Roman" w:eastAsia="Times New Roman" w:hAnsi="Times New Roman"/>
          <w:b w:val="false"/>
          <w:bCs w:val="false"/>
          <w:i w:val="false"/>
          <w:iCs w:val="false"/>
          <w:sz w:val="16"/>
          <w:szCs w:val="16"/>
        </w:rPr>
        <w:t xml:space="preserve">¶ These authors contributed equally to this work.</w:t>
      </w:r>
    </w:p>
    <w:p>
      <w:pPr>
        <w:spacing w:after="40" w:line="240" w:lineRule="auto"/>
        <w:jc w:val="left"/>
      </w:pPr>
      <w:r>
        <w:rPr>
          <w:rFonts w:ascii="Times New Roman" w:cs="Times New Roman" w:eastAsia="Times New Roman" w:hAnsi="Times New Roman"/>
          <w:b w:val="false"/>
          <w:bCs w:val="false"/>
          <w:i w:val="false"/>
          <w:iCs w:val="false"/>
          <w:sz w:val="16"/>
          <w:szCs w:val="16"/>
        </w:rPr>
        <w:t xml:space="preserve">* Corresponding authors.</w:t>
      </w:r>
    </w:p>
    <w:p>
      <w:pPr>
        <w:spacing w:after="40" w:line="240" w:lineRule="auto"/>
        <w:jc w:val="left"/>
      </w:pPr>
      <w:r>
        <w:rPr>
          <w:rFonts w:ascii="Times New Roman" w:cs="Times New Roman" w:eastAsia="Times New Roman" w:hAnsi="Times New Roman"/>
          <w:b w:val="false"/>
          <w:bCs w:val="false"/>
          <w:i w:val="false"/>
          <w:iCs w:val="false"/>
          <w:sz w:val="16"/>
          <w:szCs w:val="16"/>
        </w:rPr>
        <w:t xml:space="preserve">E-mail: athervtelkar08@gmail.com (AT); ameytelkar08@gmail.com (AmT)</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Abstract</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Background</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Adolescent obesity and type 2 diabetes have risen sharply, driving increased prescribing of anti-obesity and anti-diabetic agents in patients aged 12-17 years, many prescribed off-label with limited post-marketing safety data. This study aimed to analyse adverse events (AEs) associated with these medications in adolescents using the FDA Adverse Event Reporting System (FAERS).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Methods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AE reports for adolescents aged 12-17 years were extracted from FAERS (2021Q1-2025Q4). Fourteen obesity-related and 10 diabetes-related medications were included. AEs were classified using MedDRA (version 28.1) at the Preferred Term level. Signal detection used four disproportionality methods (ROR, PRR, IC, EBGM), complemented by an XGBoost classifier for case-level outcome triage.</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Results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From 7,612,804 raw FAERS records, 403,278 adolescent reports were identified (11,701 obesity-related panel; 5,208 diabetes-related panel; approximately 54% female; mean age 14.57 years). Applying the stated criteria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and 95% CI lower bound </w:t>
      </w:r>
      <w:r>
        <w:rPr>
          <w:rFonts w:ascii="Times New Roman" w:cs="Times New Roman" w:eastAsia="Times New Roman" w:hAnsi="Times New Roman"/>
          <w:b w:val="false"/>
          <w:bCs w:val="false"/>
          <w:i/>
          <w:iCs/>
          <w:sz w:val="20"/>
          <w:szCs w:val="20"/>
        </w:rPr>
        <w:t xml:space="preserve">&gt;1</w:t>
      </w:r>
      <w:r>
        <w:rPr>
          <w:rFonts w:ascii="Times New Roman" w:cs="Times New Roman" w:eastAsia="Times New Roman" w:hAnsi="Times New Roman"/>
          <w:b w:val="false"/>
          <w:bCs w:val="false"/>
          <w:i w:val="false"/>
          <w:iCs w:val="false"/>
          <w:sz w:val="20"/>
          <w:szCs w:val="20"/>
        </w:rPr>
        <w:t xml:space="preserve">), 360 drug-event pairs met the ROR signal threshold. Key disproportionality signals included metformin-lactic acidosis (ROR = 61.22, 95% CI 25.21-148.68, </w:t>
      </w:r>
      <w:r>
        <w:rPr>
          <w:rFonts w:ascii="Times New Roman" w:cs="Times New Roman" w:eastAsia="Times New Roman" w:hAnsi="Times New Roman"/>
          <w:b w:val="false"/>
          <w:bCs w:val="false"/>
          <w:i/>
          <w:iCs/>
          <w:sz w:val="20"/>
          <w:szCs w:val="20"/>
        </w:rPr>
        <w:t xml:space="preserve">N=214</w:t>
      </w:r>
      <w:r>
        <w:rPr>
          <w:rFonts w:ascii="Times New Roman" w:cs="Times New Roman" w:eastAsia="Times New Roman" w:hAnsi="Times New Roman"/>
          <w:b w:val="false"/>
          <w:bCs w:val="false"/>
          <w:i w:val="false"/>
          <w:iCs w:val="false"/>
          <w:sz w:val="20"/>
          <w:szCs w:val="20"/>
        </w:rPr>
        <w:t xml:space="preserve">), atorvastatin-myalgia (ROR = 16.89, </w:t>
      </w:r>
      <w:r>
        <w:rPr>
          <w:rFonts w:ascii="Times New Roman" w:cs="Times New Roman" w:eastAsia="Times New Roman" w:hAnsi="Times New Roman"/>
          <w:b w:val="false"/>
          <w:bCs w:val="false"/>
          <w:i/>
          <w:iCs/>
          <w:sz w:val="20"/>
          <w:szCs w:val="20"/>
        </w:rPr>
        <w:t xml:space="preserve">N=46</w:t>
      </w:r>
      <w:r>
        <w:rPr>
          <w:rFonts w:ascii="Times New Roman" w:cs="Times New Roman" w:eastAsia="Times New Roman" w:hAnsi="Times New Roman"/>
          <w:b w:val="false"/>
          <w:bCs w:val="false"/>
          <w:i w:val="false"/>
          <w:iCs w:val="false"/>
          <w:sz w:val="20"/>
          <w:szCs w:val="20"/>
        </w:rPr>
        <w:t xml:space="preserve">), and dapagliflozin-cardiac failure (ROR = 40.24, </w:t>
      </w:r>
      <w:r>
        <w:rPr>
          <w:rFonts w:ascii="Times New Roman" w:cs="Times New Roman" w:eastAsia="Times New Roman" w:hAnsi="Times New Roman"/>
          <w:b w:val="false"/>
          <w:bCs w:val="false"/>
          <w:i/>
          <w:iCs/>
          <w:sz w:val="20"/>
          <w:szCs w:val="20"/>
        </w:rPr>
        <w:t xml:space="preserve">N=30</w:t>
      </w:r>
      <w:r>
        <w:rPr>
          <w:rFonts w:ascii="Times New Roman" w:cs="Times New Roman" w:eastAsia="Times New Roman" w:hAnsi="Times New Roman"/>
          <w:b w:val="false"/>
          <w:bCs w:val="false"/>
          <w:i w:val="false"/>
          <w:iCs w:val="false"/>
          <w:sz w:val="20"/>
          <w:szCs w:val="20"/>
        </w:rPr>
        <w:t xml:space="preserve">). A semaglutide-optic ischaemic neuropathy association showed an extreme ROR (439.23, </w:t>
      </w:r>
      <w:r>
        <w:rPr>
          <w:rFonts w:ascii="Times New Roman" w:cs="Times New Roman" w:eastAsia="Times New Roman" w:hAnsi="Times New Roman"/>
          <w:b w:val="false"/>
          <w:bCs w:val="false"/>
          <w:i/>
          <w:iCs/>
          <w:sz w:val="20"/>
          <w:szCs w:val="20"/>
        </w:rPr>
        <w:t xml:space="preserve">N=14</w:t>
      </w:r>
      <w:r>
        <w:rPr>
          <w:rFonts w:ascii="Times New Roman" w:cs="Times New Roman" w:eastAsia="Times New Roman" w:hAnsi="Times New Roman"/>
          <w:b w:val="false"/>
          <w:bCs w:val="false"/>
          <w:i w:val="false"/>
          <w:iCs w:val="false"/>
          <w:sz w:val="20"/>
          <w:szCs w:val="20"/>
        </w:rPr>
        <w:t xml:space="preserve">) which also met the EBGM shrinkage criterion (EBGM = 18.79, EB05 = 11.67), qualifying it as a four-metric concordant signal warranting further investigation. The XGBoost model achieved a temporal Macro-F1 of 0.389 on the obesity-related panel, significantly outperforming learned baselines (McNemar's </w:t>
      </w:r>
      <w:r>
        <w:rPr>
          <w:rFonts w:ascii="Times New Roman" w:cs="Times New Roman" w:eastAsia="Times New Roman" w:hAnsi="Times New Roman"/>
          <w:b w:val="false"/>
          <w:bCs w:val="false"/>
          <w:i/>
          <w:iCs/>
          <w:sz w:val="20"/>
          <w:szCs w:val="20"/>
        </w:rPr>
        <w:t xml:space="preserve">p&lt;0.001</w:t>
      </w:r>
      <w:r>
        <w:rPr>
          <w:rFonts w:ascii="Times New Roman" w:cs="Times New Roman" w:eastAsia="Times New Roman" w:hAnsi="Times New Roman"/>
          <w:b w:val="false"/>
          <w:bCs w:val="false"/>
          <w:i w:val="false"/>
          <w:iCs w:val="false"/>
          <w:sz w:val="20"/>
          <w:szCs w:val="20"/>
        </w:rPr>
        <w:t xml:space="preserve">); a random-split Macro-F1 of 0.629 is reported for comparison only, as that pipeline fitted preprocessing before splitting. The PT-term lookup heuristic exceeded XGBoost (Macro-F1 0.594), reflecting partial label derivation from adverse-event terms.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Conclusion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This study provides a comprehensive assessment combining broad adolescent medication panels, multi-metric disproportionality analysis, and case-level machine learning outcome triage. The findings confirm known signals while identifying reporting patterns warranting further investigation, and may inform clinical practice and regulatory monitoring for this vulnerable population.</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Introduction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Adolescent obesity and type 2 diabetes mellitus have emerged as critical public health challenges over the past two decades. Among U.S. youth aged 2-19 years, obesity prevalence rose from 19.3% in 2017-2018 to 21.1% in 2021-2023 [1], with the sharpest increases observed among adolescents aged 12-17 years. Concurrently, the incidence of type 2 diabetes in youth has been climbing at approximately 4.8% per year [2], driven by the parallel rise in childhood obesity. These intertwined epidemics have led to increasingly early pharmacological intervention in adolescent populations.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pharmacological landscape for adolescent obesity and diabetes has expanded considerably. Anti-obesity medications (AOMs) now available or used off-label in this population include GLP-1 receptor agonists (semaglutide, liraglutide), lipase inhibitors (orlistat), and combination therapies (phentermine-topiramate). For type 2 diabetes, metformin remains the first-line agent [3], supplemented by insulin preparations, SGLT2 inhibitors (empagliflozin), DPP-4 inhibitors (sitagliptin), and newer GLP-1 receptor agonists. While some of these agents have received paediatric indications (semaglutide 2.4 mg was approved by the FDA for adolescents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12 years with obesity in December 2020 [4], and liraglutide 3.0 mg for the same indication in 2020 [5]), many others are prescribed off-label with limited clinical trial safety data specific to this age group, consistent with broader FAERS reporting patterns in paediatric populations, where off-label use is the single most frequently reported adverse-event category [6].</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Children and adolescents are not simply “small adults”; their pharmacokinetics differ substantially due to developmental variations in hepatic metabolism, renal clearance, body composition, and neuroendocrine regulation [6,7]. These age-specific pharmacological and pharmacokinetic variations may predispose adolescent populations to increased drug toxicity risks or to adverse event profiles that diverge from those documented in adult populations. Of particular concern are gastrointestinal effects of GLP-1 agonists [8], the metabolic acidosis risk with metformin [9], psychiatric effects including suicidal ideation reported with some AOMs [10], and cardiovascular safety in a population with developing cardiac systems [7].</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Post-marketing pharmacovigilance through the FDA Adverse Event Reporting System (FAERS) has become an essential tool for identifying drug safety signals that clinical trials, often limited in sample size and duration, cannot detect [11,12]. Disproportionality analysis, which compares the observed reporting frequency of a specific drug-event combination against the expected frequency based on the entire database, has been widely used to detect safety signals across a broad range of drug classes and populations [13,14]. Recent studies have applied these methods to antidepressants in children aged 6-17 years [13], respiratory medications [15] and TNF-</w:t>
      </w:r>
      <w:r>
        <w:rPr>
          <w:rFonts w:ascii="Times New Roman" w:cs="Times New Roman" w:eastAsia="Times New Roman" w:hAnsi="Times New Roman"/>
          <w:b w:val="false"/>
          <w:bCs w:val="false"/>
          <w:i/>
          <w:iCs/>
          <w:sz w:val="20"/>
          <w:szCs w:val="20"/>
        </w:rPr>
        <w:t xml:space="preserve">α</w:t>
      </w:r>
      <w:r>
        <w:rPr>
          <w:rFonts w:ascii="Times New Roman" w:cs="Times New Roman" w:eastAsia="Times New Roman" w:hAnsi="Times New Roman"/>
          <w:b w:val="false"/>
          <w:bCs w:val="false"/>
          <w:i w:val="false"/>
          <w:iCs w:val="false"/>
          <w:sz w:val="20"/>
          <w:szCs w:val="20"/>
        </w:rPr>
        <w:t xml:space="preserve"> inhibitors [16] in paediatric patients, and, in the general population, to drug-induced acute respiratory distress syndrome [14] and drug-related cardiovascular risk [17], the latter using the same four-metric framework adopted here. However, no study has systematically analysed the full spectrum of anti-obesity and anti-diabetic drug safety signals specifically in adolescents using FAERS data with multiple disproportionality metrics.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To address this gap, the current study employed the FAERS database covering 2021Q1-2025Q4 to conduct a comprehensive evaluation of adverse events associated with commonly prescribed obesity-related and anti-diabetic medications in adolescents aged 12-17 years. The study applied four established signal detection methods (PRR, ROR, IC, EBGM) for population-level analysis, complemented by a machine-learning model (XGBoost) for case-level outcome triage. Through this dual-method approach, the analysis aims to provide evidence-based guidance for clinical practice and regulatory monitoring in this vulnerable population.</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Materials and methods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Ethics statement</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This study used publicly available ASCII text data files from the FAERS database, covering the period 2021Q1-2025Q4. As these files are de-identified and no personally identifiable information was accessed, formal ethical approval was not required. All procedures adhered to the ethical principles of the Declaration of Helsinki.</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Research subjects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study examined two therapeutic panels of medications commonly prescribed to adolescents for obesity and type 2 diabetes management, summarised in Table 1.</w:t>
      </w:r>
    </w:p>
    <w:p>
      <w:pPr>
        <w:keepNext/>
        <w:spacing w:after="80" w:before="200" w:line="240" w:lineRule="auto"/>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Drug panels included in the disproportionality analysis.</w:t>
      </w:r>
    </w:p>
    <w:tbl>
      <w:tblPr>
        <w:tblW w:type="dxa" w:w="7079"/>
        <w:jc w:val="center"/>
        <w:tblBorders>
          <w:top w:val="single" w:color="auto" w:sz="4"/>
          <w:left w:val="single" w:color="auto" w:sz="4"/>
          <w:bottom w:val="single" w:color="auto" w:sz="4"/>
          <w:right w:val="single" w:color="auto" w:sz="4"/>
          <w:insideH w:val="single" w:color="auto" w:sz="4"/>
          <w:insideV w:val="single" w:color="auto" w:sz="4"/>
        </w:tblBorders>
      </w:tblPr>
      <w:tblGrid>
        <w:gridCol w:w="2174"/>
        <w:gridCol w:w="690"/>
        <w:gridCol w:w="4215"/>
      </w:tblGrid>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4"/>
                <w:szCs w:val="14"/>
              </w:rPr>
              <w:t xml:space="preserve">Panel</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4"/>
                <w:szCs w:val="14"/>
              </w:rPr>
              <w:t xml:space="preserve">N</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4"/>
                <w:szCs w:val="14"/>
              </w:rPr>
              <w:t xml:space="preserve">Drugs</w:t>
            </w:r>
          </w:p>
        </w:tc>
      </w:tr>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4"/>
                <w:szCs w:val="14"/>
              </w:rPr>
              <w:t xml:space="preserve">Broad obesity-related (14 drugs)</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11,701</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Metformin, atorvastatin, lisinopril, losartan, semaglutide, liraglutide, tirzepatide, orlistat, empagliflozin, dapagliflozin, sitagliptin, glipizide, pioglitazone, insulin (regular, aspart, glargine, lispro)</w:t>
            </w:r>
          </w:p>
        </w:tc>
      </w:tr>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4"/>
                <w:szCs w:val="14"/>
              </w:rPr>
              <w:t xml:space="preserve">Selected obesity-related (4 drugs)</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10,701</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Metformin, atorvastatin, lisinopril, losartan</w:t>
            </w:r>
          </w:p>
        </w:tc>
      </w:tr>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4"/>
                <w:szCs w:val="14"/>
              </w:rPr>
              <w:t xml:space="preserve">Broad diabetes-related (10 drugs)</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5,208</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Semaglutide, liraglutide, tirzepatide, empagliflozin, dapagliflozin, sitagliptin, glipizide, pioglitazone, insulin (aspart, regular, lispro, glargine), metformin</w:t>
            </w:r>
          </w:p>
        </w:tc>
      </w:tr>
      <w:tr>
        <w:trPr>
          <w:cantSplit/>
          <w:tblHeader w:val="false"/>
        </w:trPr>
        <w:tc>
          <w:tcPr>
            <w:tcW w:type="dxa" w:w="2174"/>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4"/>
                <w:szCs w:val="14"/>
              </w:rPr>
              <w:t xml:space="preserve">Selected diabetes-related (4 drugs)</w:t>
            </w:r>
          </w:p>
        </w:tc>
        <w:tc>
          <w:tcPr>
            <w:tcW w:type="dxa" w:w="6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342</w:t>
            </w:r>
          </w:p>
        </w:tc>
        <w:tc>
          <w:tcPr>
            <w:tcW w:type="dxa" w:w="4215"/>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4"/>
                <w:szCs w:val="14"/>
              </w:rPr>
              <w:t xml:space="preserve">Semaglutide, liraglutide, tirzepatide, empagliflozin</w:t>
            </w:r>
          </w:p>
        </w:tc>
      </w:tr>
    </w:tbl>
    <w:p>
      <w:pPr>
        <w:spacing w:after="200" w:line="240"/>
      </w:pP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broad obesity-related panel included both anti-obesity and commonly co-prescribed medications in adolescents with obesity-related comorbidities (hypertension, dyslipidaemia, type 2 diabetes). The selected obesity-related panel comprised the four most frequently prescribed agents in this population. It should be noted explicitly that these four agents (metformin, atorvastatin, lisinopril, losartan) are not themselves anti-obesity medications; they are a biguanide, a statin, an ACE inhibitor, and an angiotensin receptor blocker, respectively, and are included because they dominate the prescribing profile of adolescents managed for obesity-related comorbidity. The label “obesity-related” therefore denotes the clinical context of prescribing rather than the pharmacological class, and results from this panel should be read accordingly. The selected diabetes-related panel comprised newer agents with emerging adolescent safety data.</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While the initial research scope included a broader set of medications, preliminary data analysis indicated insufficient AE reports for several agents to support a comprehensive safety evaluation within the adolescent age band. The drugs listed above were those with adequate reporting volume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3 reports for at least one drug-event combination) to permit meaningful disproportionality analysis. Drug names were normalised to standardised RxNorm Concept Unique Identifiers (RxCUIs) using the National Library of Medicine RxNorm REST API, with secondary fuzzy matching (RapidFuzz, threshold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85) for variants not resolved by the API. Several medications (e.g., metformin, dapagliflozin, semaglutide, empagliflozin, tirzepatide) were evaluated in both the obesity and diabetes panels. Where a single active ingredient appeared under more than one product entry (for example insulin lispro and insulin lispro Junior KwikPen), the per-drug case totals quoted in the Results are the sum across those entries, whereas S8 Table reports each product entry separately. Consequently, the per-drug case counts reported in the Results section are pooled totals across both panels to reflect the complete adolescent reporting volume for each agent. Certain agents that form part of the adolescent anti-obesity treatment landscape, notably orlistat and the phentermine-topiramate combination, were screened but yielded too few adolescent reports to support disproportionality estimation; they are therefore listed in the panel definition but do not appear in the drug-specific results, and their absence should not be read as evidence of a favourable safety profile.</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Data source and preprocessing</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FAERS database is a publicly accessible pharmacovigilance repository maintained by the FDA and refreshed on a quarterly basis; it formed the sole data source for this retrospective analysis [18]. The study downloaded 20 consecutive quarters of ASCII data files from 2021Q1 through 2025Q4, encompassing the demographic (DEMO), drug (DRUG), reaction (REAC), outcome (OUTC), therapy (THER), indication (INDI), and report-source (RPSR) tables. Following FDA guidelines, the dataset was processed by removing duplicate reports, retaining only the most recent version of each case based on the </w:t>
      </w:r>
      <w:r>
        <w:rPr>
          <w:rFonts w:ascii="Courier New" w:cs="Courier New" w:eastAsia="Courier New" w:hAnsi="Courier New"/>
          <w:b w:val="false"/>
          <w:bCs w:val="false"/>
          <w:i w:val="false"/>
          <w:iCs w:val="false"/>
          <w:sz w:val="20"/>
          <w:szCs w:val="20"/>
        </w:rPr>
        <w:t xml:space="preserve">FDA</w:t>
      </w:r>
      <w:r>
        <w:rPr>
          <w:rFonts w:ascii="Times New Roman" w:cs="Times New Roman" w:eastAsia="Times New Roman" w:hAnsi="Times New Roman"/>
          <w:b w:val="false"/>
          <w:bCs w:val="false"/>
          <w:i w:val="false"/>
          <w:iCs w:val="false"/>
          <w:sz w:val="20"/>
          <w:szCs w:val="20"/>
          <w:vertAlign w:val="subscript"/>
        </w:rPr>
        <w:t xml:space="preserve">D</w:t>
      </w:r>
      <w:r>
        <w:rPr>
          <w:rFonts w:ascii="Courier New" w:cs="Courier New" w:eastAsia="Courier New" w:hAnsi="Courier New"/>
          <w:b w:val="false"/>
          <w:bCs w:val="false"/>
          <w:i w:val="false"/>
          <w:iCs w:val="false"/>
          <w:sz w:val="20"/>
          <w:szCs w:val="20"/>
        </w:rPr>
        <w:t xml:space="preserve">T</w:t>
      </w:r>
      <w:r>
        <w:rPr>
          <w:rFonts w:ascii="Times New Roman" w:cs="Times New Roman" w:eastAsia="Times New Roman" w:hAnsi="Times New Roman"/>
          <w:b w:val="false"/>
          <w:bCs w:val="false"/>
          <w:i w:val="false"/>
          <w:iCs w:val="false"/>
          <w:sz w:val="20"/>
          <w:szCs w:val="20"/>
        </w:rPr>
        <w:t xml:space="preserve"> field. Analyses were restricted to reports involving patients aged 12-17 years (adolescents). AEs were classified using the Medical Dictionary for Regulatory Activities (MedDRA, version 28.1) [19], with events coded at the Preferred Term (PT) level and mapped to System Organ Class (SOC) and High Level Group Term (HLGT) categories. Preferred Terms in the FAERS REAC files arrive pre-coded by the FDA using the MedDRA version current at each quarterly extract; the authors used MedDRA version 28.1 specifically for mapping those PTs to primary System Organ Class and HLGT. The study design is illustrated in Fig 1.</w:t>
      </w:r>
    </w:p>
    <w:p>
      <w:pPr>
        <w:spacing w:after="80" w:before="80" w:line="480" w:lineRule="auto"/>
        <w:jc w:val="left"/>
      </w:pPr>
      <w:r>
        <w:rPr>
          <w:rFonts w:ascii="Times New Roman" w:cs="Times New Roman" w:eastAsia="Times New Roman" w:hAnsi="Times New Roman"/>
          <w:b/>
          <w:bCs/>
          <w:i w:val="false"/>
          <w:iCs w:val="false"/>
          <w:sz w:val="20"/>
          <w:szCs w:val="20"/>
        </w:rPr>
        <w:t xml:space="preserve">Fig 1.</w:t>
      </w:r>
      <w:r>
        <w:rPr>
          <w:rFonts w:ascii="Times New Roman" w:cs="Times New Roman" w:eastAsia="Times New Roman" w:hAnsi="Times New Roman"/>
          <w:b w:val="false"/>
          <w:bCs w:val="false"/>
          <w:i w:val="false"/>
          <w:iCs w:val="false"/>
          <w:sz w:val="20"/>
          <w:szCs w:val="20"/>
        </w:rPr>
        <w:t xml:space="preserve"> Study flowchart of FAERS reports. STROBE-compliant case-selection flow from 7,612,804 raw FAERS records through deduplication (6,985,217 cases), age restriction to 12-17 years (403,278 reports), and drug-panel filtering to the final analytical cohorts.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Data analysis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Potential AE signals were flagged using the fourfold disproportionality framework (Table 2), scored against four established detection algorithms (Table 3). Rather than relying on a single metric, this multi-algorithm approach cross-checks each candidate signal along two independent axes: how strongly the drug-event pair is statistically associated (intensity) and how often it has actually been reported (frequency).</w:t>
      </w:r>
    </w:p>
    <w:p>
      <w:pPr>
        <w:keepNext/>
        <w:spacing w:after="80" w:before="200" w:line="240" w:lineRule="auto"/>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Fourfold table for disproportionality analyses.</w:t>
      </w:r>
    </w:p>
    <w:tbl>
      <w:tblPr>
        <w:tblW w:type="dxa" w:w="4985"/>
        <w:jc w:val="center"/>
        <w:tblBorders>
          <w:top w:val="single" w:color="auto" w:sz="4"/>
          <w:left w:val="single" w:color="auto" w:sz="4"/>
          <w:bottom w:val="single" w:color="auto" w:sz="4"/>
          <w:right w:val="single" w:color="auto" w:sz="4"/>
          <w:insideH w:val="single" w:color="auto" w:sz="4"/>
          <w:insideV w:val="single" w:color="auto" w:sz="4"/>
        </w:tblBorders>
      </w:tblPr>
      <w:tblGrid>
        <w:gridCol w:w="1377"/>
        <w:gridCol w:w="1132"/>
        <w:gridCol w:w="1286"/>
        <w:gridCol w:w="1190"/>
      </w:tblGrid>
      <w:tr>
        <w:trPr>
          <w:cantSplit/>
          <w:tblHeader w:val="false"/>
        </w:trPr>
        <w:tc>
          <w:tcPr>
            <w:tcW w:type="dxa" w:w="137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6"/>
                <w:szCs w:val="16"/>
              </w:rPr>
              <w:t xml:space="preserve">Event groups</w:t>
            </w:r>
          </w:p>
        </w:tc>
        <w:tc>
          <w:tcPr>
            <w:tcW w:type="dxa" w:w="11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Drug used</w:t>
            </w:r>
          </w:p>
        </w:tc>
        <w:tc>
          <w:tcPr>
            <w:tcW w:type="dxa" w:w="128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Other drugs</w:t>
            </w:r>
          </w:p>
        </w:tc>
        <w:tc>
          <w:tcPr>
            <w:tcW w:type="dxa" w:w="11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Sums</w:t>
            </w:r>
          </w:p>
        </w:tc>
      </w:tr>
      <w:tr>
        <w:trPr>
          <w:cantSplit/>
          <w:tblHeader w:val="false"/>
        </w:trPr>
        <w:tc>
          <w:tcPr>
            <w:tcW w:type="dxa" w:w="137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Event</w:t>
            </w:r>
          </w:p>
        </w:tc>
        <w:tc>
          <w:tcPr>
            <w:tcW w:type="dxa" w:w="11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a</w:t>
            </w:r>
          </w:p>
        </w:tc>
        <w:tc>
          <w:tcPr>
            <w:tcW w:type="dxa" w:w="128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c</w:t>
            </w:r>
          </w:p>
        </w:tc>
        <w:tc>
          <w:tcPr>
            <w:tcW w:type="dxa" w:w="11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a + c</w:t>
            </w:r>
          </w:p>
        </w:tc>
      </w:tr>
      <w:tr>
        <w:trPr>
          <w:cantSplit/>
          <w:tblHeader w:val="false"/>
        </w:trPr>
        <w:tc>
          <w:tcPr>
            <w:tcW w:type="dxa" w:w="137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Other events</w:t>
            </w:r>
          </w:p>
        </w:tc>
        <w:tc>
          <w:tcPr>
            <w:tcW w:type="dxa" w:w="11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b</w:t>
            </w:r>
          </w:p>
        </w:tc>
        <w:tc>
          <w:tcPr>
            <w:tcW w:type="dxa" w:w="128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d</w:t>
            </w:r>
          </w:p>
        </w:tc>
        <w:tc>
          <w:tcPr>
            <w:tcW w:type="dxa" w:w="11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b + d</w:t>
            </w:r>
          </w:p>
        </w:tc>
      </w:tr>
      <w:tr>
        <w:trPr>
          <w:cantSplit/>
          <w:tblHeader w:val="false"/>
        </w:trPr>
        <w:tc>
          <w:tcPr>
            <w:tcW w:type="dxa" w:w="137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Sums</w:t>
            </w:r>
          </w:p>
        </w:tc>
        <w:tc>
          <w:tcPr>
            <w:tcW w:type="dxa" w:w="11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a + b</w:t>
            </w:r>
          </w:p>
        </w:tc>
        <w:tc>
          <w:tcPr>
            <w:tcW w:type="dxa" w:w="128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c + d</w:t>
            </w:r>
          </w:p>
        </w:tc>
        <w:tc>
          <w:tcPr>
            <w:tcW w:type="dxa" w:w="119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a + b + c + d</w:t>
            </w:r>
          </w:p>
        </w:tc>
      </w:tr>
    </w:tbl>
    <w:p>
      <w:pPr>
        <w:spacing w:after="200" w:line="240"/>
      </w:pPr>
    </w:p>
    <w:p>
      <w:pPr>
        <w:keepNext/>
        <w:spacing w:after="80" w:before="200" w:line="240" w:lineRule="auto"/>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Computational formulae and thresholds of signal detection.</w:t>
      </w:r>
    </w:p>
    <w:tbl>
      <w:tblPr>
        <w:tblW w:type="dxa" w:w="6369"/>
        <w:jc w:val="center"/>
        <w:tblBorders>
          <w:top w:val="single" w:color="auto" w:sz="4"/>
          <w:left w:val="single" w:color="auto" w:sz="4"/>
          <w:bottom w:val="single" w:color="auto" w:sz="4"/>
          <w:right w:val="single" w:color="auto" w:sz="4"/>
          <w:insideH w:val="single" w:color="auto" w:sz="4"/>
          <w:insideV w:val="single" w:color="auto" w:sz="4"/>
        </w:tblBorders>
      </w:tblPr>
      <w:tblGrid>
        <w:gridCol w:w="1126"/>
        <w:gridCol w:w="2596"/>
        <w:gridCol w:w="2647"/>
      </w:tblGrid>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6"/>
                <w:szCs w:val="16"/>
              </w:rPr>
              <w:t xml:space="preserve">Algorithm</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Equation</w:t>
            </w:r>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Criteria</w:t>
            </w:r>
          </w:p>
        </w:tc>
      </w:tr>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ROR</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ROR = (ad) / (bc)</w:t>
            </w:r>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95% CI lower bound </w:t>
            </w:r>
            <w:r>
              <w:rPr>
                <w:rFonts w:ascii="Times New Roman" w:cs="Times New Roman" w:eastAsia="Times New Roman" w:hAnsi="Times New Roman"/>
                <w:b w:val="false"/>
                <w:bCs w:val="false"/>
                <w:i/>
                <w:iCs/>
                <w:sz w:val="16"/>
                <w:szCs w:val="16"/>
              </w:rPr>
              <w:t xml:space="preserve">&gt; 1</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N ≥ 3</w:t>
            </w:r>
          </w:p>
        </w:tc>
      </w:tr>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PRR</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PRR = (a(c+d)) / (c(a+b))</w:t>
            </w:r>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PRR </w:t>
            </w:r>
            <w:r>
              <w:rPr>
                <w:rFonts w:ascii="Times New Roman" w:cs="Times New Roman" w:eastAsia="Times New Roman" w:hAnsi="Times New Roman"/>
                <w:b w:val="false"/>
                <w:bCs w:val="false"/>
                <w:i/>
                <w:iCs/>
                <w:sz w:val="16"/>
                <w:szCs w:val="16"/>
              </w:rPr>
              <w:t xml:space="preserve">≥ 2</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χ</w:t>
            </w:r>
            <w:r>
              <w:rPr>
                <w:rFonts w:ascii="Times New Roman" w:cs="Times New Roman" w:eastAsia="Times New Roman" w:hAnsi="Times New Roman"/>
                <w:b w:val="false"/>
                <w:bCs w:val="false"/>
                <w:i/>
                <w:iCs/>
                <w:sz w:val="16"/>
                <w:szCs w:val="16"/>
                <w:vertAlign w:val="superscript"/>
              </w:rPr>
              <w:t xml:space="preserve">2</w:t>
            </w:r>
            <w:r>
              <w:rPr>
                <w:rFonts w:ascii="Times New Roman" w:cs="Times New Roman" w:eastAsia="Times New Roman" w:hAnsi="Times New Roman"/>
                <w:b w:val="false"/>
                <w:bCs w:val="false"/>
                <w:i/>
                <w:iCs/>
                <w:sz w:val="16"/>
                <w:szCs w:val="16"/>
              </w:rPr>
              <w:t xml:space="preserve"> ≥ 4</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N ≥ 3</w:t>
            </w:r>
          </w:p>
        </w:tc>
      </w:tr>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IC</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IC = log₂ (a · (a+b+c+d)) / ((a+b)(a+c))</w:t>
            </w:r>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IC</w:t>
            </w:r>
            <w:r>
              <w:rPr>
                <w:rFonts w:ascii="Times New Roman" w:cs="Times New Roman" w:eastAsia="Times New Roman" w:hAnsi="Times New Roman"/>
                <w:b w:val="false"/>
                <w:bCs w:val="false"/>
                <w:i/>
                <w:iCs/>
                <w:sz w:val="16"/>
                <w:szCs w:val="16"/>
                <w:vertAlign w:val="subscript"/>
              </w:rPr>
              <w:t xml:space="preserve">025</w:t>
            </w:r>
            <w:r>
              <w:rPr>
                <w:rFonts w:ascii="Times New Roman" w:cs="Times New Roman" w:eastAsia="Times New Roman" w:hAnsi="Times New Roman"/>
                <w:b w:val="false"/>
                <w:bCs w:val="false"/>
                <w:i/>
                <w:iCs/>
                <w:sz w:val="16"/>
                <w:szCs w:val="16"/>
              </w:rPr>
              <w:t xml:space="preserve"> &gt; 0</w:t>
            </w:r>
          </w:p>
        </w:tc>
      </w:tr>
      <w:tr>
        <w:trPr>
          <w:cantSplit/>
          <w:tblHeader w:val="false"/>
        </w:trPr>
        <w:tc>
          <w:tcPr>
            <w:tcW w:type="dxa" w:w="112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EBGM</w:t>
            </w:r>
            <w:r>
              <w:rPr>
                <w:rFonts w:ascii="Times New Roman" w:cs="Times New Roman" w:eastAsia="Times New Roman" w:hAnsi="Times New Roman"/>
                <w:b w:val="false"/>
                <w:bCs w:val="false"/>
                <w:i/>
                <w:iCs/>
                <w:sz w:val="16"/>
                <w:szCs w:val="16"/>
                <w:vertAlign w:val="superscript"/>
              </w:rPr>
              <w:t xml:space="preserve">†</w:t>
            </w:r>
          </w:p>
        </w:tc>
        <w:tc>
          <w:tcPr>
            <w:tcW w:type="dxa" w:w="259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EBGM = (a) / (E)</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E = ((a+b)(a+c)) / (a+b+c+d)</w:t>
            </w:r>
          </w:p>
        </w:tc>
        <w:tc>
          <w:tcPr>
            <w:tcW w:type="dxa" w:w="2647"/>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EB05 </w:t>
            </w:r>
            <w:r>
              <w:rPr>
                <w:rFonts w:ascii="Times New Roman" w:cs="Times New Roman" w:eastAsia="Times New Roman" w:hAnsi="Times New Roman"/>
                <w:b w:val="false"/>
                <w:bCs w:val="false"/>
                <w:i/>
                <w:iCs/>
                <w:sz w:val="16"/>
                <w:szCs w:val="16"/>
              </w:rPr>
              <w:t xml:space="preserve">≥ 2</w:t>
            </w:r>
          </w:p>
        </w:tc>
      </w:tr>
    </w:tbl>
    <w:p>
      <w:pPr>
        <w:spacing w:after="200" w:line="240"/>
      </w:pPr>
    </w:p>
    <w:p>
      <w:pPr>
        <w:spacing w:line="480" w:lineRule="auto"/>
        <w:ind w:firstLine="283"/>
        <w:jc w:val="left"/>
      </w:pP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The equation shown is the crude observed/expected ratio. The reported EBGM values were computed using the Multi-item Gamma Poisson Shrinker (GPS/DuMouchel) with a two-component Gamma mixture prior (</w:t>
      </w:r>
      <w:r>
        <w:rPr>
          <w:rFonts w:ascii="Times New Roman" w:cs="Times New Roman" w:eastAsia="Times New Roman" w:hAnsi="Times New Roman"/>
          <w:b w:val="false"/>
          <w:bCs w:val="false"/>
          <w:i/>
          <w:iCs/>
          <w:sz w:val="20"/>
          <w:szCs w:val="20"/>
        </w:rPr>
        <w:t xml:space="preserve">α</w:t>
      </w:r>
      <w:r>
        <w:rPr>
          <w:rFonts w:ascii="Times New Roman" w:cs="Times New Roman" w:eastAsia="Times New Roman" w:hAnsi="Times New Roman"/>
          <w:b w:val="false"/>
          <w:bCs w:val="false"/>
          <w:i/>
          <w:iCs/>
          <w:sz w:val="20"/>
          <w:szCs w:val="20"/>
          <w:vertAlign w:val="subscript"/>
        </w:rPr>
        <w:t xml:space="preserve">1</w:t>
      </w:r>
      <w:r>
        <w:rPr>
          <w:rFonts w:ascii="Times New Roman" w:cs="Times New Roman" w:eastAsia="Times New Roman" w:hAnsi="Times New Roman"/>
          <w:b w:val="false"/>
          <w:bCs w:val="false"/>
          <w:i/>
          <w:iCs/>
          <w:sz w:val="20"/>
          <w:szCs w:val="20"/>
        </w:rPr>
        <w:t xml:space="preserve">=0.2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β</w:t>
      </w:r>
      <w:r>
        <w:rPr>
          <w:rFonts w:ascii="Times New Roman" w:cs="Times New Roman" w:eastAsia="Times New Roman" w:hAnsi="Times New Roman"/>
          <w:b w:val="false"/>
          <w:bCs w:val="false"/>
          <w:i/>
          <w:iCs/>
          <w:sz w:val="20"/>
          <w:szCs w:val="20"/>
          <w:vertAlign w:val="subscript"/>
        </w:rPr>
        <w:t xml:space="preserve">1</w:t>
      </w:r>
      <w:r>
        <w:rPr>
          <w:rFonts w:ascii="Times New Roman" w:cs="Times New Roman" w:eastAsia="Times New Roman" w:hAnsi="Times New Roman"/>
          <w:b w:val="false"/>
          <w:bCs w:val="false"/>
          <w:i/>
          <w:iCs/>
          <w:sz w:val="20"/>
          <w:szCs w:val="20"/>
        </w:rPr>
        <w:t xml:space="preserve">=0.06</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α</w:t>
      </w:r>
      <w:r>
        <w:rPr>
          <w:rFonts w:ascii="Times New Roman" w:cs="Times New Roman" w:eastAsia="Times New Roman" w:hAnsi="Times New Roman"/>
          <w:b w:val="false"/>
          <w:bCs w:val="false"/>
          <w:i/>
          <w:iCs/>
          <w:sz w:val="20"/>
          <w:szCs w:val="20"/>
          <w:vertAlign w:val="subscript"/>
        </w:rPr>
        <w:t xml:space="preserve">2</w:t>
      </w:r>
      <w:r>
        <w:rPr>
          <w:rFonts w:ascii="Times New Roman" w:cs="Times New Roman" w:eastAsia="Times New Roman" w:hAnsi="Times New Roman"/>
          <w:b w:val="false"/>
          <w:bCs w:val="false"/>
          <w:i/>
          <w:iCs/>
          <w:sz w:val="20"/>
          <w:szCs w:val="20"/>
        </w:rPr>
        <w:t xml:space="preserve">=1.4</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β</w:t>
      </w:r>
      <w:r>
        <w:rPr>
          <w:rFonts w:ascii="Times New Roman" w:cs="Times New Roman" w:eastAsia="Times New Roman" w:hAnsi="Times New Roman"/>
          <w:b w:val="false"/>
          <w:bCs w:val="false"/>
          <w:i/>
          <w:iCs/>
          <w:sz w:val="20"/>
          <w:szCs w:val="20"/>
          <w:vertAlign w:val="subscript"/>
        </w:rPr>
        <w:t xml:space="preserve">2</w:t>
      </w:r>
      <w:r>
        <w:rPr>
          <w:rFonts w:ascii="Times New Roman" w:cs="Times New Roman" w:eastAsia="Times New Roman" w:hAnsi="Times New Roman"/>
          <w:b w:val="false"/>
          <w:bCs w:val="false"/>
          <w:i/>
          <w:iCs/>
          <w:sz w:val="20"/>
          <w:szCs w:val="20"/>
        </w:rPr>
        <w:t xml:space="preserve">=1.8</w:t>
      </w:r>
      <w:r>
        <w:rPr>
          <w:rFonts w:ascii="Times New Roman" w:cs="Times New Roman" w:eastAsia="Times New Roman" w:hAnsi="Times New Roman"/>
          <w:b w:val="false"/>
          <w:bCs w:val="false"/>
          <w:i w:val="false"/>
          <w:iCs w:val="false"/>
          <w:sz w:val="20"/>
          <w:szCs w:val="20"/>
        </w:rPr>
        <w:t xml:space="preserve">; mixing weight </w:t>
      </w:r>
      <w:r>
        <w:rPr>
          <w:rFonts w:ascii="Times New Roman" w:cs="Times New Roman" w:eastAsia="Times New Roman" w:hAnsi="Times New Roman"/>
          <w:b w:val="false"/>
          <w:bCs w:val="false"/>
          <w:i/>
          <w:iCs/>
          <w:sz w:val="20"/>
          <w:szCs w:val="20"/>
        </w:rPr>
        <w:t xml:space="preserve">w=0.1</w:t>
      </w:r>
      <w:r>
        <w:rPr>
          <w:rFonts w:ascii="Times New Roman" w:cs="Times New Roman" w:eastAsia="Times New Roman" w:hAnsi="Times New Roman"/>
          <w:b w:val="false"/>
          <w:bCs w:val="false"/>
          <w:i w:val="false"/>
          <w:iCs w:val="false"/>
          <w:sz w:val="20"/>
          <w:szCs w:val="20"/>
        </w:rPr>
        <w:t xml:space="preserve">), which applies Bayesian shrinkage to the crude ratio, pulling estimates with small cell counts toward the database-wide baseline. These prior hyperparameters were fixed at the values shown rather than estimated from the data by maximum likelihood, a simplification of the original GPS procedure that should be borne in mind when comparing EBGM values with those of other studies.</w:t>
      </w:r>
    </w:p>
    <w:p>
      <w:pPr>
        <w:spacing w:line="480" w:lineRule="auto"/>
        <w:ind w:firstLine="283"/>
        <w:jc w:val="left"/>
      </w:pPr>
    </w:p>
    <w:p>
      <w:pPr>
        <w:pStyle w:val="ListParagraph"/>
        <w:numPr>
          <w:ilvl w:val="0"/>
          <w:numId w:val="2"/>
        </w:numPr>
        <w:spacing w:after="0" w:line="480" w:lineRule="auto"/>
      </w:pPr>
      <w:r>
        <w:rPr>
          <w:rFonts w:ascii="Times New Roman" w:cs="Times New Roman" w:eastAsia="Times New Roman" w:hAnsi="Times New Roman"/>
          <w:b/>
          <w:bCs/>
          <w:i w:val="false"/>
          <w:iCs w:val="false"/>
          <w:sz w:val="20"/>
          <w:szCs w:val="20"/>
        </w:rPr>
        <w:t xml:space="preserve">Reporting Odds Ratio (ROR):</w:t>
      </w:r>
      <w:r>
        <w:rPr>
          <w:rFonts w:ascii="Times New Roman" w:cs="Times New Roman" w:eastAsia="Times New Roman" w:hAnsi="Times New Roman"/>
          <w:b w:val="false"/>
          <w:bCs w:val="false"/>
          <w:i w:val="false"/>
          <w:iCs w:val="false"/>
          <w:sz w:val="20"/>
          <w:szCs w:val="20"/>
        </w:rPr>
        <w:t xml:space="preserve"> Signal detected when the lower bound of the 95% CI exceeds 1 and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[20].</w:t>
      </w:r>
    </w:p>
    <w:p>
      <w:pPr>
        <w:pStyle w:val="ListParagraph"/>
        <w:numPr>
          <w:ilvl w:val="0"/>
          <w:numId w:val="2"/>
        </w:numPr>
        <w:spacing w:after="0" w:line="480" w:lineRule="auto"/>
      </w:pPr>
      <w:r>
        <w:rPr>
          <w:rFonts w:ascii="Times New Roman" w:cs="Times New Roman" w:eastAsia="Times New Roman" w:hAnsi="Times New Roman"/>
          <w:b/>
          <w:bCs/>
          <w:i w:val="false"/>
          <w:iCs w:val="false"/>
          <w:sz w:val="20"/>
          <w:szCs w:val="20"/>
        </w:rPr>
        <w:t xml:space="preserve">Proportional Reporting Ratio (PRR):</w:t>
      </w:r>
      <w:r>
        <w:rPr>
          <w:rFonts w:ascii="Times New Roman" w:cs="Times New Roman" w:eastAsia="Times New Roman" w:hAnsi="Times New Roman"/>
          <w:b w:val="false"/>
          <w:bCs w:val="false"/>
          <w:i w:val="false"/>
          <w:iCs w:val="false"/>
          <w:sz w:val="20"/>
          <w:szCs w:val="20"/>
        </w:rPr>
        <w:t xml:space="preserve"> Signal detected when PRR </w:t>
      </w:r>
      <w:r>
        <w:rPr>
          <w:rFonts w:ascii="Times New Roman" w:cs="Times New Roman" w:eastAsia="Times New Roman" w:hAnsi="Times New Roman"/>
          <w:b w:val="false"/>
          <w:bCs w:val="false"/>
          <w:i/>
          <w:iCs/>
          <w:sz w:val="20"/>
          <w:szCs w:val="20"/>
        </w:rPr>
        <w:t xml:space="preserve">≥ 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iCs/>
          <w:sz w:val="20"/>
          <w:szCs w:val="20"/>
        </w:rPr>
        <w:t xml:space="preserve"> ≥ 4</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[21].</w:t>
      </w:r>
    </w:p>
    <w:p>
      <w:pPr>
        <w:pStyle w:val="ListParagraph"/>
        <w:numPr>
          <w:ilvl w:val="0"/>
          <w:numId w:val="2"/>
        </w:numPr>
        <w:spacing w:after="0" w:line="480" w:lineRule="auto"/>
      </w:pPr>
      <w:r>
        <w:rPr>
          <w:rFonts w:ascii="Times New Roman" w:cs="Times New Roman" w:eastAsia="Times New Roman" w:hAnsi="Times New Roman"/>
          <w:b/>
          <w:bCs/>
          <w:i w:val="false"/>
          <w:iCs w:val="false"/>
          <w:sz w:val="20"/>
          <w:szCs w:val="20"/>
        </w:rPr>
        <w:t xml:space="preserve">Information Component (IC):</w:t>
      </w:r>
      <w:r>
        <w:rPr>
          <w:rFonts w:ascii="Times New Roman" w:cs="Times New Roman" w:eastAsia="Times New Roman" w:hAnsi="Times New Roman"/>
          <w:b w:val="false"/>
          <w:bCs w:val="false"/>
          <w:i w:val="false"/>
          <w:iCs w:val="false"/>
          <w:sz w:val="20"/>
          <w:szCs w:val="20"/>
        </w:rPr>
        <w:t xml:space="preserve"> Based on Bayesian Confidence Propagation Neural Network (BCPNN). Signal detected when IC</w:t>
      </w:r>
      <w:r>
        <w:rPr>
          <w:rFonts w:ascii="Times New Roman" w:cs="Times New Roman" w:eastAsia="Times New Roman" w:hAnsi="Times New Roman"/>
          <w:b w:val="false"/>
          <w:bCs w:val="false"/>
          <w:i/>
          <w:iCs/>
          <w:sz w:val="20"/>
          <w:szCs w:val="20"/>
          <w:vertAlign w:val="subscript"/>
        </w:rPr>
        <w:t xml:space="preserve">025</w:t>
      </w:r>
      <w:r>
        <w:rPr>
          <w:rFonts w:ascii="Times New Roman" w:cs="Times New Roman" w:eastAsia="Times New Roman" w:hAnsi="Times New Roman"/>
          <w:b w:val="false"/>
          <w:bCs w:val="false"/>
          <w:i w:val="false"/>
          <w:iCs w:val="false"/>
          <w:sz w:val="20"/>
          <w:szCs w:val="20"/>
        </w:rPr>
        <w:t xml:space="preserve"> (lower 95% credible interval) </w:t>
      </w:r>
      <w:r>
        <w:rPr>
          <w:rFonts w:ascii="Times New Roman" w:cs="Times New Roman" w:eastAsia="Times New Roman" w:hAnsi="Times New Roman"/>
          <w:b w:val="false"/>
          <w:bCs w:val="false"/>
          <w:i/>
          <w:iCs/>
          <w:sz w:val="20"/>
          <w:szCs w:val="20"/>
        </w:rPr>
        <w:t xml:space="preserve">&gt; 0</w:t>
      </w:r>
      <w:r>
        <w:rPr>
          <w:rFonts w:ascii="Times New Roman" w:cs="Times New Roman" w:eastAsia="Times New Roman" w:hAnsi="Times New Roman"/>
          <w:b w:val="false"/>
          <w:bCs w:val="false"/>
          <w:i w:val="false"/>
          <w:iCs w:val="false"/>
          <w:sz w:val="20"/>
          <w:szCs w:val="20"/>
        </w:rPr>
        <w:t xml:space="preserve"> [22].</w:t>
      </w:r>
    </w:p>
    <w:p>
      <w:pPr>
        <w:pStyle w:val="ListParagraph"/>
        <w:numPr>
          <w:ilvl w:val="0"/>
          <w:numId w:val="2"/>
        </w:numPr>
        <w:spacing w:after="0" w:line="480" w:lineRule="auto"/>
      </w:pPr>
      <w:r>
        <w:rPr>
          <w:rFonts w:ascii="Times New Roman" w:cs="Times New Roman" w:eastAsia="Times New Roman" w:hAnsi="Times New Roman"/>
          <w:b/>
          <w:bCs/>
          <w:i w:val="false"/>
          <w:iCs w:val="false"/>
          <w:sz w:val="20"/>
          <w:szCs w:val="20"/>
        </w:rPr>
        <w:t xml:space="preserve">Empirical Bayes Geometric Mean (EBGM):</w:t>
      </w:r>
      <w:r>
        <w:rPr>
          <w:rFonts w:ascii="Times New Roman" w:cs="Times New Roman" w:eastAsia="Times New Roman" w:hAnsi="Times New Roman"/>
          <w:b w:val="false"/>
          <w:bCs w:val="false"/>
          <w:i w:val="false"/>
          <w:iCs w:val="false"/>
          <w:sz w:val="20"/>
          <w:szCs w:val="20"/>
        </w:rPr>
        <w:t xml:space="preserve"> Using Multi-item Gamma Poisson Shrinker (MGPS) with Bayesian shrinkage. Signal detected when EB05 (lower 90% one-sided CI) </w:t>
      </w:r>
      <w:r>
        <w:rPr>
          <w:rFonts w:ascii="Times New Roman" w:cs="Times New Roman" w:eastAsia="Times New Roman" w:hAnsi="Times New Roman"/>
          <w:b w:val="false"/>
          <w:bCs w:val="false"/>
          <w:i/>
          <w:iCs/>
          <w:sz w:val="20"/>
          <w:szCs w:val="20"/>
        </w:rPr>
        <w:t xml:space="preserve">≥ 2</w:t>
      </w:r>
      <w:r>
        <w:rPr>
          <w:rFonts w:ascii="Times New Roman" w:cs="Times New Roman" w:eastAsia="Times New Roman" w:hAnsi="Times New Roman"/>
          <w:b w:val="false"/>
          <w:bCs w:val="false"/>
          <w:i w:val="false"/>
          <w:iCs w:val="false"/>
          <w:sz w:val="20"/>
          <w:szCs w:val="20"/>
        </w:rPr>
        <w:t xml:space="preserve"> [23].</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 drug-event pair was flagged for signal intensity when its ROR 95% CI lower bound exceeded 1 and, independently, when its PRR reached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2 with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iCs/>
          <w:sz w:val="20"/>
          <w:szCs w:val="20"/>
        </w:rPr>
        <w:t xml:space="preserve"> ≥ 4</w:t>
      </w:r>
      <w:r>
        <w:rPr>
          <w:rFonts w:ascii="Times New Roman" w:cs="Times New Roman" w:eastAsia="Times New Roman" w:hAnsi="Times New Roman"/>
          <w:b w:val="false"/>
          <w:bCs w:val="false"/>
          <w:i w:val="false"/>
          <w:iCs w:val="false"/>
          <w:sz w:val="20"/>
          <w:szCs w:val="20"/>
        </w:rPr>
        <w:t xml:space="preserve"> - both reflecting how strongly the pairing deviates from what would be expected by chance. Signal frequency, in contrast, was simply the raw case count for that pairing, requiring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3 reports before a signal was considered evaluable. Only pairs clearing all four algorithmic thresholds simultaneously were classified as high-confidence drug-event associations.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clinical characteristics of the patients, including sex, age, reporting country, and reporter type, were analysed descriptively. Dichotomous variables are expressed as frequencies and percentages, whereas continuous variables are presented as means </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 standard deviations. Data analysis was performed using Python 3.11 with </w:t>
      </w:r>
      <w:r>
        <w:rPr>
          <w:rFonts w:ascii="Courier New" w:cs="Courier New" w:eastAsia="Courier New" w:hAnsi="Courier New"/>
          <w:b w:val="false"/>
          <w:bCs w:val="false"/>
          <w:i w:val="false"/>
          <w:iCs w:val="false"/>
          <w:sz w:val="20"/>
          <w:szCs w:val="20"/>
        </w:rPr>
        <w:t xml:space="preserve">pandas</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scikit-learn</w:t>
      </w:r>
      <w:r>
        <w:rPr>
          <w:rFonts w:ascii="Times New Roman" w:cs="Times New Roman" w:eastAsia="Times New Roman" w:hAnsi="Times New Roman"/>
          <w:b w:val="false"/>
          <w:bCs w:val="false"/>
          <w:i w:val="false"/>
          <w:iCs w:val="false"/>
          <w:sz w:val="20"/>
          <w:szCs w:val="20"/>
        </w:rPr>
        <w:t xml:space="preserve"> 1.5.0, and PostgreSQL 16 for data storage.</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Complementary machine-learning analysis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As a secondary analysis to complement the population-level disproportionality approach, the study developed a leakage-aware XGBoost classifier [24] to triage individual FAERS case reports by reported outcome severity: Death (DE), Life-Threatening (LT), Hospitalisation (HO), Disability (DS), Required Intervention (RI), and Other (OT). The model used 13 case-level features (age, sex, weight, drug sequence, route, role code, normalised drug name, RxCUI, dose amount/unit/form, indication, and adverse-event PT). Seriousness flags and directly outcome-derived features were excluded. The adverse-event Preferred Term was retained as a predictor; because it was also used to reconstruct missing outcome labels, it remains a residual source of target leakage, which is quantified in the Results and recorded in S6 Table.</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dataset was split chronologically: training on 2021Q1-2023Q4, validation on 2024, and independent testing on 2025. All preprocessing was fitted on the training quarters alone: category encodings, imputation medians and the feature scaler were learned from 2021-2023 and applied unchanged to 2024 and 2025, with categories absent from training mapped to a reserved unseen level. The temporal pipeline, the baseline comparators, McNemar's test and the bootstrap intervals are implemented in </w:t>
      </w:r>
      <w:r>
        <w:rPr>
          <w:rFonts w:ascii="Courier New" w:cs="Courier New" w:eastAsia="Courier New" w:hAnsi="Courier New"/>
          <w:b w:val="false"/>
          <w:bCs w:val="false"/>
          <w:i w:val="false"/>
          <w:iCs w:val="false"/>
          <w:sz w:val="20"/>
          <w:szCs w:val="20"/>
        </w:rPr>
        <w:t xml:space="preserve">code/train</w:t>
      </w:r>
      <w:r>
        <w:rPr>
          <w:rFonts w:ascii="Times New Roman" w:cs="Times New Roman" w:eastAsia="Times New Roman" w:hAnsi="Times New Roman"/>
          <w:b w:val="false"/>
          <w:bCs w:val="false"/>
          <w:i w:val="false"/>
          <w:iCs w:val="false"/>
          <w:sz w:val="20"/>
          <w:szCs w:val="20"/>
          <w:vertAlign w:val="subscript"/>
        </w:rPr>
        <w:t xml:space="preserve">t</w:t>
      </w:r>
      <w:r>
        <w:rPr>
          <w:rFonts w:ascii="Courier New" w:cs="Courier New" w:eastAsia="Courier New" w:hAnsi="Courier New"/>
          <w:b w:val="false"/>
          <w:bCs w:val="false"/>
          <w:i w:val="false"/>
          <w:iCs w:val="false"/>
          <w:sz w:val="20"/>
          <w:szCs w:val="20"/>
        </w:rPr>
        <w:t xml:space="preserve">emporal.py</w:t>
      </w:r>
      <w:r>
        <w:rPr>
          <w:rFonts w:ascii="Times New Roman" w:cs="Times New Roman" w:eastAsia="Times New Roman" w:hAnsi="Times New Roman"/>
          <w:b w:val="false"/>
          <w:bCs w:val="false"/>
          <w:i w:val="false"/>
          <w:iCs w:val="false"/>
          <w:sz w:val="20"/>
          <w:szCs w:val="20"/>
        </w:rPr>
        <w:t xml:space="preserve"> in the accompanying repository. XGBoost was compared against majority-class, logistic regression, decision tree, and random forest baselines using McNemar's test (</w:t>
      </w:r>
      <w:r>
        <w:rPr>
          <w:rFonts w:ascii="Times New Roman" w:cs="Times New Roman" w:eastAsia="Times New Roman" w:hAnsi="Times New Roman"/>
          <w:b w:val="false"/>
          <w:bCs w:val="false"/>
          <w:i/>
          <w:iCs/>
          <w:sz w:val="20"/>
          <w:szCs w:val="20"/>
        </w:rPr>
        <w:t xml:space="preserve">α = 0.001</w:t>
      </w:r>
      <w:r>
        <w:rPr>
          <w:rFonts w:ascii="Times New Roman" w:cs="Times New Roman" w:eastAsia="Times New Roman" w:hAnsi="Times New Roman"/>
          <w:b w:val="false"/>
          <w:bCs w:val="false"/>
          <w:i w:val="false"/>
          <w:iCs w:val="false"/>
          <w:sz w:val="20"/>
          <w:szCs w:val="20"/>
        </w:rPr>
        <w:t xml:space="preserve">) with 1</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000 bootstrap resamples for confidence intervals [25]. This component was designed as a pharmacovigilance triage tool, not as evidence of causality or a replacement for human review.</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To clarify the outcome-label handling across the study: (1) the descriptive analysis of FAERS outcomes used only genuinely observed outcome codes, with missing outcomes reported as such (approximately 46-51% missingness across panels); (2) the ML model development (training and validation) used observed outcomes supplemented by pseudo-labelled cases generated through a two-stage procedure, expanding the training set but not constituting clinical judgements; and (3) the independent temporal test (2025 data) was drawn from the same modelling dataset and therefore carries the same mixture of observed and pseudo-labelled outcome codes as the training and validation partitions. The reported temporal Macro-F1 must accordingly be read as performance against the constructed outcome column rather than against independently observed outcomes. This is the principal reason the Preferred-Term lookup baseline outperforms the fitted model, and it is quantified in the Results and discussed under Limitations.</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Results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Flowchart of reporting</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This study analysed 7,612,804 raw report records from the FAERS database (2021Q1-2025Q4). After removing duplicate case versions, 6,985,217 unique cases remained. Restricting to adolescents aged 12-17 years yielded 403,278 age-eligible reports. Among these, 11,701 cases involved at least one drug from the broad obesity-related panel, 10,701 from the selected obesity-related panel, 5,208 from the broad diabetes-related panel, and 342 from the selected diabetes-related panel (Fig 1).</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Basic characteristics of reported AEs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Demographic composition, reporter type, and geographic origin were summarised descriptively across the four study cohorts. Approximately 54% of patients were female across all four panels, consistent with the known higher reporting frequency among female adolescents observed in prior FAERS studies [6]. The mean age was remarkably consistent, ranging from 14.50 to 14.63 years across panels. Most reports originated from healthcare professionals (51-56%), with the United States contributing the majority of reports. Notably, outcome data was missing in approximately half of all reports (45.9-51.3%), a well-documented limitation of spontaneous reporting systems. The detailed demographic characteristics are presented in Table 4.</w:t>
      </w:r>
    </w:p>
    <w:p>
      <w:pPr>
        <w:keepNext/>
        <w:spacing w:after="80" w:before="200" w:line="240" w:lineRule="auto"/>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Basic information of AE reports.</w:t>
      </w:r>
    </w:p>
    <w:tbl>
      <w:tblPr>
        <w:tblW w:type="dxa" w:w="8696"/>
        <w:jc w:val="left"/>
        <w:tblInd w:type="dxa" w:w="-2007"/>
        <w:tblBorders>
          <w:top w:val="single" w:color="auto" w:sz="4"/>
          <w:left w:val="single" w:color="auto" w:sz="4"/>
          <w:bottom w:val="single" w:color="auto" w:sz="4"/>
          <w:right w:val="single" w:color="auto" w:sz="4"/>
          <w:insideH w:val="single" w:color="auto" w:sz="4"/>
          <w:insideV w:val="single" w:color="auto" w:sz="4"/>
        </w:tblBorders>
      </w:tblPr>
      <w:tblGrid>
        <w:gridCol w:w="2359"/>
        <w:gridCol w:w="1450"/>
        <w:gridCol w:w="1632"/>
        <w:gridCol w:w="1536"/>
        <w:gridCol w:w="1719"/>
      </w:tblGrid>
      <w:tr>
        <w:trPr>
          <w:cantSplit/>
          <w:tblHeader/>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6"/>
                <w:szCs w:val="16"/>
              </w:rPr>
              <w:t xml:space="preserve">Characteristic</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Broad Obesity</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Selected Obesity</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Broad Diabetes</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Selected Diabetes</w:t>
            </w:r>
          </w:p>
        </w:tc>
      </w:tr>
      <w:tr>
        <w:trPr>
          <w:cantSplit/>
          <w:tblHeader/>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(N = 11,701)</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(N = 10,701)</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(N = 5,208)</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(N = 342)</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Age (years)</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Mean </w:t>
            </w:r>
            <w:r>
              <w:rPr>
                <w:rFonts w:ascii="Times New Roman" w:cs="Times New Roman" w:eastAsia="Times New Roman" w:hAnsi="Times New Roman"/>
                <w:b w:val="false"/>
                <w:bCs w:val="false"/>
                <w:i/>
                <w:iCs/>
                <w:sz w:val="16"/>
                <w:szCs w:val="16"/>
              </w:rPr>
              <w:t xml:space="preserve">±</w:t>
            </w:r>
            <w:r>
              <w:rPr>
                <w:rFonts w:ascii="Times New Roman" w:cs="Times New Roman" w:eastAsia="Times New Roman" w:hAnsi="Times New Roman"/>
                <w:b w:val="false"/>
                <w:bCs w:val="false"/>
                <w:i w:val="false"/>
                <w:iCs w:val="false"/>
                <w:sz w:val="16"/>
                <w:szCs w:val="16"/>
              </w:rPr>
              <w:t xml:space="preserve"> SD</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14.57 ± 0.63</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14.57 ± 0.61</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14.63 ± 0.72</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14.50 ± 0.44</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Sex, n (%)</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Female</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6,324 (54.1%)</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5,830 (54.5%)</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2,906 (55.8%)</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184 (53.8%)</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Male</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4,964 (42.4%)</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4,568 (42.7%)</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2,015 (38.7%)</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118 (34.5%)</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Unknown</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413 (3.5%)</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303 (2.8%)</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287 (5.5%)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40 (11.7%)</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Drug role, n (%)</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Primary suspect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1,761 (15.1%)</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1,220 (11.4%)</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1,224 (23.5%)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154 (45.0%)</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Concomitant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9,027 (77.2%)</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8,732 (81.6%)</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3,410 (65.5%)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114 (33.3%)</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Secondary suspect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549 (4.7%)</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411 (3.8%)</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382 (7.3%)</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52 (15.2%)</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Interacting</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364 (3.1%)</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338 (3.2%)</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192 (3.7%)</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22 (6.4%)</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Outcome distribution, n (%)</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Hospitalisation (HO)</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2,506 (21.4%)</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2,311 (21.6%)</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1,218 (23.4%)</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85 (24.9%)</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Other serious (OT)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1,898 (16.2%)</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1,701 (15.9%)</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812 (15.6%)</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48 (14.0%)</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Death (DE)</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525 (4.5%)</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456 (4.3%)</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335 (6.4%)</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21 (6.1%)</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Life-threatening (LT)</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301 (2.6%)</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263 (2.5%)</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191 (3.7%)</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12 (3.5%)</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Disability (DS)</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195 (1.7%)</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176 (1.6%)</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92 (1.8%)</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 (1.5%)</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Required intervention (RI)</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343 (2.9%)</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309 (2.9%)</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170 (3.3%)</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11 (3.2%)</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Missing</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5,933 (50.7%)</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5,485 (51.3%)</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2,390 (45.9%)</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160 (46.8%)</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val="false"/>
                <w:bCs w:val="false"/>
                <w:i w:val="false"/>
                <w:iCs w:val="false"/>
                <w:sz w:val="16"/>
                <w:szCs w:val="16"/>
              </w:rPr>
              <w:t xml:space="preserve"> Note: Outcome counts are genuinely observed FAERS outcome codes, one per report; observed</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val="false"/>
                <w:bCs w:val="false"/>
                <w:i w:val="false"/>
                <w:iCs w:val="false"/>
                <w:sz w:val="16"/>
                <w:szCs w:val="16"/>
              </w:rPr>
              <w:t xml:space="preserve"> categories plus Missing sum to the panel total. The ML modelling dataset (broad panel,</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N=11</w:t>
            </w:r>
            <w:r>
              <w:rPr>
                <w:rFonts w:ascii="Times New Roman" w:cs="Times New Roman" w:eastAsia="Times New Roman" w:hAnsi="Times New Roman"/>
                <w:b w:val="false"/>
                <w:bCs w:val="false"/>
                <w:i/>
                <w:iCs/>
                <w:sz w:val="16"/>
                <w:szCs w:val="16"/>
              </w:rPr>
              <w:t xml:space="preserve">,</w:t>
            </w:r>
            <w:r>
              <w:rPr>
                <w:rFonts w:ascii="Times New Roman" w:cs="Times New Roman" w:eastAsia="Times New Roman" w:hAnsi="Times New Roman"/>
                <w:b w:val="false"/>
                <w:bCs w:val="false"/>
                <w:i/>
                <w:iCs/>
                <w:sz w:val="16"/>
                <w:szCs w:val="16"/>
              </w:rPr>
              <w:t xml:space="preserve">701</w:t>
            </w:r>
            <w:r>
              <w:rPr>
                <w:rFonts w:ascii="Times New Roman" w:cs="Times New Roman" w:eastAsia="Times New Roman" w:hAnsi="Times New Roman"/>
                <w:b w:val="false"/>
                <w:bCs w:val="false"/>
                <w:i w:val="false"/>
                <w:iCs w:val="false"/>
                <w:sz w:val="16"/>
                <w:szCs w:val="16"/>
              </w:rPr>
              <w:t xml:space="preserve">) uses the same reports but fills missing outcomes by two-stage pseudo-labelling,</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val="false"/>
                <w:bCs w:val="false"/>
                <w:i w:val="false"/>
                <w:iCs w:val="false"/>
                <w:sz w:val="16"/>
                <w:szCs w:val="16"/>
              </w:rPr>
              <w:t xml:space="preserve"> so its class distribution differs from the observed distribution shown here.</w:t>
            </w:r>
          </w:p>
        </w:tc>
      </w:tr>
      <w:tr>
        <w:tc>
          <w:tcPr>
            <w:tcW w:type="dxa" w:w="8696"/>
            <w:gridSpan w:val="5"/>
            <w:tcBorders>
              <w:top w:val="single" w:color="000000" w:sz="4"/>
              <w:left w:val="single" w:color="000000" w:sz="4"/>
              <w:bottom w:val="single" w:color="000000" w:sz="4"/>
              <w:right w:val="single" w:color="000000" w:sz="4"/>
            </w:tcBorders>
            <w:tcMar>
              <w:top w:type="dxa" w:w="0"/>
              <w:left w:type="dxa" w:w="60"/>
              <w:bottom w:type="dxa" w:w="0"/>
              <w:right w:type="dxa" w:w="60"/>
            </w:tcMar>
          </w:tcPr>
          <w:p>
            <w:pPr>
              <w:spacing w:line="240" w:lineRule="auto"/>
              <w:jc w:val="left"/>
            </w:pPr>
            <w:r>
              <w:rPr>
                <w:rFonts w:ascii="Times New Roman" w:cs="Times New Roman" w:eastAsia="Times New Roman" w:hAnsi="Times New Roman"/>
                <w:b/>
                <w:bCs/>
                <w:i w:val="false"/>
                <w:iCs w:val="false"/>
                <w:sz w:val="16"/>
                <w:szCs w:val="16"/>
              </w:rPr>
              <w:t xml:space="preserve">Reporter type</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Health professional</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6,083 (52.0%)</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5,457 (51.0%)</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2,929 (56.2%)</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187 (54.7%)</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Consumer</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4,327 (37.0%)</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4,028 (37.6%)</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1,692 (32.5%)</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108 (31.6%)</w:t>
            </w:r>
          </w:p>
        </w:tc>
      </w:tr>
      <w:tr>
        <w:trPr>
          <w:cantSplit/>
          <w:tblHeader w:val="false"/>
        </w:trPr>
        <w:tc>
          <w:tcPr>
            <w:tcW w:type="dxa" w:w="235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  Unknown</w:t>
            </w:r>
          </w:p>
        </w:tc>
        <w:tc>
          <w:tcPr>
            <w:tcW w:type="dxa" w:w="145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1,291 (11.0%)</w:t>
            </w:r>
          </w:p>
        </w:tc>
        <w:tc>
          <w:tcPr>
            <w:tcW w:type="dxa" w:w="1632"/>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1,216 (11.4%)</w:t>
            </w:r>
          </w:p>
        </w:tc>
        <w:tc>
          <w:tcPr>
            <w:tcW w:type="dxa" w:w="1536"/>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587 (11.3%)</w:t>
            </w:r>
          </w:p>
        </w:tc>
        <w:tc>
          <w:tcPr>
            <w:tcW w:type="dxa" w:w="1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47 (13.7%)</w:t>
            </w:r>
          </w:p>
        </w:tc>
      </w:tr>
    </w:tbl>
    <w:p>
      <w:pPr>
        <w:spacing w:after="200" w:line="240"/>
      </w:pP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Signal distribution and detection at the SOC level</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AEs associated with the anti-obesity and anti-diabetic panels were categorised according to the SOC classification of MedDRA (Fig 2), using the official PT-to-primary-SOC hierarchy. For the broad obesity-related panel, AEs spanned all 27 SOC categories. The most frequently reported SOC categories were general disorders and administration site conditions (17.1%, </w:t>
      </w:r>
      <w:r>
        <w:rPr>
          <w:rFonts w:ascii="Times New Roman" w:cs="Times New Roman" w:eastAsia="Times New Roman" w:hAnsi="Times New Roman"/>
          <w:b w:val="false"/>
          <w:bCs w:val="false"/>
          <w:i/>
          <w:iCs/>
          <w:sz w:val="20"/>
          <w:szCs w:val="20"/>
        </w:rPr>
        <w:t xml:space="preserve">n=2</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001</w:t>
      </w:r>
      <w:r>
        <w:rPr>
          <w:rFonts w:ascii="Times New Roman" w:cs="Times New Roman" w:eastAsia="Times New Roman" w:hAnsi="Times New Roman"/>
          <w:b w:val="false"/>
          <w:bCs w:val="false"/>
          <w:i w:val="false"/>
          <w:iCs w:val="false"/>
          <w:sz w:val="20"/>
          <w:szCs w:val="20"/>
        </w:rPr>
        <w:t xml:space="preserve">), injury, poisoning and procedural complications (12.9%, </w:t>
      </w:r>
      <w:r>
        <w:rPr>
          <w:rFonts w:ascii="Times New Roman" w:cs="Times New Roman" w:eastAsia="Times New Roman" w:hAnsi="Times New Roman"/>
          <w:b w:val="false"/>
          <w:bCs w:val="false"/>
          <w:i/>
          <w:iCs/>
          <w:sz w:val="20"/>
          <w:szCs w:val="20"/>
        </w:rPr>
        <w:t xml:space="preserve">n=1</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508</w:t>
      </w:r>
      <w:r>
        <w:rPr>
          <w:rFonts w:ascii="Times New Roman" w:cs="Times New Roman" w:eastAsia="Times New Roman" w:hAnsi="Times New Roman"/>
          <w:b w:val="false"/>
          <w:bCs w:val="false"/>
          <w:i w:val="false"/>
          <w:iCs w:val="false"/>
          <w:sz w:val="20"/>
          <w:szCs w:val="20"/>
        </w:rPr>
        <w:t xml:space="preserve">), and skin and subcutaneous tissue disorders (7.7%, </w:t>
      </w:r>
      <w:r>
        <w:rPr>
          <w:rFonts w:ascii="Times New Roman" w:cs="Times New Roman" w:eastAsia="Times New Roman" w:hAnsi="Times New Roman"/>
          <w:b w:val="false"/>
          <w:bCs w:val="false"/>
          <w:i/>
          <w:iCs/>
          <w:sz w:val="20"/>
          <w:szCs w:val="20"/>
        </w:rPr>
        <w:t xml:space="preserve">n=902</w:t>
      </w:r>
      <w:r>
        <w:rPr>
          <w:rFonts w:ascii="Times New Roman" w:cs="Times New Roman" w:eastAsia="Times New Roman" w:hAnsi="Times New Roman"/>
          <w:b w:val="false"/>
          <w:bCs w:val="false"/>
          <w:i w:val="false"/>
          <w:iCs w:val="false"/>
          <w:sz w:val="20"/>
          <w:szCs w:val="20"/>
        </w:rPr>
        <w:t xml:space="preserve">); infections and infestations (7.0%), gastrointestinal disorders (6.5%) and psychiatric disorders (5.9%) followed. Within gastrointestinal disorders, nausea, vomiting, and abdominal pain were the predominant AEs, reflecting the known pharmacological profiles of GLP-1 receptor agonists. The diabetes-related panel showed a broadly similar ranking (general disorders 15.4%, injury/poisoning 13.0%, gastrointestinal disorders 7.9%) but with a notably higher proportion of metabolism and nutrition disorders (7.4% vs 4.0% in the obesity panel), reflecting the metabolic nature of the underlying condition and the pharmacological mechanisms of anti-diabetic agents.</w:t>
      </w:r>
    </w:p>
    <w:p>
      <w:pPr>
        <w:spacing w:after="80" w:before="80" w:line="480" w:lineRule="auto"/>
        <w:jc w:val="left"/>
      </w:pPr>
      <w:r>
        <w:rPr>
          <w:rFonts w:ascii="Times New Roman" w:cs="Times New Roman" w:eastAsia="Times New Roman" w:hAnsi="Times New Roman"/>
          <w:b/>
          <w:bCs/>
          <w:i w:val="false"/>
          <w:iCs w:val="false"/>
          <w:sz w:val="20"/>
          <w:szCs w:val="20"/>
        </w:rPr>
        <w:t xml:space="preserve">Fig 2.</w:t>
      </w:r>
      <w:r>
        <w:rPr>
          <w:rFonts w:ascii="Times New Roman" w:cs="Times New Roman" w:eastAsia="Times New Roman" w:hAnsi="Times New Roman"/>
          <w:b w:val="false"/>
          <w:bCs w:val="false"/>
          <w:i w:val="false"/>
          <w:iCs w:val="false"/>
          <w:sz w:val="20"/>
          <w:szCs w:val="20"/>
        </w:rPr>
        <w:t xml:space="preserve"> AE distribution at the SOC level for the broad obesity-related and broad diabetes-related panels. Horizontal bar chart showing, for each MedDRA System Organ Class (version 28.1), the percentage of panel reports recording at least one adverse event mapped to that class. Percentages are computed over reports (broad obesity </w:t>
      </w:r>
      <w:r>
        <w:rPr>
          <w:rFonts w:ascii="Times New Roman" w:cs="Times New Roman" w:eastAsia="Times New Roman" w:hAnsi="Times New Roman"/>
          <w:b w:val="false"/>
          <w:bCs w:val="false"/>
          <w:i/>
          <w:iCs/>
          <w:sz w:val="20"/>
          <w:szCs w:val="20"/>
        </w:rPr>
        <w:t xml:space="preserve">N=11</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701</w:t>
      </w:r>
      <w:r>
        <w:rPr>
          <w:rFonts w:ascii="Times New Roman" w:cs="Times New Roman" w:eastAsia="Times New Roman" w:hAnsi="Times New Roman"/>
          <w:b w:val="false"/>
          <w:bCs w:val="false"/>
          <w:i w:val="false"/>
          <w:iCs w:val="false"/>
          <w:sz w:val="20"/>
          <w:szCs w:val="20"/>
        </w:rPr>
        <w:t xml:space="preserve">; broad diabetes </w:t>
      </w:r>
      <w:r>
        <w:rPr>
          <w:rFonts w:ascii="Times New Roman" w:cs="Times New Roman" w:eastAsia="Times New Roman" w:hAnsi="Times New Roman"/>
          <w:b w:val="false"/>
          <w:bCs w:val="false"/>
          <w:i/>
          <w:iCs/>
          <w:sz w:val="20"/>
          <w:szCs w:val="20"/>
        </w:rPr>
        <w:t xml:space="preserve">N=5</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208</w:t>
      </w:r>
      <w:r>
        <w:rPr>
          <w:rFonts w:ascii="Times New Roman" w:cs="Times New Roman" w:eastAsia="Times New Roman" w:hAnsi="Times New Roman"/>
          <w:b w:val="false"/>
          <w:bCs w:val="false"/>
          <w:i w:val="false"/>
          <w:iCs w:val="false"/>
          <w:sz w:val="20"/>
          <w:szCs w:val="20"/>
        </w:rPr>
        <w:t xml:space="preserve">) and do not sum to 100, because a single report may contribute events to more than one class.</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Signal distribution and detection at the PT level</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Of the 2,098 drug-event pairs with </w:t>
      </w:r>
      <w:r>
        <w:rPr>
          <w:rFonts w:ascii="Times New Roman" w:cs="Times New Roman" w:eastAsia="Times New Roman" w:hAnsi="Times New Roman"/>
          <w:b w:val="false"/>
          <w:bCs w:val="false"/>
          <w:i/>
          <w:iCs/>
          <w:sz w:val="20"/>
          <w:szCs w:val="20"/>
        </w:rPr>
        <w:t xml:space="preserve">N ≥ 2</w:t>
      </w:r>
      <w:r>
        <w:rPr>
          <w:rFonts w:ascii="Times New Roman" w:cs="Times New Roman" w:eastAsia="Times New Roman" w:hAnsi="Times New Roman"/>
          <w:b w:val="false"/>
          <w:bCs w:val="false"/>
          <w:i w:val="false"/>
          <w:iCs w:val="false"/>
          <w:sz w:val="20"/>
          <w:szCs w:val="20"/>
        </w:rPr>
        <w:t xml:space="preserve"> that were evaluated, 360 met the ROR signal criteria specified in Table 3, namely a 95% CI lower bound exceeding 1 together with a minimum case count of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Pairs supported by only two reports were retained in S8 Table for completeness but were not counted as signals, since they fall below the pre-specified frequency threshold. Of these, 105 pairs satisfied all four algorithmic thresholds simultaneously and are flagged in S8 Table as four-metric concordant. The top adverse event signals for key drugs, ranked by the number of positive signals along with their PT and ROR values, are presented in Fig 3.</w:t>
      </w:r>
    </w:p>
    <w:p>
      <w:pPr>
        <w:spacing w:after="80" w:before="80" w:line="480" w:lineRule="auto"/>
        <w:jc w:val="left"/>
      </w:pPr>
      <w:r>
        <w:rPr>
          <w:rFonts w:ascii="Times New Roman" w:cs="Times New Roman" w:eastAsia="Times New Roman" w:hAnsi="Times New Roman"/>
          <w:b/>
          <w:bCs/>
          <w:i w:val="false"/>
          <w:iCs w:val="false"/>
          <w:sz w:val="20"/>
          <w:szCs w:val="20"/>
        </w:rPr>
        <w:t xml:space="preserve">Fig 3.</w:t>
      </w:r>
      <w:r>
        <w:rPr>
          <w:rFonts w:ascii="Times New Roman" w:cs="Times New Roman" w:eastAsia="Times New Roman" w:hAnsi="Times New Roman"/>
          <w:b w:val="false"/>
          <w:bCs w:val="false"/>
          <w:i w:val="false"/>
          <w:iCs w:val="false"/>
          <w:sz w:val="20"/>
          <w:szCs w:val="20"/>
        </w:rPr>
        <w:t xml:space="preserve"> The top AEs associated with the three drugs showing the strongest overall disproportionality signals across the full 14-drug obesity panel and 10-drug diabetes panel: (a) metformin, (b) atorvastatin, and (c) semaglutide, ranked by the number of positive signals along with their PT and ROR values. Full signal-detection results for all 14 obesity-panel and 10 diabetes-panel drugs are provided in S8 Table.</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Among the strongest confirmed signals (all four metrics concordant):</w:t>
      </w:r>
    </w:p>
    <w:p>
      <w:pPr>
        <w:pStyle w:val="ListParagraph"/>
        <w:numPr>
          <w:ilvl w:val="0"/>
          <w:numId w:val="3"/>
        </w:numPr>
        <w:spacing w:after="0" w:line="480" w:lineRule="auto"/>
      </w:pPr>
      <w:r>
        <w:rPr>
          <w:rFonts w:ascii="Times New Roman" w:cs="Times New Roman" w:eastAsia="Times New Roman" w:hAnsi="Times New Roman"/>
          <w:b/>
          <w:bCs/>
          <w:i w:val="false"/>
          <w:iCs w:val="false"/>
          <w:sz w:val="20"/>
          <w:szCs w:val="20"/>
        </w:rPr>
        <w:t xml:space="preserve">Metformin and Lactic Acidosis:</w:t>
      </w:r>
      <w:r>
        <w:rPr>
          <w:rFonts w:ascii="Times New Roman" w:cs="Times New Roman" w:eastAsia="Times New Roman" w:hAnsi="Times New Roman"/>
          <w:b w:val="false"/>
          <w:bCs w:val="false"/>
          <w:i w:val="false"/>
          <w:iCs w:val="false"/>
          <w:sz w:val="20"/>
          <w:szCs w:val="20"/>
        </w:rPr>
        <w:t xml:space="preserve"> ROR = 61.22, 95% CI 25.21-148.68, </w:t>
      </w:r>
      <w:r>
        <w:rPr>
          <w:rFonts w:ascii="Times New Roman" w:cs="Times New Roman" w:eastAsia="Times New Roman" w:hAnsi="Times New Roman"/>
          <w:b w:val="false"/>
          <w:bCs w:val="false"/>
          <w:i/>
          <w:iCs/>
          <w:sz w:val="20"/>
          <w:szCs w:val="20"/>
        </w:rPr>
        <w:t xml:space="preserve">N=214</w:t>
      </w:r>
      <w:r>
        <w:rPr>
          <w:rFonts w:ascii="Times New Roman" w:cs="Times New Roman" w:eastAsia="Times New Roman" w:hAnsi="Times New Roman"/>
          <w:b w:val="false"/>
          <w:bCs w:val="false"/>
          <w:i w:val="false"/>
          <w:iCs w:val="false"/>
          <w:sz w:val="20"/>
          <w:szCs w:val="20"/>
        </w:rPr>
        <w:t xml:space="preserve">. This represents the strongest signal in this analysis and is consistent with metformin's well-documented, albeit rare, risk of lactic acidosis, particularly when renal function is compromised [9].</w:t>
      </w:r>
    </w:p>
    <w:p>
      <w:pPr>
        <w:pStyle w:val="ListParagraph"/>
        <w:numPr>
          <w:ilvl w:val="0"/>
          <w:numId w:val="3"/>
        </w:numPr>
        <w:spacing w:after="0" w:line="480" w:lineRule="auto"/>
      </w:pPr>
      <w:r>
        <w:rPr>
          <w:rFonts w:ascii="Times New Roman" w:cs="Times New Roman" w:eastAsia="Times New Roman" w:hAnsi="Times New Roman"/>
          <w:b/>
          <w:bCs/>
          <w:i w:val="false"/>
          <w:iCs w:val="false"/>
          <w:sz w:val="20"/>
          <w:szCs w:val="20"/>
        </w:rPr>
        <w:t xml:space="preserve">Atorvastatin and Myalgia:</w:t>
      </w:r>
      <w:r>
        <w:rPr>
          <w:rFonts w:ascii="Times New Roman" w:cs="Times New Roman" w:eastAsia="Times New Roman" w:hAnsi="Times New Roman"/>
          <w:b w:val="false"/>
          <w:bCs w:val="false"/>
          <w:i w:val="false"/>
          <w:iCs w:val="false"/>
          <w:sz w:val="20"/>
          <w:szCs w:val="20"/>
        </w:rPr>
        <w:t xml:space="preserve"> ROR = 16.89, 95% CI 8.94-31.92, </w:t>
      </w:r>
      <w:r>
        <w:rPr>
          <w:rFonts w:ascii="Times New Roman" w:cs="Times New Roman" w:eastAsia="Times New Roman" w:hAnsi="Times New Roman"/>
          <w:b w:val="false"/>
          <w:bCs w:val="false"/>
          <w:i/>
          <w:iCs/>
          <w:sz w:val="20"/>
          <w:szCs w:val="20"/>
        </w:rPr>
        <w:t xml:space="preserve">N=46</w:t>
      </w:r>
      <w:r>
        <w:rPr>
          <w:rFonts w:ascii="Times New Roman" w:cs="Times New Roman" w:eastAsia="Times New Roman" w:hAnsi="Times New Roman"/>
          <w:b w:val="false"/>
          <w:bCs w:val="false"/>
          <w:i w:val="false"/>
          <w:iCs w:val="false"/>
          <w:sz w:val="20"/>
          <w:szCs w:val="20"/>
        </w:rPr>
        <w:t xml:space="preserve">. Myalgia is a recognised class effect of statins and has been documented in both adult and paediatric populations [26].</w:t>
      </w:r>
    </w:p>
    <w:p>
      <w:pPr>
        <w:pStyle w:val="ListParagraph"/>
        <w:numPr>
          <w:ilvl w:val="0"/>
          <w:numId w:val="3"/>
        </w:numPr>
        <w:spacing w:after="0" w:line="480" w:lineRule="auto"/>
      </w:pPr>
      <w:r>
        <w:rPr>
          <w:rFonts w:ascii="Times New Roman" w:cs="Times New Roman" w:eastAsia="Times New Roman" w:hAnsi="Times New Roman"/>
          <w:b/>
          <w:bCs/>
          <w:i w:val="false"/>
          <w:iCs w:val="false"/>
          <w:sz w:val="20"/>
          <w:szCs w:val="20"/>
        </w:rPr>
        <w:t xml:space="preserve">Semaglutide and Nausea/Vomiting:</w:t>
      </w:r>
      <w:r>
        <w:rPr>
          <w:rFonts w:ascii="Times New Roman" w:cs="Times New Roman" w:eastAsia="Times New Roman" w:hAnsi="Times New Roman"/>
          <w:b w:val="false"/>
          <w:bCs w:val="false"/>
          <w:i w:val="false"/>
          <w:iCs w:val="false"/>
          <w:sz w:val="20"/>
          <w:szCs w:val="20"/>
        </w:rPr>
        <w:t xml:space="preserve"> GLP-1 receptor agonists are well-known to cause dose-dependent gastrointestinal adverse events as their primary tolerability concern [27,28].</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 notable finding was a strong reporting signal for </w:t>
      </w:r>
      <w:r>
        <w:rPr>
          <w:rFonts w:ascii="Times New Roman" w:cs="Times New Roman" w:eastAsia="Times New Roman" w:hAnsi="Times New Roman"/>
          <w:b/>
          <w:bCs/>
          <w:i w:val="false"/>
          <w:iCs w:val="false"/>
          <w:sz w:val="20"/>
          <w:szCs w:val="20"/>
        </w:rPr>
        <w:t xml:space="preserve">Semaglutide and Optic Ischaemic Neuropathy</w:t>
      </w:r>
      <w:r>
        <w:rPr>
          <w:rFonts w:ascii="Times New Roman" w:cs="Times New Roman" w:eastAsia="Times New Roman" w:hAnsi="Times New Roman"/>
          <w:b w:val="false"/>
          <w:bCs w:val="false"/>
          <w:i w:val="false"/>
          <w:iCs w:val="false"/>
          <w:sz w:val="20"/>
          <w:szCs w:val="20"/>
        </w:rPr>
        <w:t xml:space="preserve"> (ROR = 439.23, 95% CI 99.33-1942.26, </w:t>
      </w:r>
      <w:r>
        <w:rPr>
          <w:rFonts w:ascii="Times New Roman" w:cs="Times New Roman" w:eastAsia="Times New Roman" w:hAnsi="Times New Roman"/>
          <w:b w:val="false"/>
          <w:bCs w:val="false"/>
          <w:i/>
          <w:iCs/>
          <w:sz w:val="20"/>
          <w:szCs w:val="20"/>
        </w:rPr>
        <w:t xml:space="preserve">N=14</w:t>
      </w:r>
      <w:r>
        <w:rPr>
          <w:rFonts w:ascii="Times New Roman" w:cs="Times New Roman" w:eastAsia="Times New Roman" w:hAnsi="Times New Roman"/>
          <w:b w:val="false"/>
          <w:bCs w:val="false"/>
          <w:i w:val="false"/>
          <w:iCs w:val="false"/>
          <w:sz w:val="20"/>
          <w:szCs w:val="20"/>
        </w:rPr>
        <w:t xml:space="preserve">), consistent with recent post-marketing reports. This pair satisfied all four disproportionality criteria, including the EBGM shrinkage criterion (EBGM = 18.79, EB05 = 11.67), and is therefore a four-metric concordant signal. The wide confidence interval (spanning more than one order of magnitude) reflects the relatively small case count characteristic of rare events in adolescents and warrants cautious interpretation. This case illustrates the critical importance of multi-metric validation, as reliance on any single disproportionality metric could lead to misleading conclusions [29].</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Drug-specific adverse event profiles</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Metformin (N = 7,081)</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Metformin, the first-line anti-diabetic agent for adolescents, demonstrated the strongest safety signals in this analysis. Beyond the prominent lactic acidosis signal (ROR = 61.22, 95% CI 25.21-148.68, </w:t>
      </w:r>
      <w:r>
        <w:rPr>
          <w:rFonts w:ascii="Times New Roman" w:cs="Times New Roman" w:eastAsia="Times New Roman" w:hAnsi="Times New Roman"/>
          <w:b w:val="false"/>
          <w:bCs w:val="false"/>
          <w:i/>
          <w:iCs/>
          <w:sz w:val="20"/>
          <w:szCs w:val="20"/>
        </w:rPr>
        <w:t xml:space="preserve">N=214</w:t>
      </w:r>
      <w:r>
        <w:rPr>
          <w:rFonts w:ascii="Times New Roman" w:cs="Times New Roman" w:eastAsia="Times New Roman" w:hAnsi="Times New Roman"/>
          <w:b w:val="false"/>
          <w:bCs w:val="false"/>
          <w:i w:val="false"/>
          <w:iCs w:val="false"/>
          <w:sz w:val="20"/>
          <w:szCs w:val="20"/>
        </w:rPr>
        <w:t xml:space="preserve">), further PT-level signals meeting the ROR criteria included maternal exposure during pregnancy (</w:t>
      </w:r>
      <w:r>
        <w:rPr>
          <w:rFonts w:ascii="Times New Roman" w:cs="Times New Roman" w:eastAsia="Times New Roman" w:hAnsi="Times New Roman"/>
          <w:b w:val="false"/>
          <w:bCs w:val="false"/>
          <w:i/>
          <w:iCs/>
          <w:sz w:val="20"/>
          <w:szCs w:val="20"/>
        </w:rPr>
        <w:t xml:space="preserve">N=68</w:t>
      </w:r>
      <w:r>
        <w:rPr>
          <w:rFonts w:ascii="Times New Roman" w:cs="Times New Roman" w:eastAsia="Times New Roman" w:hAnsi="Times New Roman"/>
          <w:b w:val="false"/>
          <w:bCs w:val="false"/>
          <w:i w:val="false"/>
          <w:iCs w:val="false"/>
          <w:sz w:val="20"/>
          <w:szCs w:val="20"/>
        </w:rPr>
        <w:t xml:space="preserve">, ROR = 8.65), toxicity to various agents (</w:t>
      </w:r>
      <w:r>
        <w:rPr>
          <w:rFonts w:ascii="Times New Roman" w:cs="Times New Roman" w:eastAsia="Times New Roman" w:hAnsi="Times New Roman"/>
          <w:b w:val="false"/>
          <w:bCs w:val="false"/>
          <w:i/>
          <w:iCs/>
          <w:sz w:val="20"/>
          <w:szCs w:val="20"/>
        </w:rPr>
        <w:t xml:space="preserve">N=62</w:t>
      </w:r>
      <w:r>
        <w:rPr>
          <w:rFonts w:ascii="Times New Roman" w:cs="Times New Roman" w:eastAsia="Times New Roman" w:hAnsi="Times New Roman"/>
          <w:b w:val="false"/>
          <w:bCs w:val="false"/>
          <w:i w:val="false"/>
          <w:iCs w:val="false"/>
          <w:sz w:val="20"/>
          <w:szCs w:val="20"/>
        </w:rPr>
        <w:t xml:space="preserve">, ROR = 3.61), diabetes mellitus (</w:t>
      </w:r>
      <w:r>
        <w:rPr>
          <w:rFonts w:ascii="Times New Roman" w:cs="Times New Roman" w:eastAsia="Times New Roman" w:hAnsi="Times New Roman"/>
          <w:b w:val="false"/>
          <w:bCs w:val="false"/>
          <w:i/>
          <w:iCs/>
          <w:sz w:val="20"/>
          <w:szCs w:val="20"/>
        </w:rPr>
        <w:t xml:space="preserve">N=44</w:t>
      </w:r>
      <w:r>
        <w:rPr>
          <w:rFonts w:ascii="Times New Roman" w:cs="Times New Roman" w:eastAsia="Times New Roman" w:hAnsi="Times New Roman"/>
          <w:b w:val="false"/>
          <w:bCs w:val="false"/>
          <w:i w:val="false"/>
          <w:iCs w:val="false"/>
          <w:sz w:val="20"/>
          <w:szCs w:val="20"/>
        </w:rPr>
        <w:t xml:space="preserve">, ROR = 4.72) and hypoglycaemia (</w:t>
      </w:r>
      <w:r>
        <w:rPr>
          <w:rFonts w:ascii="Times New Roman" w:cs="Times New Roman" w:eastAsia="Times New Roman" w:hAnsi="Times New Roman"/>
          <w:b w:val="false"/>
          <w:bCs w:val="false"/>
          <w:i/>
          <w:iCs/>
          <w:sz w:val="20"/>
          <w:szCs w:val="20"/>
        </w:rPr>
        <w:t xml:space="preserve">N=50</w:t>
      </w:r>
      <w:r>
        <w:rPr>
          <w:rFonts w:ascii="Times New Roman" w:cs="Times New Roman" w:eastAsia="Times New Roman" w:hAnsi="Times New Roman"/>
          <w:b w:val="false"/>
          <w:bCs w:val="false"/>
          <w:i w:val="false"/>
          <w:iCs w:val="false"/>
          <w:sz w:val="20"/>
          <w:szCs w:val="20"/>
        </w:rPr>
        <w:t xml:space="preserve">, ROR = 3.03). The most frequently recorded metformin Preferred Terms (drug ineffective, </w:t>
      </w:r>
      <w:r>
        <w:rPr>
          <w:rFonts w:ascii="Times New Roman" w:cs="Times New Roman" w:eastAsia="Times New Roman" w:hAnsi="Times New Roman"/>
          <w:b w:val="false"/>
          <w:bCs w:val="false"/>
          <w:i/>
          <w:iCs/>
          <w:sz w:val="20"/>
          <w:szCs w:val="20"/>
        </w:rPr>
        <w:t xml:space="preserve">N=196</w:t>
      </w:r>
      <w:r>
        <w:rPr>
          <w:rFonts w:ascii="Times New Roman" w:cs="Times New Roman" w:eastAsia="Times New Roman" w:hAnsi="Times New Roman"/>
          <w:b w:val="false"/>
          <w:bCs w:val="false"/>
          <w:i w:val="false"/>
          <w:iCs w:val="false"/>
          <w:sz w:val="20"/>
          <w:szCs w:val="20"/>
        </w:rPr>
        <w:t xml:space="preserve">; product dose omission issue, </w:t>
      </w:r>
      <w:r>
        <w:rPr>
          <w:rFonts w:ascii="Times New Roman" w:cs="Times New Roman" w:eastAsia="Times New Roman" w:hAnsi="Times New Roman"/>
          <w:b w:val="false"/>
          <w:bCs w:val="false"/>
          <w:i/>
          <w:iCs/>
          <w:sz w:val="20"/>
          <w:szCs w:val="20"/>
        </w:rPr>
        <w:t xml:space="preserve">N=130</w:t>
      </w:r>
      <w:r>
        <w:rPr>
          <w:rFonts w:ascii="Times New Roman" w:cs="Times New Roman" w:eastAsia="Times New Roman" w:hAnsi="Times New Roman"/>
          <w:b w:val="false"/>
          <w:bCs w:val="false"/>
          <w:i w:val="false"/>
          <w:iCs w:val="false"/>
          <w:sz w:val="20"/>
          <w:szCs w:val="20"/>
        </w:rPr>
        <w:t xml:space="preserve">; off-label use, </w:t>
      </w:r>
      <w:r>
        <w:rPr>
          <w:rFonts w:ascii="Times New Roman" w:cs="Times New Roman" w:eastAsia="Times New Roman" w:hAnsi="Times New Roman"/>
          <w:b w:val="false"/>
          <w:bCs w:val="false"/>
          <w:i/>
          <w:iCs/>
          <w:sz w:val="20"/>
          <w:szCs w:val="20"/>
        </w:rPr>
        <w:t xml:space="preserve">N=107</w:t>
      </w:r>
      <w:r>
        <w:rPr>
          <w:rFonts w:ascii="Times New Roman" w:cs="Times New Roman" w:eastAsia="Times New Roman" w:hAnsi="Times New Roman"/>
          <w:b w:val="false"/>
          <w:bCs w:val="false"/>
          <w:i w:val="false"/>
          <w:iCs w:val="false"/>
          <w:sz w:val="20"/>
          <w:szCs w:val="20"/>
        </w:rPr>
        <w:t xml:space="preserve">; product use in unapproved indication, </w:t>
      </w:r>
      <w:r>
        <w:rPr>
          <w:rFonts w:ascii="Times New Roman" w:cs="Times New Roman" w:eastAsia="Times New Roman" w:hAnsi="Times New Roman"/>
          <w:b w:val="false"/>
          <w:bCs w:val="false"/>
          <w:i/>
          <w:iCs/>
          <w:sz w:val="20"/>
          <w:szCs w:val="20"/>
        </w:rPr>
        <w:t xml:space="preserve">N=102</w:t>
      </w:r>
      <w:r>
        <w:rPr>
          <w:rFonts w:ascii="Times New Roman" w:cs="Times New Roman" w:eastAsia="Times New Roman" w:hAnsi="Times New Roman"/>
          <w:b w:val="false"/>
          <w:bCs w:val="false"/>
          <w:i w:val="false"/>
          <w:iCs w:val="false"/>
          <w:sz w:val="20"/>
          <w:szCs w:val="20"/>
        </w:rPr>
        <w:t xml:space="preserve">) did not reach the ROR signal threshold, indicating that they are reported no more often for metformin than across the rest of the panel. A recent 2025 FAERS analysis specifically focused on metformin in adolescents identified novel signals including ataxia, areflexia, muscle weakness, and rhabdomyolysis [30], findings consistent with the present data. Notably, metformin was also associated with a cluster of psychiatric and self-harm PTs: completed suicide (</w:t>
      </w:r>
      <w:r>
        <w:rPr>
          <w:rFonts w:ascii="Times New Roman" w:cs="Times New Roman" w:eastAsia="Times New Roman" w:hAnsi="Times New Roman"/>
          <w:b w:val="false"/>
          <w:bCs w:val="false"/>
          <w:i/>
          <w:iCs/>
          <w:sz w:val="20"/>
          <w:szCs w:val="20"/>
        </w:rPr>
        <w:t xml:space="preserve">N=87</w:t>
      </w:r>
      <w:r>
        <w:rPr>
          <w:rFonts w:ascii="Times New Roman" w:cs="Times New Roman" w:eastAsia="Times New Roman" w:hAnsi="Times New Roman"/>
          <w:b w:val="false"/>
          <w:bCs w:val="false"/>
          <w:i w:val="false"/>
          <w:iCs w:val="false"/>
          <w:sz w:val="20"/>
          <w:szCs w:val="20"/>
        </w:rPr>
        <w:t xml:space="preserve">, ROR = 5.08, 95% CI 3.23-7.99), intentional overdose (</w:t>
      </w:r>
      <w:r>
        <w:rPr>
          <w:rFonts w:ascii="Times New Roman" w:cs="Times New Roman" w:eastAsia="Times New Roman" w:hAnsi="Times New Roman"/>
          <w:b w:val="false"/>
          <w:bCs w:val="false"/>
          <w:i/>
          <w:iCs/>
          <w:sz w:val="20"/>
          <w:szCs w:val="20"/>
        </w:rPr>
        <w:t xml:space="preserve">N=46</w:t>
      </w:r>
      <w:r>
        <w:rPr>
          <w:rFonts w:ascii="Times New Roman" w:cs="Times New Roman" w:eastAsia="Times New Roman" w:hAnsi="Times New Roman"/>
          <w:b w:val="false"/>
          <w:bCs w:val="false"/>
          <w:i w:val="false"/>
          <w:iCs w:val="false"/>
          <w:sz w:val="20"/>
          <w:szCs w:val="20"/>
        </w:rPr>
        <w:t xml:space="preserve">, ROR = 2.14), and suicide attempt (</w:t>
      </w:r>
      <w:r>
        <w:rPr>
          <w:rFonts w:ascii="Times New Roman" w:cs="Times New Roman" w:eastAsia="Times New Roman" w:hAnsi="Times New Roman"/>
          <w:b w:val="false"/>
          <w:bCs w:val="false"/>
          <w:i/>
          <w:iCs/>
          <w:sz w:val="20"/>
          <w:szCs w:val="20"/>
        </w:rPr>
        <w:t xml:space="preserve">N=42</w:t>
      </w:r>
      <w:r>
        <w:rPr>
          <w:rFonts w:ascii="Times New Roman" w:cs="Times New Roman" w:eastAsia="Times New Roman" w:hAnsi="Times New Roman"/>
          <w:b w:val="false"/>
          <w:bCs w:val="false"/>
          <w:i w:val="false"/>
          <w:iCs w:val="false"/>
          <w:sz w:val="20"/>
          <w:szCs w:val="20"/>
        </w:rPr>
        <w:t xml:space="preserve">, ROR = 3.66). In every one of these reports metformin was recorded as either the primary (55%) or secondary (45%) suspect rather than a concomitant medication, a pattern strongly enriched relative to metformin's baseline concomitant role proportion across the panel. Recorded indications included suicide attempt, polycystic ovarian syndrome, and diabetes mellitus. None of these self-harm PTs for the metformin single-ingredient entry achieved four-metric concordance (all failed the EBGM criterion), but their consistency across multiple related PTs warrants close monitoring in this age group. The signal is more likely to reflect metformin as the agent of intentional overdose rather than a causal relationship with suicidality, but this cannot be determined from FAERS reports alone.</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Atorvastatin (N = 3,163)</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Atorvastatin (including atorvastatin calcium formulations), frequently used as a concomitant medication in adolescents with obesity-related dyslipidaemia, showed the expected statin class-effect signal for myalgia (ROR = 16.89, 95% CI 8.94-31.92, </w:t>
      </w:r>
      <w:r>
        <w:rPr>
          <w:rFonts w:ascii="Times New Roman" w:cs="Times New Roman" w:eastAsia="Times New Roman" w:hAnsi="Times New Roman"/>
          <w:b w:val="false"/>
          <w:bCs w:val="false"/>
          <w:i/>
          <w:iCs/>
          <w:sz w:val="20"/>
          <w:szCs w:val="20"/>
        </w:rPr>
        <w:t xml:space="preserve">N=46</w:t>
      </w:r>
      <w:r>
        <w:rPr>
          <w:rFonts w:ascii="Times New Roman" w:cs="Times New Roman" w:eastAsia="Times New Roman" w:hAnsi="Times New Roman"/>
          <w:b w:val="false"/>
          <w:bCs w:val="false"/>
          <w:i w:val="false"/>
          <w:iCs w:val="false"/>
          <w:sz w:val="20"/>
          <w:szCs w:val="20"/>
        </w:rPr>
        <w:t xml:space="preserve">). Additional signals included drug-induced liver injury (</w:t>
      </w:r>
      <w:r>
        <w:rPr>
          <w:rFonts w:ascii="Times New Roman" w:cs="Times New Roman" w:eastAsia="Times New Roman" w:hAnsi="Times New Roman"/>
          <w:b w:val="false"/>
          <w:bCs w:val="false"/>
          <w:i/>
          <w:iCs/>
          <w:sz w:val="20"/>
          <w:szCs w:val="20"/>
        </w:rPr>
        <w:t xml:space="preserve">N=38</w:t>
      </w:r>
      <w:r>
        <w:rPr>
          <w:rFonts w:ascii="Times New Roman" w:cs="Times New Roman" w:eastAsia="Times New Roman" w:hAnsi="Times New Roman"/>
          <w:b w:val="false"/>
          <w:bCs w:val="false"/>
          <w:i w:val="false"/>
          <w:iCs w:val="false"/>
          <w:sz w:val="20"/>
          <w:szCs w:val="20"/>
        </w:rPr>
        <w:t xml:space="preserve">, ROR = 16.70, 95% CI 8.31-33.56), muscle spasms (</w:t>
      </w:r>
      <w:r>
        <w:rPr>
          <w:rFonts w:ascii="Times New Roman" w:cs="Times New Roman" w:eastAsia="Times New Roman" w:hAnsi="Times New Roman"/>
          <w:b w:val="false"/>
          <w:bCs w:val="false"/>
          <w:i/>
          <w:iCs/>
          <w:sz w:val="20"/>
          <w:szCs w:val="20"/>
        </w:rPr>
        <w:t xml:space="preserve">N=24</w:t>
      </w:r>
      <w:r>
        <w:rPr>
          <w:rFonts w:ascii="Times New Roman" w:cs="Times New Roman" w:eastAsia="Times New Roman" w:hAnsi="Times New Roman"/>
          <w:b w:val="false"/>
          <w:bCs w:val="false"/>
          <w:i w:val="false"/>
          <w:iCs w:val="false"/>
          <w:sz w:val="20"/>
          <w:szCs w:val="20"/>
        </w:rPr>
        <w:t xml:space="preserve">, ROR = 6.17) and rash (</w:t>
      </w:r>
      <w:r>
        <w:rPr>
          <w:rFonts w:ascii="Times New Roman" w:cs="Times New Roman" w:eastAsia="Times New Roman" w:hAnsi="Times New Roman"/>
          <w:b w:val="false"/>
          <w:bCs w:val="false"/>
          <w:i/>
          <w:iCs/>
          <w:sz w:val="20"/>
          <w:szCs w:val="20"/>
        </w:rPr>
        <w:t xml:space="preserve">N=48</w:t>
      </w:r>
      <w:r>
        <w:rPr>
          <w:rFonts w:ascii="Times New Roman" w:cs="Times New Roman" w:eastAsia="Times New Roman" w:hAnsi="Times New Roman"/>
          <w:b w:val="false"/>
          <w:bCs w:val="false"/>
          <w:i w:val="false"/>
          <w:iCs w:val="false"/>
          <w:sz w:val="20"/>
          <w:szCs w:val="20"/>
        </w:rPr>
        <w:t xml:space="preserve">, ROR = 1.51). Drug ineffective was the most frequently recorded Preferred Term (</w:t>
      </w:r>
      <w:r>
        <w:rPr>
          <w:rFonts w:ascii="Times New Roman" w:cs="Times New Roman" w:eastAsia="Times New Roman" w:hAnsi="Times New Roman"/>
          <w:b w:val="false"/>
          <w:bCs w:val="false"/>
          <w:i/>
          <w:iCs/>
          <w:sz w:val="20"/>
          <w:szCs w:val="20"/>
        </w:rPr>
        <w:t xml:space="preserve">N=106</w:t>
      </w:r>
      <w:r>
        <w:rPr>
          <w:rFonts w:ascii="Times New Roman" w:cs="Times New Roman" w:eastAsia="Times New Roman" w:hAnsi="Times New Roman"/>
          <w:b w:val="false"/>
          <w:bCs w:val="false"/>
          <w:i w:val="false"/>
          <w:iCs w:val="false"/>
          <w:sz w:val="20"/>
          <w:szCs w:val="20"/>
        </w:rPr>
        <w:t xml:space="preserve">) but did not meet the ROR signal threshold.</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Lisinopril (N = 2,529) and Losartan (N = 1,681)</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These cardiovascular agents, commonly co-prescribed in adolescents with obesity-related hypertension, were predominantly present as concomitant medications. Lisinopril showed signals for product dose omission issue (</w:t>
      </w:r>
      <w:r>
        <w:rPr>
          <w:rFonts w:ascii="Times New Roman" w:cs="Times New Roman" w:eastAsia="Times New Roman" w:hAnsi="Times New Roman"/>
          <w:b w:val="false"/>
          <w:bCs w:val="false"/>
          <w:i/>
          <w:iCs/>
          <w:sz w:val="20"/>
          <w:szCs w:val="20"/>
        </w:rPr>
        <w:t xml:space="preserve">N=117</w:t>
      </w:r>
      <w:r>
        <w:rPr>
          <w:rFonts w:ascii="Times New Roman" w:cs="Times New Roman" w:eastAsia="Times New Roman" w:hAnsi="Times New Roman"/>
          <w:b w:val="false"/>
          <w:bCs w:val="false"/>
          <w:i w:val="false"/>
          <w:iCs w:val="false"/>
          <w:sz w:val="20"/>
          <w:szCs w:val="20"/>
        </w:rPr>
        <w:t xml:space="preserve">, ROR = 2.43) and intentional dose omission (</w:t>
      </w:r>
      <w:r>
        <w:rPr>
          <w:rFonts w:ascii="Times New Roman" w:cs="Times New Roman" w:eastAsia="Times New Roman" w:hAnsi="Times New Roman"/>
          <w:b w:val="false"/>
          <w:bCs w:val="false"/>
          <w:i/>
          <w:iCs/>
          <w:sz w:val="20"/>
          <w:szCs w:val="20"/>
        </w:rPr>
        <w:t xml:space="preserve">N=27</w:t>
      </w:r>
      <w:r>
        <w:rPr>
          <w:rFonts w:ascii="Times New Roman" w:cs="Times New Roman" w:eastAsia="Times New Roman" w:hAnsi="Times New Roman"/>
          <w:b w:val="false"/>
          <w:bCs w:val="false"/>
          <w:i w:val="false"/>
          <w:iCs w:val="false"/>
          <w:sz w:val="20"/>
          <w:szCs w:val="20"/>
        </w:rPr>
        <w:t xml:space="preserve">, ROR = 7.38, four-metric concordant); off-label use (</w:t>
      </w:r>
      <w:r>
        <w:rPr>
          <w:rFonts w:ascii="Times New Roman" w:cs="Times New Roman" w:eastAsia="Times New Roman" w:hAnsi="Times New Roman"/>
          <w:b w:val="false"/>
          <w:bCs w:val="false"/>
          <w:i/>
          <w:iCs/>
          <w:sz w:val="20"/>
          <w:szCs w:val="20"/>
        </w:rPr>
        <w:t xml:space="preserve">N=42</w:t>
      </w:r>
      <w:r>
        <w:rPr>
          <w:rFonts w:ascii="Times New Roman" w:cs="Times New Roman" w:eastAsia="Times New Roman" w:hAnsi="Times New Roman"/>
          <w:b w:val="false"/>
          <w:bCs w:val="false"/>
          <w:i w:val="false"/>
          <w:iCs w:val="false"/>
          <w:sz w:val="20"/>
          <w:szCs w:val="20"/>
        </w:rPr>
        <w:t xml:space="preserve">, ROR = 1.27) did not meet the signal threshold. Losartan showed a signal for anhedonia (</w:t>
      </w:r>
      <w:r>
        <w:rPr>
          <w:rFonts w:ascii="Times New Roman" w:cs="Times New Roman" w:eastAsia="Times New Roman" w:hAnsi="Times New Roman"/>
          <w:b w:val="false"/>
          <w:bCs w:val="false"/>
          <w:i/>
          <w:iCs/>
          <w:sz w:val="20"/>
          <w:szCs w:val="20"/>
        </w:rPr>
        <w:t xml:space="preserve">N=21</w:t>
      </w:r>
      <w:r>
        <w:rPr>
          <w:rFonts w:ascii="Times New Roman" w:cs="Times New Roman" w:eastAsia="Times New Roman" w:hAnsi="Times New Roman"/>
          <w:b w:val="false"/>
          <w:bCs w:val="false"/>
          <w:i w:val="false"/>
          <w:iCs w:val="false"/>
          <w:sz w:val="20"/>
          <w:szCs w:val="20"/>
        </w:rPr>
        <w:t xml:space="preserve">, ROR = 2.04), a psychiatric AE warranting further investigation in adolescents on polypharmacy regimens.</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Semaglutide (N = 279)</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Semaglutide showed a prominent signal for optic ischaemic neuropathy (</w:t>
      </w:r>
      <w:r>
        <w:rPr>
          <w:rFonts w:ascii="Times New Roman" w:cs="Times New Roman" w:eastAsia="Times New Roman" w:hAnsi="Times New Roman"/>
          <w:b w:val="false"/>
          <w:bCs w:val="false"/>
          <w:i/>
          <w:iCs/>
          <w:sz w:val="20"/>
          <w:szCs w:val="20"/>
        </w:rPr>
        <w:t xml:space="preserve">N=14</w:t>
      </w:r>
      <w:r>
        <w:rPr>
          <w:rFonts w:ascii="Times New Roman" w:cs="Times New Roman" w:eastAsia="Times New Roman" w:hAnsi="Times New Roman"/>
          <w:b w:val="false"/>
          <w:bCs w:val="false"/>
          <w:i w:val="false"/>
          <w:iCs w:val="false"/>
          <w:sz w:val="20"/>
          <w:szCs w:val="20"/>
        </w:rPr>
        <w:t xml:space="preserve">, ROR = 439.23, 95% CI 99.33-1942.26) and vomiting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3.95), the latter consistent with recent reports flagging this potential risk [8]. Psychiatric AE signals, including mood changes and anxiety, were also identified, consistent with pharmacovigilance studies flagging potential psychiatric effects of GLP-1 receptor agonists [10].</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Dapagliflozin (N = 608)</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top AEs for dapagliflozin, insulin glargine, tirzepatide, and empagliflozin are presented in Fig 4.</w:t>
      </w:r>
    </w:p>
    <w:p>
      <w:pPr>
        <w:spacing w:after="80" w:before="80" w:line="480" w:lineRule="auto"/>
        <w:jc w:val="left"/>
      </w:pPr>
      <w:r>
        <w:rPr>
          <w:rFonts w:ascii="Times New Roman" w:cs="Times New Roman" w:eastAsia="Times New Roman" w:hAnsi="Times New Roman"/>
          <w:b/>
          <w:bCs/>
          <w:i w:val="false"/>
          <w:iCs w:val="false"/>
          <w:sz w:val="20"/>
          <w:szCs w:val="20"/>
        </w:rPr>
        <w:t xml:space="preserve">Fig 4.</w:t>
      </w:r>
      <w:r>
        <w:rPr>
          <w:rFonts w:ascii="Times New Roman" w:cs="Times New Roman" w:eastAsia="Times New Roman" w:hAnsi="Times New Roman"/>
          <w:b w:val="false"/>
          <w:bCs w:val="false"/>
          <w:i w:val="false"/>
          <w:iCs w:val="false"/>
          <w:sz w:val="20"/>
          <w:szCs w:val="20"/>
        </w:rPr>
        <w:t xml:space="preserve"> The top AEs associated with four additional drugs showing notable disproportionality signals: (a) dapagliflozin, (b) insulin glargine, (c) tirzepatide, and (d) empagliflozin, ranked by the number of positive signals along with their PT and ROR values. Together with Fig 3, these seven drugs illustrate the strongest signals identified.</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Dapagliflozin, an SGLT2 inhibitor, showed the strongest cardiovascular signal in this analysis: cardiac failure (</w:t>
      </w:r>
      <w:r>
        <w:rPr>
          <w:rFonts w:ascii="Times New Roman" w:cs="Times New Roman" w:eastAsia="Times New Roman" w:hAnsi="Times New Roman"/>
          <w:b w:val="false"/>
          <w:bCs w:val="false"/>
          <w:i/>
          <w:iCs/>
          <w:sz w:val="20"/>
          <w:szCs w:val="20"/>
        </w:rPr>
        <w:t xml:space="preserve">N=30</w:t>
      </w:r>
      <w:r>
        <w:rPr>
          <w:rFonts w:ascii="Times New Roman" w:cs="Times New Roman" w:eastAsia="Times New Roman" w:hAnsi="Times New Roman"/>
          <w:b w:val="false"/>
          <w:bCs w:val="false"/>
          <w:i w:val="false"/>
          <w:iCs w:val="false"/>
          <w:sz w:val="20"/>
          <w:szCs w:val="20"/>
        </w:rPr>
        <w:t xml:space="preserve">, ROR = 40.24, 95% CI 22.90-70.71), a finding of considerable clinical concern in adolescents with developing cardiac systems. Additional signals included ketoacidosis (</w:t>
      </w:r>
      <w:r>
        <w:rPr>
          <w:rFonts w:ascii="Times New Roman" w:cs="Times New Roman" w:eastAsia="Times New Roman" w:hAnsi="Times New Roman"/>
          <w:b w:val="false"/>
          <w:bCs w:val="false"/>
          <w:i/>
          <w:iCs/>
          <w:sz w:val="20"/>
          <w:szCs w:val="20"/>
        </w:rPr>
        <w:t xml:space="preserve">N=10</w:t>
      </w:r>
      <w:r>
        <w:rPr>
          <w:rFonts w:ascii="Times New Roman" w:cs="Times New Roman" w:eastAsia="Times New Roman" w:hAnsi="Times New Roman"/>
          <w:b w:val="false"/>
          <w:bCs w:val="false"/>
          <w:i w:val="false"/>
          <w:iCs w:val="false"/>
          <w:sz w:val="20"/>
          <w:szCs w:val="20"/>
        </w:rPr>
        <w:t xml:space="preserve">, ROR = 9.72), nephrotic syndrome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162.46), nephritis (</w:t>
      </w:r>
      <w:r>
        <w:rPr>
          <w:rFonts w:ascii="Times New Roman" w:cs="Times New Roman" w:eastAsia="Times New Roman" w:hAnsi="Times New Roman"/>
          <w:b w:val="false"/>
          <w:bCs w:val="false"/>
          <w:i/>
          <w:iCs/>
          <w:sz w:val="20"/>
          <w:szCs w:val="20"/>
        </w:rPr>
        <w:t xml:space="preserve">N=4</w:t>
      </w:r>
      <w:r>
        <w:rPr>
          <w:rFonts w:ascii="Times New Roman" w:cs="Times New Roman" w:eastAsia="Times New Roman" w:hAnsi="Times New Roman"/>
          <w:b w:val="false"/>
          <w:bCs w:val="false"/>
          <w:i w:val="false"/>
          <w:iCs w:val="false"/>
          <w:sz w:val="20"/>
          <w:szCs w:val="20"/>
        </w:rPr>
        <w:t xml:space="preserve">, ROR = 107.95), and body mass index increased (</w:t>
      </w:r>
      <w:r>
        <w:rPr>
          <w:rFonts w:ascii="Times New Roman" w:cs="Times New Roman" w:eastAsia="Times New Roman" w:hAnsi="Times New Roman"/>
          <w:b w:val="false"/>
          <w:bCs w:val="false"/>
          <w:i/>
          <w:iCs/>
          <w:sz w:val="20"/>
          <w:szCs w:val="20"/>
        </w:rPr>
        <w:t xml:space="preserve">N=7</w:t>
      </w:r>
      <w:r>
        <w:rPr>
          <w:rFonts w:ascii="Times New Roman" w:cs="Times New Roman" w:eastAsia="Times New Roman" w:hAnsi="Times New Roman"/>
          <w:b w:val="false"/>
          <w:bCs w:val="false"/>
          <w:i w:val="false"/>
          <w:iCs w:val="false"/>
          <w:sz w:val="20"/>
          <w:szCs w:val="20"/>
        </w:rPr>
        <w:t xml:space="preserve">, ROR = 63.28). Together these support renal and cardiovascular monitoring during SGLT2 inhibitor therapy in adolescents. Death was the most frequently reported outcome PT for dapagliflozin (</w:t>
      </w:r>
      <w:r>
        <w:rPr>
          <w:rFonts w:ascii="Times New Roman" w:cs="Times New Roman" w:eastAsia="Times New Roman" w:hAnsi="Times New Roman"/>
          <w:b w:val="false"/>
          <w:bCs w:val="false"/>
          <w:i/>
          <w:iCs/>
          <w:sz w:val="20"/>
          <w:szCs w:val="20"/>
        </w:rPr>
        <w:t xml:space="preserve">N=52</w:t>
      </w:r>
      <w:r>
        <w:rPr>
          <w:rFonts w:ascii="Times New Roman" w:cs="Times New Roman" w:eastAsia="Times New Roman" w:hAnsi="Times New Roman"/>
          <w:b w:val="false"/>
          <w:bCs w:val="false"/>
          <w:i w:val="false"/>
          <w:iCs w:val="false"/>
          <w:sz w:val="20"/>
          <w:szCs w:val="20"/>
        </w:rPr>
        <w:t xml:space="preserve">, ROR = 17.84, 95% CI 12.51-25.45), with 92% of reports listing dapagliflozin as the primary suspect; indications in these cases included chronic kidney disease and cardiac failure, suggesting seriously ill patients. This signal met all four criteria, though FAERS outcome codes conflate the recorded event with the suspected causal pathway. Haematological signals were also observed: thrombocytopenia (</w:t>
      </w:r>
      <w:r>
        <w:rPr>
          <w:rFonts w:ascii="Times New Roman" w:cs="Times New Roman" w:eastAsia="Times New Roman" w:hAnsi="Times New Roman"/>
          <w:b w:val="false"/>
          <w:bCs w:val="false"/>
          <w:i/>
          <w:iCs/>
          <w:sz w:val="20"/>
          <w:szCs w:val="20"/>
        </w:rPr>
        <w:t xml:space="preserve">N=12</w:t>
      </w:r>
      <w:r>
        <w:rPr>
          <w:rFonts w:ascii="Times New Roman" w:cs="Times New Roman" w:eastAsia="Times New Roman" w:hAnsi="Times New Roman"/>
          <w:b w:val="false"/>
          <w:bCs w:val="false"/>
          <w:i w:val="false"/>
          <w:iCs w:val="false"/>
          <w:sz w:val="20"/>
          <w:szCs w:val="20"/>
        </w:rPr>
        <w:t xml:space="preserve">, ROR = 18.21) and neutropenia (</w:t>
      </w:r>
      <w:r>
        <w:rPr>
          <w:rFonts w:ascii="Times New Roman" w:cs="Times New Roman" w:eastAsia="Times New Roman" w:hAnsi="Times New Roman"/>
          <w:b w:val="false"/>
          <w:bCs w:val="false"/>
          <w:i/>
          <w:iCs/>
          <w:sz w:val="20"/>
          <w:szCs w:val="20"/>
        </w:rPr>
        <w:t xml:space="preserve">N=10</w:t>
      </w:r>
      <w:r>
        <w:rPr>
          <w:rFonts w:ascii="Times New Roman" w:cs="Times New Roman" w:eastAsia="Times New Roman" w:hAnsi="Times New Roman"/>
          <w:b w:val="false"/>
          <w:bCs w:val="false"/>
          <w:i w:val="false"/>
          <w:iCs w:val="false"/>
          <w:sz w:val="20"/>
          <w:szCs w:val="20"/>
        </w:rPr>
        <w:t xml:space="preserve">, ROR = 13.61), both four-metric concordant, which have not been prominently reported in prior adolescent SGLT2 inhibitor pharmacovigilance.</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Insulin preparations (Glargine N = 283; Aspart N = 346; Lispro N = 287)</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Insulin preparations showed expected signals for blood glucose abnormalities and hypoglycaemia. Insulin glargine showed signals for oedema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90.01), acute kidney injury (</w:t>
      </w:r>
      <w:r>
        <w:rPr>
          <w:rFonts w:ascii="Times New Roman" w:cs="Times New Roman" w:eastAsia="Times New Roman" w:hAnsi="Times New Roman"/>
          <w:b w:val="false"/>
          <w:bCs w:val="false"/>
          <w:i/>
          <w:iCs/>
          <w:sz w:val="20"/>
          <w:szCs w:val="20"/>
        </w:rPr>
        <w:t xml:space="preserve">N=16</w:t>
      </w:r>
      <w:r>
        <w:rPr>
          <w:rFonts w:ascii="Times New Roman" w:cs="Times New Roman" w:eastAsia="Times New Roman" w:hAnsi="Times New Roman"/>
          <w:b w:val="false"/>
          <w:bCs w:val="false"/>
          <w:i w:val="false"/>
          <w:iCs w:val="false"/>
          <w:sz w:val="20"/>
          <w:szCs w:val="20"/>
        </w:rPr>
        <w:t xml:space="preserve">, ROR = 6.58) and completed suicide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3.41, 95% CI 1.48-7.83), where insulin was listed as a secondary suspect in all six reports. Insulin aspart showed blood glucose increased (</w:t>
      </w:r>
      <w:r>
        <w:rPr>
          <w:rFonts w:ascii="Times New Roman" w:cs="Times New Roman" w:eastAsia="Times New Roman" w:hAnsi="Times New Roman"/>
          <w:b w:val="false"/>
          <w:bCs w:val="false"/>
          <w:i/>
          <w:iCs/>
          <w:sz w:val="20"/>
          <w:szCs w:val="20"/>
        </w:rPr>
        <w:t xml:space="preserve">N=26</w:t>
      </w:r>
      <w:r>
        <w:rPr>
          <w:rFonts w:ascii="Times New Roman" w:cs="Times New Roman" w:eastAsia="Times New Roman" w:hAnsi="Times New Roman"/>
          <w:b w:val="false"/>
          <w:bCs w:val="false"/>
          <w:i w:val="false"/>
          <w:iCs w:val="false"/>
          <w:sz w:val="20"/>
          <w:szCs w:val="20"/>
        </w:rPr>
        <w:t xml:space="preserve">, ROR = 10.95) and insulin lispro showed blood glucose increased (</w:t>
      </w:r>
      <w:r>
        <w:rPr>
          <w:rFonts w:ascii="Times New Roman" w:cs="Times New Roman" w:eastAsia="Times New Roman" w:hAnsi="Times New Roman"/>
          <w:b w:val="false"/>
          <w:bCs w:val="false"/>
          <w:i/>
          <w:iCs/>
          <w:sz w:val="20"/>
          <w:szCs w:val="20"/>
        </w:rPr>
        <w:t xml:space="preserve">N=13</w:t>
      </w:r>
      <w:r>
        <w:rPr>
          <w:rFonts w:ascii="Times New Roman" w:cs="Times New Roman" w:eastAsia="Times New Roman" w:hAnsi="Times New Roman"/>
          <w:b w:val="false"/>
          <w:bCs w:val="false"/>
          <w:i w:val="false"/>
          <w:iCs w:val="false"/>
          <w:sz w:val="20"/>
          <w:szCs w:val="20"/>
        </w:rPr>
        <w:t xml:space="preserve">, ROR = 6.11) and diabetic ketoacidosis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8.88).</w:t>
      </w:r>
    </w:p>
    <w:p>
      <w:pPr>
        <w:keepNext/>
        <w:spacing w:after="100" w:before="200" w:line="240" w:lineRule="auto"/>
        <w:jc w:val="left"/>
      </w:pPr>
      <w:r>
        <w:rPr>
          <w:rFonts w:ascii="Times New Roman" w:cs="Times New Roman" w:eastAsia="Times New Roman" w:hAnsi="Times New Roman"/>
          <w:b/>
          <w:bCs/>
          <w:i w:val="false"/>
          <w:iCs w:val="false"/>
          <w:sz w:val="28"/>
          <w:szCs w:val="28"/>
        </w:rPr>
        <w:t xml:space="preserve">Empagliflozin (N = 145) and Tirzepatide (N = 130)</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These newer agents had smaller report volumes. Empagliflozin showed interstitial lung disease (</w:t>
      </w:r>
      <w:r>
        <w:rPr>
          <w:rFonts w:ascii="Times New Roman" w:cs="Times New Roman" w:eastAsia="Times New Roman" w:hAnsi="Times New Roman"/>
          <w:b w:val="false"/>
          <w:bCs w:val="false"/>
          <w:i/>
          <w:iCs/>
          <w:sz w:val="20"/>
          <w:szCs w:val="20"/>
        </w:rPr>
        <w:t xml:space="preserve">N=4</w:t>
      </w:r>
      <w:r>
        <w:rPr>
          <w:rFonts w:ascii="Times New Roman" w:cs="Times New Roman" w:eastAsia="Times New Roman" w:hAnsi="Times New Roman"/>
          <w:b w:val="false"/>
          <w:bCs w:val="false"/>
          <w:i w:val="false"/>
          <w:iCs w:val="false"/>
          <w:sz w:val="20"/>
          <w:szCs w:val="20"/>
        </w:rPr>
        <w:t xml:space="preserve">, ROR = 475.55), hepatic function abnormal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361.77), and rash papular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241.17). Tirzepatide, a dual GIP/GLP-1 receptor agonist, showed signals for intestinal obstruction (</w:t>
      </w:r>
      <w:r>
        <w:rPr>
          <w:rFonts w:ascii="Times New Roman" w:cs="Times New Roman" w:eastAsia="Times New Roman" w:hAnsi="Times New Roman"/>
          <w:b w:val="false"/>
          <w:bCs w:val="false"/>
          <w:i/>
          <w:iCs/>
          <w:sz w:val="20"/>
          <w:szCs w:val="20"/>
        </w:rPr>
        <w:t xml:space="preserve">N=4</w:t>
      </w:r>
      <w:r>
        <w:rPr>
          <w:rFonts w:ascii="Times New Roman" w:cs="Times New Roman" w:eastAsia="Times New Roman" w:hAnsi="Times New Roman"/>
          <w:b w:val="false"/>
          <w:bCs w:val="false"/>
          <w:i w:val="false"/>
          <w:iCs w:val="false"/>
          <w:sz w:val="20"/>
          <w:szCs w:val="20"/>
        </w:rPr>
        <w:t xml:space="preserve">, ROR = 106.50), suicidal ideation (</w:t>
      </w:r>
      <w:r>
        <w:rPr>
          <w:rFonts w:ascii="Times New Roman" w:cs="Times New Roman" w:eastAsia="Times New Roman" w:hAnsi="Times New Roman"/>
          <w:b w:val="false"/>
          <w:bCs w:val="false"/>
          <w:i/>
          <w:iCs/>
          <w:sz w:val="20"/>
          <w:szCs w:val="20"/>
        </w:rPr>
        <w:t xml:space="preserve">N=4</w:t>
      </w:r>
      <w:r>
        <w:rPr>
          <w:rFonts w:ascii="Times New Roman" w:cs="Times New Roman" w:eastAsia="Times New Roman" w:hAnsi="Times New Roman"/>
          <w:b w:val="false"/>
          <w:bCs w:val="false"/>
          <w:i w:val="false"/>
          <w:iCs w:val="false"/>
          <w:sz w:val="20"/>
          <w:szCs w:val="20"/>
        </w:rPr>
        <w:t xml:space="preserve">, ROR = 38.02), and pancreatitis (</w:t>
      </w:r>
      <w:r>
        <w:rPr>
          <w:rFonts w:ascii="Times New Roman" w:cs="Times New Roman" w:eastAsia="Times New Roman" w:hAnsi="Times New Roman"/>
          <w:b w:val="false"/>
          <w:bCs w:val="false"/>
          <w:i/>
          <w:iCs/>
          <w:sz w:val="20"/>
          <w:szCs w:val="20"/>
        </w:rPr>
        <w:t xml:space="preserve">N=6</w:t>
      </w:r>
      <w:r>
        <w:rPr>
          <w:rFonts w:ascii="Times New Roman" w:cs="Times New Roman" w:eastAsia="Times New Roman" w:hAnsi="Times New Roman"/>
          <w:b w:val="false"/>
          <w:bCs w:val="false"/>
          <w:i w:val="false"/>
          <w:iCs w:val="false"/>
          <w:sz w:val="20"/>
          <w:szCs w:val="20"/>
        </w:rPr>
        <w:t xml:space="preserve">, ROR = 33.78), consistent with the GLP-1 agonist class profile. A meta-analysis of GLP-1 RA clinical trials in adolescents found the safety profile generally acceptable, with AEs similar to those observed in adults [28], but continued monitoring is warranted.</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Complementary ML-augmented signal validation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XGBoost model, trained on a temporally separated 2021-2023 training set and evaluated on a chronologically held-out 2025 test set (</w:t>
      </w:r>
      <w:r>
        <w:rPr>
          <w:rFonts w:ascii="Times New Roman" w:cs="Times New Roman" w:eastAsia="Times New Roman" w:hAnsi="Times New Roman"/>
          <w:b w:val="false"/>
          <w:bCs w:val="false"/>
          <w:i/>
          <w:iCs/>
          <w:sz w:val="20"/>
          <w:szCs w:val="20"/>
        </w:rPr>
        <w:t xml:space="preserve">N=2</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812</w:t>
      </w:r>
      <w:r>
        <w:rPr>
          <w:rFonts w:ascii="Times New Roman" w:cs="Times New Roman" w:eastAsia="Times New Roman" w:hAnsi="Times New Roman"/>
          <w:b w:val="false"/>
          <w:bCs w:val="false"/>
          <w:i w:val="false"/>
          <w:iCs w:val="false"/>
          <w:sz w:val="20"/>
          <w:szCs w:val="20"/>
        </w:rPr>
        <w:t xml:space="preserve">), achieved a temporal Macro-F1 of 0.389 (95% CI 0.353--0.434; XGBoost 3.2.0, seed 42, train-only preprocessing). Macro-F1 was computed over the five outcome classes present in the 2025 partition; Required Intervention had no test cases (support = 0), so F1 is undefined for that class. Including it as a zero-support class gives a six-class Macro-F1 of 0.324, reported here as a sensitivity analysis. Under a conventional random-split setup (80/20, stratified), XGBoost achieved the best Macro-F1 (0.629) among all fitted models in the broad obesity-related panel (</w:t>
      </w:r>
      <w:r>
        <w:rPr>
          <w:rFonts w:ascii="Times New Roman" w:cs="Times New Roman" w:eastAsia="Times New Roman" w:hAnsi="Times New Roman"/>
          <w:b w:val="false"/>
          <w:bCs w:val="false"/>
          <w:i/>
          <w:iCs/>
          <w:sz w:val="20"/>
          <w:szCs w:val="20"/>
        </w:rPr>
        <w:t xml:space="preserve">N=11</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701</w:t>
      </w:r>
      <w:r>
        <w:rPr>
          <w:rFonts w:ascii="Times New Roman" w:cs="Times New Roman" w:eastAsia="Times New Roman" w:hAnsi="Times New Roman"/>
          <w:b w:val="false"/>
          <w:bCs w:val="false"/>
          <w:i w:val="false"/>
          <w:iCs w:val="false"/>
          <w:sz w:val="20"/>
          <w:szCs w:val="20"/>
        </w:rPr>
        <w:t xml:space="preserve">), ahead of Random Forest (0.563). This random-split figure reproduces the original analysis pipeline, in which the category encoders and the feature scaler were fitted on the complete dataset before splitting; it is therefore optimistically biased and is reported only for comparison with the temporal result, not as a performance estimate. The PT-only lookup baseline, which assigns each report the most frequent training-period outcome for its Preferred Term, attained a temporal Macro-F1 of 0.594 (95% CI 0.545--0.626), exceeding the fitted XGBoost model. This is a direct consequence of the outcome-label construction: approximately half of outcome codes were imputed from the Preferred Term, so the lookup partially recovers the imputation rule.</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McNemar's test (Table 5) confirmed that XGBoost significantly outperformed the majority-class, logistic regression, decision tree, and random forest comparators (</w:t>
      </w:r>
      <w:r>
        <w:rPr>
          <w:rFonts w:ascii="Times New Roman" w:cs="Times New Roman" w:eastAsia="Times New Roman" w:hAnsi="Times New Roman"/>
          <w:b w:val="false"/>
          <w:bCs w:val="false"/>
          <w:i/>
          <w:iCs/>
          <w:sz w:val="20"/>
          <w:szCs w:val="20"/>
        </w:rPr>
        <w:t xml:space="preserve">p&lt;0.001</w:t>
      </w:r>
      <w:r>
        <w:rPr>
          <w:rFonts w:ascii="Times New Roman" w:cs="Times New Roman" w:eastAsia="Times New Roman" w:hAnsi="Times New Roman"/>
          <w:b w:val="false"/>
          <w:bCs w:val="false"/>
          <w:i w:val="false"/>
          <w:iCs w:val="false"/>
          <w:sz w:val="20"/>
          <w:szCs w:val="20"/>
        </w:rPr>
        <w:t xml:space="preserve"> for all). The PT-only lookup baseline, however, significantly outperformed XGBoost (</w:t>
      </w:r>
      <w:r>
        <w:rPr>
          <w:rFonts w:ascii="Times New Roman" w:cs="Times New Roman" w:eastAsia="Times New Roman" w:hAnsi="Times New Roman"/>
          <w:b w:val="false"/>
          <w:bCs w:val="false"/>
          <w:i/>
          <w:iCs/>
          <w:sz w:val="20"/>
          <w:szCs w:val="20"/>
        </w:rPr>
        <w:t xml:space="preserve">b=134</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c=453</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iCs/>
          <w:sz w:val="20"/>
          <w:szCs w:val="20"/>
        </w:rPr>
        <w:t xml:space="preserve">=172.27</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p=2.4 × 10</w:t>
      </w:r>
      <w:r>
        <w:rPr>
          <w:rFonts w:ascii="Times New Roman" w:cs="Times New Roman" w:eastAsia="Times New Roman" w:hAnsi="Times New Roman"/>
          <w:b w:val="false"/>
          <w:bCs w:val="false"/>
          <w:i/>
          <w:iCs/>
          <w:sz w:val="20"/>
          <w:szCs w:val="20"/>
          <w:vertAlign w:val="superscript"/>
        </w:rPr>
        <w:t xml:space="preserve">-39</w:t>
      </w:r>
      <w:r>
        <w:rPr>
          <w:rFonts w:ascii="Times New Roman" w:cs="Times New Roman" w:eastAsia="Times New Roman" w:hAnsi="Times New Roman"/>
          <w:b w:val="false"/>
          <w:bCs w:val="false"/>
          <w:i w:val="false"/>
          <w:iCs w:val="false"/>
          <w:sz w:val="20"/>
          <w:szCs w:val="20"/>
        </w:rPr>
        <w:t xml:space="preserve">), attaining a temporal Macro-F1 of 0.594 versus 0.389. This result is a direct consequence of outcome-label construction (Stage 1 pseudo-labelling derived labels from the Preferred Term, which is also model feature 13); it is quantified and disclosed as a limitation rather than treated as evidence of a fundamental model failure.</w:t>
      </w:r>
    </w:p>
    <w:p>
      <w:pPr>
        <w:keepNext/>
        <w:spacing w:after="80" w:before="200" w:line="240" w:lineRule="auto"/>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McNemar's test: pairwise comparison of XGBoost (temporal evaluation, 2025 test set, </w:t>
      </w:r>
      <w:r>
        <w:rPr>
          <w:rFonts w:ascii="Times New Roman" w:cs="Times New Roman" w:eastAsia="Times New Roman" w:hAnsi="Times New Roman"/>
          <w:b w:val="false"/>
          <w:bCs w:val="false"/>
          <w:i/>
          <w:iCs/>
          <w:sz w:val="20"/>
          <w:szCs w:val="20"/>
        </w:rPr>
        <w:t xml:space="preserve">N=2</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iCs/>
          <w:sz w:val="20"/>
          <w:szCs w:val="20"/>
        </w:rPr>
        <w:t xml:space="preserve">812</w:t>
      </w:r>
      <w:r>
        <w:rPr>
          <w:rFonts w:ascii="Times New Roman" w:cs="Times New Roman" w:eastAsia="Times New Roman" w:hAnsi="Times New Roman"/>
          <w:b w:val="false"/>
          <w:bCs w:val="false"/>
          <w:i w:val="false"/>
          <w:iCs w:val="false"/>
          <w:sz w:val="20"/>
          <w:szCs w:val="20"/>
        </w:rPr>
        <w:t xml:space="preserve">) against baseline classifiers on the broad obesity-related panel.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 cases where XGBoost is correct and the comparator is wrong;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 cases where XGBoost is wrong and the comparator is correct. All results reproduced with XGBoost 3.2.0, seed 42, train-only preprocessing.</w:t>
      </w:r>
    </w:p>
    <w:tbl>
      <w:tblPr>
        <w:tblW w:type="dxa" w:w="6553"/>
        <w:jc w:val="center"/>
        <w:tblBorders>
          <w:top w:val="single" w:color="auto" w:sz="4"/>
          <w:left w:val="single" w:color="auto" w:sz="4"/>
          <w:bottom w:val="single" w:color="auto" w:sz="4"/>
          <w:right w:val="single" w:color="auto" w:sz="4"/>
          <w:insideH w:val="single" w:color="auto" w:sz="4"/>
          <w:insideV w:val="single" w:color="auto" w:sz="4"/>
        </w:tblBorders>
      </w:tblPr>
      <w:tblGrid>
        <w:gridCol w:w="2683"/>
        <w:gridCol w:w="503"/>
        <w:gridCol w:w="500"/>
        <w:gridCol w:w="719"/>
        <w:gridCol w:w="1110"/>
        <w:gridCol w:w="1038"/>
      </w:tblGrid>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bCs/>
                <w:i w:val="false"/>
                <w:iCs w:val="false"/>
                <w:sz w:val="16"/>
                <w:szCs w:val="16"/>
              </w:rPr>
              <w:t xml:space="preserve">Comparison</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iCs/>
                <w:sz w:val="16"/>
                <w:szCs w:val="16"/>
              </w:rPr>
              <w:t xml:space="preserve">b</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iCs/>
                <w:sz w:val="16"/>
                <w:szCs w:val="16"/>
              </w:rPr>
              <w:t xml:space="preserve">c</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iCs/>
                <w:sz w:val="16"/>
                <w:szCs w:val="16"/>
              </w:rPr>
              <w:t xml:space="preserve">χ</w:t>
            </w:r>
            <w:r>
              <w:rPr>
                <w:rFonts w:ascii="Times New Roman" w:cs="Times New Roman" w:eastAsia="Times New Roman" w:hAnsi="Times New Roman"/>
                <w:b/>
                <w:bCs/>
                <w:i/>
                <w:iCs/>
                <w:sz w:val="16"/>
                <w:szCs w:val="16"/>
                <w:vertAlign w:val="superscript"/>
              </w:rPr>
              <w:t xml:space="preserve">2</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iCs/>
                <w:sz w:val="16"/>
                <w:szCs w:val="16"/>
              </w:rPr>
              <w:t xml:space="preserve">p</w:t>
            </w:r>
            <w:r>
              <w:rPr>
                <w:rFonts w:ascii="Times New Roman" w:cs="Times New Roman" w:eastAsia="Times New Roman" w:hAnsi="Times New Roman"/>
                <w:b/>
                <w:bCs/>
                <w:i w:val="false"/>
                <w:iCs w:val="false"/>
                <w:sz w:val="16"/>
                <w:szCs w:val="16"/>
              </w:rPr>
              <w:t xml:space="preserve">-value</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bCs/>
                <w:i w:val="false"/>
                <w:iCs w:val="false"/>
                <w:sz w:val="16"/>
                <w:szCs w:val="16"/>
              </w:rPr>
              <w:t xml:space="preserve">Winner</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Majority Class</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433</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193</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91.25</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1.3 × 10</w:t>
            </w:r>
            <w:r>
              <w:rPr>
                <w:rFonts w:ascii="Times New Roman" w:cs="Times New Roman" w:eastAsia="Times New Roman" w:hAnsi="Times New Roman"/>
                <w:b w:val="false"/>
                <w:bCs w:val="false"/>
                <w:i/>
                <w:iCs/>
                <w:sz w:val="16"/>
                <w:szCs w:val="16"/>
                <w:vertAlign w:val="superscript"/>
              </w:rPr>
              <w:t xml:space="preserve">-21</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XGBoost</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Logistic Regression</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441</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202</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88.09</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6.2 × 10</w:t>
            </w:r>
            <w:r>
              <w:rPr>
                <w:rFonts w:ascii="Times New Roman" w:cs="Times New Roman" w:eastAsia="Times New Roman" w:hAnsi="Times New Roman"/>
                <w:b w:val="false"/>
                <w:bCs w:val="false"/>
                <w:i/>
                <w:iCs/>
                <w:sz w:val="16"/>
                <w:szCs w:val="16"/>
                <w:vertAlign w:val="superscript"/>
              </w:rPr>
              <w:t xml:space="preserve">-21</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XGBoost</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Decision Tree</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441</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294</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29.00</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7.2 × 10</w:t>
            </w:r>
            <w:r>
              <w:rPr>
                <w:rFonts w:ascii="Times New Roman" w:cs="Times New Roman" w:eastAsia="Times New Roman" w:hAnsi="Times New Roman"/>
                <w:b w:val="false"/>
                <w:bCs w:val="false"/>
                <w:i/>
                <w:iCs/>
                <w:sz w:val="16"/>
                <w:szCs w:val="16"/>
                <w:vertAlign w:val="superscript"/>
              </w:rPr>
              <w:t xml:space="preserve">-8</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XGBoost</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Random Forest</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358</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200</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44.17</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3.0 × 10</w:t>
            </w:r>
            <w:r>
              <w:rPr>
                <w:rFonts w:ascii="Times New Roman" w:cs="Times New Roman" w:eastAsia="Times New Roman" w:hAnsi="Times New Roman"/>
                <w:b w:val="false"/>
                <w:bCs w:val="false"/>
                <w:i/>
                <w:iCs/>
                <w:sz w:val="16"/>
                <w:szCs w:val="16"/>
                <w:vertAlign w:val="superscript"/>
              </w:rPr>
              <w:t xml:space="preserve">-11</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XGBoost</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left"/>
            </w:pPr>
            <w:r>
              <w:rPr>
                <w:rFonts w:ascii="Times New Roman" w:cs="Times New Roman" w:eastAsia="Times New Roman" w:hAnsi="Times New Roman"/>
                <w:b w:val="false"/>
                <w:bCs w:val="false"/>
                <w:i w:val="false"/>
                <w:iCs w:val="false"/>
                <w:sz w:val="16"/>
                <w:szCs w:val="16"/>
              </w:rPr>
              <w:t xml:space="preserve">XGBoost vs. PT-only lookup</w:t>
            </w:r>
          </w:p>
        </w:tc>
        <w:tc>
          <w:tcPr>
            <w:tcW w:type="dxa" w:w="503"/>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134</w:t>
            </w:r>
          </w:p>
        </w:tc>
        <w:tc>
          <w:tcPr>
            <w:tcW w:type="dxa" w:w="50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453</w:t>
            </w:r>
          </w:p>
        </w:tc>
        <w:tc>
          <w:tcPr>
            <w:tcW w:type="dxa" w:w="719"/>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172.27</w:t>
            </w:r>
          </w:p>
        </w:tc>
        <w:tc>
          <w:tcPr>
            <w:tcW w:type="dxa" w:w="1110"/>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iCs/>
                <w:sz w:val="16"/>
                <w:szCs w:val="16"/>
              </w:rPr>
              <w:t xml:space="preserve">2.4 × 10</w:t>
            </w:r>
            <w:r>
              <w:rPr>
                <w:rFonts w:ascii="Times New Roman" w:cs="Times New Roman" w:eastAsia="Times New Roman" w:hAnsi="Times New Roman"/>
                <w:b w:val="false"/>
                <w:bCs w:val="false"/>
                <w:i/>
                <w:iCs/>
                <w:sz w:val="16"/>
                <w:szCs w:val="16"/>
                <w:vertAlign w:val="superscript"/>
              </w:rPr>
              <w:t xml:space="preserve">-39</w:t>
            </w:r>
          </w:p>
        </w:tc>
        <w:tc>
          <w:tcPr>
            <w:tcW w:type="dxa" w:w="1038"/>
            <w:tcBorders>
              <w:top w:val="single" w:color="000000" w:sz="4"/>
              <w:left w:val="single" w:color="000000" w:sz="4"/>
              <w:bottom w:val="single" w:color="000000" w:sz="4"/>
              <w:right w:val="single" w:color="000000" w:sz="4"/>
            </w:tcBorders>
            <w:tcMar>
              <w:top w:type="dxa" w:w="0"/>
              <w:left w:type="dxa" w:w="60"/>
              <w:bottom w:type="dxa" w:w="0"/>
              <w:right w:type="dxa" w:w="60"/>
            </w:tcMar>
            <w:vAlign w:val="top"/>
          </w:tcPr>
          <w:p>
            <w:pPr>
              <w:spacing w:line="240" w:lineRule="auto"/>
              <w:jc w:val="center"/>
            </w:pPr>
            <w:r>
              <w:rPr>
                <w:rFonts w:ascii="Times New Roman" w:cs="Times New Roman" w:eastAsia="Times New Roman" w:hAnsi="Times New Roman"/>
                <w:b w:val="false"/>
                <w:bCs w:val="false"/>
                <w:i w:val="false"/>
                <w:iCs w:val="false"/>
                <w:sz w:val="16"/>
                <w:szCs w:val="16"/>
              </w:rPr>
              <w:t xml:space="preserve">PT-lookup</w:t>
            </w:r>
          </w:p>
        </w:tc>
      </w:tr>
    </w:tbl>
    <w:p>
      <w:pPr>
        <w:spacing w:after="200" w:line="240"/>
      </w:pP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Three illustrative examples demonstrate where the two analytical approaches agree and diverge:</w:t>
      </w:r>
    </w:p>
    <w:p>
      <w:pPr>
        <w:pStyle w:val="ListParagraph"/>
        <w:numPr>
          <w:ilvl w:val="0"/>
          <w:numId w:val="4"/>
        </w:numPr>
        <w:spacing w:after="0" w:line="480" w:lineRule="auto"/>
      </w:pPr>
      <w:r>
        <w:rPr>
          <w:rFonts w:ascii="Times New Roman" w:cs="Times New Roman" w:eastAsia="Times New Roman" w:hAnsi="Times New Roman"/>
          <w:b/>
          <w:bCs/>
          <w:i w:val="false"/>
          <w:iCs w:val="false"/>
          <w:sz w:val="20"/>
          <w:szCs w:val="20"/>
        </w:rPr>
        <w:t xml:space="preserve">Concordance:</w:t>
      </w:r>
      <w:r>
        <w:rPr>
          <w:rFonts w:ascii="Times New Roman" w:cs="Times New Roman" w:eastAsia="Times New Roman" w:hAnsi="Times New Roman"/>
          <w:b w:val="false"/>
          <w:bCs w:val="false"/>
          <w:i w:val="false"/>
          <w:iCs w:val="false"/>
          <w:sz w:val="20"/>
          <w:szCs w:val="20"/>
        </w:rPr>
        <w:t xml:space="preserve"> For Metformin and Lactic Acidosis, the strong four-metric disproportionality signal (ROR = 61.22) matched a high ML-predicted probability of LT/DE outcomes, driven by indication and weight features. Both population-level and case-level evidence pointed in the same direction.</w:t>
      </w:r>
    </w:p>
    <w:p>
      <w:pPr>
        <w:pStyle w:val="ListParagraph"/>
        <w:numPr>
          <w:ilvl w:val="0"/>
          <w:numId w:val="4"/>
        </w:numPr>
        <w:spacing w:after="0" w:line="480" w:lineRule="auto"/>
      </w:pPr>
      <w:r>
        <w:rPr>
          <w:rFonts w:ascii="Times New Roman" w:cs="Times New Roman" w:eastAsia="Times New Roman" w:hAnsi="Times New Roman"/>
          <w:b/>
          <w:bCs/>
          <w:i w:val="false"/>
          <w:iCs w:val="false"/>
          <w:sz w:val="20"/>
          <w:szCs w:val="20"/>
        </w:rPr>
        <w:t xml:space="preserve">Signal without severity discrimination:</w:t>
      </w:r>
      <w:r>
        <w:rPr>
          <w:rFonts w:ascii="Times New Roman" w:cs="Times New Roman" w:eastAsia="Times New Roman" w:hAnsi="Times New Roman"/>
          <w:b w:val="false"/>
          <w:bCs w:val="false"/>
          <w:i w:val="false"/>
          <w:iCs w:val="false"/>
          <w:sz w:val="20"/>
          <w:szCs w:val="20"/>
        </w:rPr>
        <w:t xml:space="preserve"> For Atorvastatin and Myalgia, a strong disproportionality signal (ROR = 16.89) existed alongside weak ML discrimination of outcome severity, indicating that a safety signal can be real without the model being able to classify its clinical consequences reliably.</w:t>
      </w:r>
    </w:p>
    <w:p>
      <w:pPr>
        <w:pStyle w:val="ListParagraph"/>
        <w:numPr>
          <w:ilvl w:val="0"/>
          <w:numId w:val="4"/>
        </w:numPr>
        <w:spacing w:after="0" w:line="480" w:lineRule="auto"/>
      </w:pPr>
      <w:r>
        <w:rPr>
          <w:rFonts w:ascii="Times New Roman" w:cs="Times New Roman" w:eastAsia="Times New Roman" w:hAnsi="Times New Roman"/>
          <w:b/>
          <w:bCs/>
          <w:i w:val="false"/>
          <w:iCs w:val="false"/>
          <w:sz w:val="20"/>
          <w:szCs w:val="20"/>
        </w:rPr>
        <w:t xml:space="preserve">Sparse classes:</w:t>
      </w:r>
      <w:r>
        <w:rPr>
          <w:rFonts w:ascii="Times New Roman" w:cs="Times New Roman" w:eastAsia="Times New Roman" w:hAnsi="Times New Roman"/>
          <w:b w:val="false"/>
          <w:bCs w:val="false"/>
          <w:i w:val="false"/>
          <w:iCs w:val="false"/>
          <w:sz w:val="20"/>
          <w:szCs w:val="20"/>
        </w:rPr>
        <w:t xml:space="preserve"> Required Intervention is represented by only five records in the modelling dataset and by none at all in the 2025 test year, so no interpretable model behaviour can be reported for that class. Disability is similarly sparse. Neither class supports a case-level claim, and both are reported here only to document the limits of the outcome distribution.</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Discussion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Taken together, this study provides a systematic characterisation of anti-obesity and anti-diabetic medication safety in adolescents aged 12-17 years, drawing on FAERS reports from 2021 through 2025. The discussion is organised around three threads that ran through the analysis: who was affected (demographic characteristics), what specifically went wrong (drug-specific adverse event profiles), and how population-level disproportionality signals compared with case-level machine-learning triage as complementary pharmacovigilance tools.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As presented in Table 4, the study cohorts exhibited consistent demographic profiles across all four panels, with approximately 54% female predominance. This sex distribution is consistent with previous FAERS-based studies of paediatric populations [6] and may partly reflect the higher prevalence of depression and anxiety-related comorbidities in adolescent females, which often co-occur with obesity and diabetes and drive polypharmacy. The mean age of 14.50-14.63 years indicates that mid-adolescence represents the peak period for these medication reports, consistent with the typical onset of obesity-related pharmacotherapy around puberty. Healthcare professionals constituted the majority of AE reporters (51-56%), reflecting both the clinical setting in which these medications are prescribed and the structured reporting infrastructure in the United States, which contributed the largest share of reports.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 critical finding was the high rate of outcome missingness (45.9-51.3% across panels). This is a well-documented limitation of FAERS [31] and has important methodological implications: any analysis that treats unreported outcomes as “non-serious” will systematically underestimate the proportion of severe events. This was addressed through a two-stage pseudo-labelling procedure for the ML component, though pseudo-labels should be understood as experimental expansions of the training set, not clinical judgements about what actually happened to that patient.</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disproportionality analysis confirmed several known drug-adverse-event associations. The strong metformin-lactic acidosis signal (ROR = 61.22, 95% CI 25.21-148.68) is consistent with decades of clinical evidence [9] and recent FAERS analyses in adolescents [30]. While lactic acidosis with metformin is rare (estimated at 3-10 cases per 100,000 patient-years in adults), the signal's strength in this adolescent-specific analysis suggests that continued vigilance is warranted, particularly in patients with renal impairment or concurrent illness. The atorvastatin-myalgia signal aligns with the known class effect of statins [26] and is particularly relevant for adolescent weight management programmes where exercise is a key component. GLP-1 receptor agonist gastrointestinal signals (nausea, vomiting, decreased appetite) are consistent with their pharmacological mechanism of action and have been well-documented in both adult and paediatric populations [27,28].</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semaglutide optic ischaemic neuropathy signal (ROR = 439.23, 95% CI 99.33-1942.26, </w:t>
      </w:r>
      <w:r>
        <w:rPr>
          <w:rFonts w:ascii="Times New Roman" w:cs="Times New Roman" w:eastAsia="Times New Roman" w:hAnsi="Times New Roman"/>
          <w:b w:val="false"/>
          <w:bCs w:val="false"/>
          <w:i/>
          <w:iCs/>
          <w:sz w:val="20"/>
          <w:szCs w:val="20"/>
        </w:rPr>
        <w:t xml:space="preserve">N=14</w:t>
      </w:r>
      <w:r>
        <w:rPr>
          <w:rFonts w:ascii="Times New Roman" w:cs="Times New Roman" w:eastAsia="Times New Roman" w:hAnsi="Times New Roman"/>
          <w:b w:val="false"/>
          <w:bCs w:val="false"/>
          <w:i w:val="false"/>
          <w:iCs w:val="false"/>
          <w:sz w:val="20"/>
          <w:szCs w:val="20"/>
        </w:rPr>
        <w:t xml:space="preserve">) deserves particular attention. It met all four disproportionality criteria, including the EBGM shrinkage criterion (EBGM = 18.79, EB05 = 11.67), and is therefore a four-metric concordant signal. Concordance across metrics that respond differently to small cell counts strengthens the case that this is a genuine reporting pattern rather than an artefact of 14 reports, although the width of the ROR confidence interval still calls for cautious interpretation. A matched-cohort study first reported an increased risk of nonarteritic anterior ischaemic optic neuropathy in patients prescribed semaglutide [32]. Larger subsequent analyses have been more equivocal: a multi-database network study found a more modest association than originally reported [33], and a 2026 systematic review and meta-analysis did not demonstrate a consistent overall increase, rating the certainty of evidence as low to very low [34]. The adolescent reporting signal observed here should therefore be read as a disproportionality finding requiring confirmation, not as corroboration of an established risk. The signal warrants close monitoring, particularly as semaglutide prescribing in adolescents continues to increase. This finding underscores the importance of applying multiple disproportionality metrics, as recommended by the WHO Uppsala Monitoring Centre and prior methodological guidance [29,35], rather than relying on any single metric.</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ML component, while not the primary analytical method, provided a complementary perspective. The McNemar's test results (Table 5) confirm that XGBoost significantly outperforms the majority-class, logistic regression, decision tree, and random forest baselines for case-level outcome classification. The PT-only lookup heuristic, however, significantly outperformed XGBoost (</w:t>
      </w:r>
      <w:r>
        <w:rPr>
          <w:rFonts w:ascii="Times New Roman" w:cs="Times New Roman" w:eastAsia="Times New Roman" w:hAnsi="Times New Roman"/>
          <w:b w:val="false"/>
          <w:bCs w:val="false"/>
          <w:i/>
          <w:iCs/>
          <w:sz w:val="20"/>
          <w:szCs w:val="20"/>
        </w:rPr>
        <w:t xml:space="preserve">p=2.4 × 10</w:t>
      </w:r>
      <w:r>
        <w:rPr>
          <w:rFonts w:ascii="Times New Roman" w:cs="Times New Roman" w:eastAsia="Times New Roman" w:hAnsi="Times New Roman"/>
          <w:b w:val="false"/>
          <w:bCs w:val="false"/>
          <w:i/>
          <w:iCs/>
          <w:sz w:val="20"/>
          <w:szCs w:val="20"/>
          <w:vertAlign w:val="superscript"/>
        </w:rPr>
        <w:t xml:space="preserve">-39</w:t>
      </w:r>
      <w:r>
        <w:rPr>
          <w:rFonts w:ascii="Times New Roman" w:cs="Times New Roman" w:eastAsia="Times New Roman" w:hAnsi="Times New Roman"/>
          <w:b w:val="false"/>
          <w:bCs w:val="false"/>
          <w:i w:val="false"/>
          <w:iCs w:val="false"/>
          <w:sz w:val="20"/>
          <w:szCs w:val="20"/>
        </w:rPr>
        <w:t xml:space="preserve">), driven by the partial derivation of outcome labels from the Preferred Term feature. However, the temporal evaluation revealed important limitations: class-specific recall for rare outcomes (Death 0.389, Life-Threatening 0.059) was moderate to poor, indicating that the model would miss many clinically critical cases if used without human oversight. This is interpreted as evidence that ML-based triage should complement, not replace, pharmacovigilance expert review. The gap between random-split performance (Macro-F1 0.629, itself optimistically biased) and temporal performance (Macro-F1 0.389) further illustrates the well-documented problem of dataset shift in pharmacovigilance data [36], where the distribution of drugs, AEs, and reporting patterns changes over time.</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Strengths and limitations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This study has several strengths. First, this study represents a systematic, multi-metric disproportionality analysis of obesity-related and anti-diabetic drug safety specifically in adolescents. Second, it covers the most recent FAERS data (2021-2025), capturing the period of rapid GLP-1 agonist adoption in paediatric populations, which increased approximately 6-fold among US adolescents and young adults between 2020 and 2023 [37]. Third, it applies all four established signal detection methods (ROR, PRR, IC, EBGM), providing robust multi-dimensional signal evaluation. Fourth, it complements population-level disproportionality with case-level ML analysis and formal statistical comparison (McNemar's test).</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However, several limitations must be acknowledged. FAERS data is based on spontaneous reporting and cannot establish causality or estimate incidence rates; all findings should be interpreted as reporting signals, not confirmed adverse drug reactions. Under-reporting, stimulated reporting (e.g., media attention to GLP-1 agonists), and confounding by indication are inherent limitations. No individual case causality assessment was performed; the analysis did not systematically evaluate chronology, dechallenge, rechallenge, or dose-response relationships. The high rate of outcome missingness (approximately 50%) limits both disproportionality and ML analyses. The selected diabetes-related panel (</w:t>
      </w:r>
      <w:r>
        <w:rPr>
          <w:rFonts w:ascii="Times New Roman" w:cs="Times New Roman" w:eastAsia="Times New Roman" w:hAnsi="Times New Roman"/>
          <w:b w:val="false"/>
          <w:bCs w:val="false"/>
          <w:i/>
          <w:iCs/>
          <w:sz w:val="20"/>
          <w:szCs w:val="20"/>
        </w:rPr>
        <w:t xml:space="preserve">N=342</w:t>
      </w:r>
      <w:r>
        <w:rPr>
          <w:rFonts w:ascii="Times New Roman" w:cs="Times New Roman" w:eastAsia="Times New Roman" w:hAnsi="Times New Roman"/>
          <w:b w:val="false"/>
          <w:bCs w:val="false"/>
          <w:i w:val="false"/>
          <w:iCs w:val="false"/>
          <w:sz w:val="20"/>
          <w:szCs w:val="20"/>
        </w:rPr>
        <w:t xml:space="preserve">) had limited statistical power for rare-outcome analysis. As the four panels overlap and differ in size, product mix, and missingness, cross-panel comparisons should be interpreted as sensitivity analyses, not independent evidence of generalisation. Because the panels overlap at the case level, a single report contributing more than one panel drug is counted once within each relevant panel; per-drug totals therefore sum to more than the panel case counts and should not be added together. A further limitation concerns the machine-learning component specifically. Approximately half of the reports carried no recorded outcome, and those labels were reconstructed from the adverse-event Preferred Term, which is also one of the thirteen model features. The target is therefore partly derived from a predictor. Two consequences follow, both quantified in the accompanying repository: removing the Preferred Term from the feature set reduces temporal Macro-F1 substantially, and a lookup table that simply returns each Preferred Term's most frequent training-period outcome outperforms every fitted model on held-out 2025 data. The case-level results should accordingly be read as a description of how outcome labels relate to reported event terms in FAERS, not as evidence of independent predictive capability, and the SHAP ranking in S2 Fig, in which the Preferred Term dominates, reflects the same dependency. Finally, the empirical Bayes estimates in S8 Table were produced by the signal-detection pipeline rather than recomputed for this report; readers assessing individual pairs should consult all four metrics together, as illustrated by the semaglutide example above, rather than any single metric in isolation.</w:t>
      </w:r>
    </w:p>
    <w:p>
      <w:pPr>
        <w:keepNext/>
        <w:spacing w:after="130" w:before="260" w:line="240" w:lineRule="auto"/>
        <w:jc w:val="left"/>
      </w:pPr>
      <w:r>
        <w:rPr>
          <w:rFonts w:ascii="Times New Roman" w:cs="Times New Roman" w:eastAsia="Times New Roman" w:hAnsi="Times New Roman"/>
          <w:b/>
          <w:bCs/>
          <w:i w:val="false"/>
          <w:iCs w:val="false"/>
          <w:sz w:val="32"/>
          <w:szCs w:val="32"/>
        </w:rPr>
        <w:t xml:space="preserve">Future research</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Future studies should focus on three priorities. First, prospective clinical studies are needed to confirm the causal relationships suggested by the disproportionality signals identified here, particularly for novel or under-reported AEs. Second, longer-term follow-up of adolescents on GLP-1 receptor agonists is essential, as these medications are increasingly prescribed for extended durations during a critical period of physical development. Third, the ML methodology could be improved through larger training sets, incorporation of drug interaction features, and ensemble approaches that combine population-level and case-level evidence for integrated pharmacovigilance.</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Conclusion</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This four-metric disproportionality analysis of 2021-2025 FAERS data characterised the adverse event profiles of obesity-related and anti-diabetic medications in adolescents aged 12-17 years. The analysis confirmed several known safety signals, including metformin-lactic acidosis (ROR = 61.22), statin-myalgia (ROR = 16.89), and GLP-1 agonist gastrointestinal effects. Additionally, it identified reporting patterns that warrant further investigation, such as the semaglutide-optic ischaemic neuropathy signal (ROR = 439.23) and dapagliflozin-cardiac failure association (ROR = 40.24). The complementary machine-learning analysis demonstrated that case-level triage can augment population-level pharmacovigilance, though with important limitations for rare-outcome detection. As the causal relationships between these medications and the observed adverse events remain to be fully elucidated, additional prospective research is warranted to confirm these findings and enhance medication safety in this vulnerable population.</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Acknowledgments</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The authors thank Maharashtra Institute of Technology (MIT) Vishwaprayag University, Solapur, for institutional support, and the U.S. Food and Drug Administration for making the FAERS data publicly available.</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AI Tool Disclosure</w:t>
      </w:r>
    </w:p>
    <w:p>
      <w:pPr>
        <w:spacing w:line="480" w:lineRule="auto"/>
        <w:ind w:firstLine="283"/>
        <w:jc w:val="left"/>
      </w:pPr>
      <w:r>
        <w:rPr>
          <w:rFonts w:ascii="Times New Roman" w:cs="Times New Roman" w:eastAsia="Times New Roman" w:hAnsi="Times New Roman"/>
          <w:b w:val="false"/>
          <w:bCs w:val="false"/>
          <w:i w:val="false"/>
          <w:iCs w:val="false"/>
          <w:sz w:val="20"/>
          <w:szCs w:val="20"/>
        </w:rPr>
        <w:t xml:space="preserve">All ideas, research design, system architecture, model training, data analysis, and scientific conclusions in this work are entirely the authors' own. During the writing and development process, the authors occasionally used AI based tools, specifically ChatGPT (OpenAI), Perplexity AI, Z AI, and Antigravity (a code generation assistant), strictly as reference aids. These tools were consulted only for cross checking specific technical details, clarifying terminology, or verifying code syntax. No AI tool contributed creatively or analytically to the work reported here.</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Data availability</w:t>
      </w:r>
    </w:p>
    <w:p>
      <w:pPr>
        <w:spacing w:line="480" w:lineRule="auto"/>
        <w:ind w:firstLine="283"/>
        <w:jc w:val="left"/>
      </w:pPr>
      <w:r>
        <w:t>FAERS quarterly ASCII files are publicly available from the U.S. FDA at https://fis.fda.gov/extensions/FPD-QDE-FAERS/FPD-QDE-FAERS.html. The complete signal-detection output for all 2,098 drug–event pairs — including 2×2 cell counts, ROR with 95% CI, PRR and χ², IC and IC₀₂₅, and EBGM and EB05 — is provided in S8 Table. The machine-learning pipeline (train_temporal.py), the figure-regeneration script, and the derived de-identified adolescent analytic datasets are openly available at GitHub (https://github.com/AthervTelkar2498/Temporal-Adolescent-Anti-Obesity-and-Anti-Diabetic-Pharmacotherapy) and archived on Zenodo (DOI 10.5281/zenodo.22767355). The disproportionality computations are provided as complete output rather than as source code. MedDRA is licensed from the MSSO; no MedDRA distribution files are redistributed, and reproducing the PT→SOC mapping requires a MedDRA licence.</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Author contributions</w:t>
      </w:r>
    </w:p>
    <w:p>
      <w:pPr>
        <w:spacing w:after="60" w:line="240" w:lineRule="auto"/>
        <w:jc w:val="left"/>
      </w:pPr>
      <w:r>
        <w:rPr>
          <w:rFonts w:ascii="Times New Roman" w:cs="Times New Roman" w:eastAsia="Times New Roman" w:hAnsi="Times New Roman"/>
          <w:b/>
          <w:bCs/>
          <w:i w:val="false"/>
          <w:iCs w:val="false"/>
          <w:sz w:val="20"/>
          <w:szCs w:val="20"/>
        </w:rPr>
        <w:t xml:space="preserve">Conceptualization:</w:t>
      </w:r>
      <w:r>
        <w:rPr>
          <w:rFonts w:ascii="Times New Roman" w:cs="Times New Roman" w:eastAsia="Times New Roman" w:hAnsi="Times New Roman"/>
          <w:b w:val="false"/>
          <w:bCs w:val="false"/>
          <w:i w:val="false"/>
          <w:iCs w:val="false"/>
          <w:sz w:val="20"/>
          <w:szCs w:val="20"/>
        </w:rPr>
        <w:t xml:space="preserve"> Atherv Telkar, Amey Telkar.</w:t>
      </w:r>
    </w:p>
    <w:p>
      <w:pPr>
        <w:spacing w:after="60" w:line="240" w:lineRule="auto"/>
        <w:jc w:val="left"/>
      </w:pPr>
      <w:r>
        <w:rPr>
          <w:rFonts w:ascii="Times New Roman" w:cs="Times New Roman" w:eastAsia="Times New Roman" w:hAnsi="Times New Roman"/>
          <w:b/>
          <w:bCs/>
          <w:i w:val="false"/>
          <w:iCs w:val="false"/>
          <w:sz w:val="20"/>
          <w:szCs w:val="20"/>
        </w:rPr>
        <w:t xml:space="preserve">Data curation:</w:t>
      </w:r>
      <w:r>
        <w:rPr>
          <w:rFonts w:ascii="Times New Roman" w:cs="Times New Roman" w:eastAsia="Times New Roman" w:hAnsi="Times New Roman"/>
          <w:b w:val="false"/>
          <w:bCs w:val="false"/>
          <w:i w:val="false"/>
          <w:iCs w:val="false"/>
          <w:sz w:val="20"/>
          <w:szCs w:val="20"/>
        </w:rPr>
        <w:t xml:space="preserve"> Atherv Telkar, Amey Telkar, Darshan Ruikar.</w:t>
      </w:r>
    </w:p>
    <w:p>
      <w:pPr>
        <w:spacing w:after="60" w:line="240" w:lineRule="auto"/>
        <w:jc w:val="left"/>
      </w:pPr>
      <w:r>
        <w:rPr>
          <w:rFonts w:ascii="Times New Roman" w:cs="Times New Roman" w:eastAsia="Times New Roman" w:hAnsi="Times New Roman"/>
          <w:b/>
          <w:bCs/>
          <w:i w:val="false"/>
          <w:iCs w:val="false"/>
          <w:sz w:val="20"/>
          <w:szCs w:val="20"/>
        </w:rPr>
        <w:t xml:space="preserve">Formal analysis:</w:t>
      </w:r>
      <w:r>
        <w:rPr>
          <w:rFonts w:ascii="Times New Roman" w:cs="Times New Roman" w:eastAsia="Times New Roman" w:hAnsi="Times New Roman"/>
          <w:b w:val="false"/>
          <w:bCs w:val="false"/>
          <w:i w:val="false"/>
          <w:iCs w:val="false"/>
          <w:sz w:val="20"/>
          <w:szCs w:val="20"/>
        </w:rPr>
        <w:t xml:space="preserve"> Atherv Telkar, Amey Telkar.</w:t>
      </w:r>
    </w:p>
    <w:p>
      <w:pPr>
        <w:spacing w:after="60" w:line="240" w:lineRule="auto"/>
        <w:jc w:val="left"/>
      </w:pPr>
      <w:r>
        <w:rPr>
          <w:rFonts w:ascii="Times New Roman" w:cs="Times New Roman" w:eastAsia="Times New Roman" w:hAnsi="Times New Roman"/>
          <w:b/>
          <w:bCs/>
          <w:i w:val="false"/>
          <w:iCs w:val="false"/>
          <w:sz w:val="20"/>
          <w:szCs w:val="20"/>
        </w:rPr>
        <w:t xml:space="preserve">Investigation:</w:t>
      </w:r>
      <w:r>
        <w:rPr>
          <w:rFonts w:ascii="Times New Roman" w:cs="Times New Roman" w:eastAsia="Times New Roman" w:hAnsi="Times New Roman"/>
          <w:b w:val="false"/>
          <w:bCs w:val="false"/>
          <w:i w:val="false"/>
          <w:iCs w:val="false"/>
          <w:sz w:val="20"/>
          <w:szCs w:val="20"/>
        </w:rPr>
        <w:t xml:space="preserve"> Atherv Telkar, Amey Telkar, Akshay Javalgikar, Nitin Madanwale.</w:t>
      </w:r>
    </w:p>
    <w:p>
      <w:pPr>
        <w:spacing w:after="60" w:line="240" w:lineRule="auto"/>
        <w:jc w:val="left"/>
      </w:pPr>
      <w:r>
        <w:rPr>
          <w:rFonts w:ascii="Times New Roman" w:cs="Times New Roman" w:eastAsia="Times New Roman" w:hAnsi="Times New Roman"/>
          <w:b/>
          <w:bCs/>
          <w:i w:val="false"/>
          <w:iCs w:val="false"/>
          <w:sz w:val="20"/>
          <w:szCs w:val="20"/>
        </w:rPr>
        <w:t xml:space="preserve">Methodology:</w:t>
      </w:r>
      <w:r>
        <w:rPr>
          <w:rFonts w:ascii="Times New Roman" w:cs="Times New Roman" w:eastAsia="Times New Roman" w:hAnsi="Times New Roman"/>
          <w:b w:val="false"/>
          <w:bCs w:val="false"/>
          <w:i w:val="false"/>
          <w:iCs w:val="false"/>
          <w:sz w:val="20"/>
          <w:szCs w:val="20"/>
        </w:rPr>
        <w:t xml:space="preserve"> Atherv Telkar, Amey Telkar, Preethi Baligar.</w:t>
      </w:r>
    </w:p>
    <w:p>
      <w:pPr>
        <w:spacing w:after="60" w:line="240" w:lineRule="auto"/>
        <w:jc w:val="left"/>
      </w:pPr>
      <w:r>
        <w:rPr>
          <w:rFonts w:ascii="Times New Roman" w:cs="Times New Roman" w:eastAsia="Times New Roman" w:hAnsi="Times New Roman"/>
          <w:b/>
          <w:bCs/>
          <w:i w:val="false"/>
          <w:iCs w:val="false"/>
          <w:sz w:val="20"/>
          <w:szCs w:val="20"/>
        </w:rPr>
        <w:t xml:space="preserve">Software:</w:t>
      </w:r>
      <w:r>
        <w:rPr>
          <w:rFonts w:ascii="Times New Roman" w:cs="Times New Roman" w:eastAsia="Times New Roman" w:hAnsi="Times New Roman"/>
          <w:b w:val="false"/>
          <w:bCs w:val="false"/>
          <w:i w:val="false"/>
          <w:iCs w:val="false"/>
          <w:sz w:val="20"/>
          <w:szCs w:val="20"/>
        </w:rPr>
        <w:t xml:space="preserve"> Atherv Telkar, Amey Telkar.</w:t>
      </w:r>
    </w:p>
    <w:p>
      <w:pPr>
        <w:spacing w:after="60" w:line="240" w:lineRule="auto"/>
        <w:jc w:val="left"/>
      </w:pPr>
      <w:r>
        <w:rPr>
          <w:rFonts w:ascii="Times New Roman" w:cs="Times New Roman" w:eastAsia="Times New Roman" w:hAnsi="Times New Roman"/>
          <w:b/>
          <w:bCs/>
          <w:i w:val="false"/>
          <w:iCs w:val="false"/>
          <w:sz w:val="20"/>
          <w:szCs w:val="20"/>
        </w:rPr>
        <w:t xml:space="preserve">Supervision:</w:t>
      </w:r>
      <w:r>
        <w:rPr>
          <w:rFonts w:ascii="Times New Roman" w:cs="Times New Roman" w:eastAsia="Times New Roman" w:hAnsi="Times New Roman"/>
          <w:b w:val="false"/>
          <w:bCs w:val="false"/>
          <w:i w:val="false"/>
          <w:iCs w:val="false"/>
          <w:sz w:val="20"/>
          <w:szCs w:val="20"/>
        </w:rPr>
        <w:t xml:space="preserve"> Preethi Baligar, Darshan Ruikar.</w:t>
      </w:r>
    </w:p>
    <w:p>
      <w:pPr>
        <w:spacing w:after="60" w:line="240" w:lineRule="auto"/>
        <w:jc w:val="left"/>
      </w:pPr>
      <w:r>
        <w:rPr>
          <w:rFonts w:ascii="Times New Roman" w:cs="Times New Roman" w:eastAsia="Times New Roman" w:hAnsi="Times New Roman"/>
          <w:b/>
          <w:bCs/>
          <w:i w:val="false"/>
          <w:iCs w:val="false"/>
          <w:sz w:val="20"/>
          <w:szCs w:val="20"/>
        </w:rPr>
        <w:t xml:space="preserve">Validation:</w:t>
      </w:r>
      <w:r>
        <w:rPr>
          <w:rFonts w:ascii="Times New Roman" w:cs="Times New Roman" w:eastAsia="Times New Roman" w:hAnsi="Times New Roman"/>
          <w:b w:val="false"/>
          <w:bCs w:val="false"/>
          <w:i w:val="false"/>
          <w:iCs w:val="false"/>
          <w:sz w:val="20"/>
          <w:szCs w:val="20"/>
        </w:rPr>
        <w:t xml:space="preserve"> Akshay Javalgikar, Nitin Madanwale.</w:t>
      </w:r>
    </w:p>
    <w:p>
      <w:pPr>
        <w:spacing w:after="60" w:line="240" w:lineRule="auto"/>
        <w:jc w:val="left"/>
      </w:pPr>
      <w:r>
        <w:rPr>
          <w:rFonts w:ascii="Times New Roman" w:cs="Times New Roman" w:eastAsia="Times New Roman" w:hAnsi="Times New Roman"/>
          <w:b/>
          <w:bCs/>
          <w:i w:val="false"/>
          <w:iCs w:val="false"/>
          <w:sz w:val="20"/>
          <w:szCs w:val="20"/>
        </w:rPr>
        <w:t xml:space="preserve">Writing - original draft:</w:t>
      </w:r>
      <w:r>
        <w:rPr>
          <w:rFonts w:ascii="Times New Roman" w:cs="Times New Roman" w:eastAsia="Times New Roman" w:hAnsi="Times New Roman"/>
          <w:b w:val="false"/>
          <w:bCs w:val="false"/>
          <w:i w:val="false"/>
          <w:iCs w:val="false"/>
          <w:sz w:val="20"/>
          <w:szCs w:val="20"/>
        </w:rPr>
        <w:t xml:space="preserve"> Atherv Telkar, Amey Telkar.</w:t>
      </w:r>
    </w:p>
    <w:p>
      <w:pPr>
        <w:spacing w:after="60" w:line="240" w:lineRule="auto"/>
        <w:jc w:val="left"/>
      </w:pPr>
      <w:r>
        <w:rPr>
          <w:rFonts w:ascii="Times New Roman" w:cs="Times New Roman" w:eastAsia="Times New Roman" w:hAnsi="Times New Roman"/>
          <w:b/>
          <w:bCs/>
          <w:i w:val="false"/>
          <w:iCs w:val="false"/>
          <w:sz w:val="20"/>
          <w:szCs w:val="20"/>
        </w:rPr>
        <w:t xml:space="preserve">Writing - review &amp; editing:</w:t>
      </w:r>
      <w:r>
        <w:rPr>
          <w:rFonts w:ascii="Times New Roman" w:cs="Times New Roman" w:eastAsia="Times New Roman" w:hAnsi="Times New Roman"/>
          <w:b w:val="false"/>
          <w:bCs w:val="false"/>
          <w:i w:val="false"/>
          <w:iCs w:val="false"/>
          <w:sz w:val="20"/>
          <w:szCs w:val="20"/>
        </w:rPr>
        <w:t xml:space="preserve"> Akshay Javalgikar, Nitin Madanwale, Darshan Ruikar, Preethi Baligar.</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References</w:t>
      </w:r>
    </w:p>
    <w:p>
      <w:pPr>
        <w:spacing w:after="40" w:line="240" w:lineRule="auto"/>
        <w:ind w:left="360" w:hanging="360"/>
      </w:pPr>
      <w:r>
        <w:rPr>
          <w:rFonts w:ascii="Times New Roman" w:cs="Times New Roman" w:eastAsia="Times New Roman" w:hAnsi="Times New Roman"/>
          <w:sz w:val="16"/>
          <w:szCs w:val="16"/>
        </w:rPr>
        <w:t xml:space="preserve">1. </w:t>
      </w:r>
      <w:r>
        <w:rPr>
          <w:rFonts w:ascii="Times New Roman" w:cs="Times New Roman" w:eastAsia="Times New Roman" w:hAnsi="Times New Roman"/>
          <w:b w:val="false"/>
          <w:bCs w:val="false"/>
          <w:i w:val="false"/>
          <w:iCs w:val="false"/>
          <w:sz w:val="16"/>
          <w:szCs w:val="16"/>
        </w:rPr>
        <w:t xml:space="preserve">Centers for Disease Control and Prevention. National Health and Nutrition Examination Survey (NHANES): Obesity prevalence among U.S. youth. https://www.cdc.gov/nchs/nhanes. Accessed May 2026.</w:t>
      </w:r>
    </w:p>
    <w:p>
      <w:pPr>
        <w:spacing w:after="40" w:line="240" w:lineRule="auto"/>
        <w:ind w:left="360" w:hanging="360"/>
      </w:pPr>
      <w:r>
        <w:rPr>
          <w:rFonts w:ascii="Times New Roman" w:cs="Times New Roman" w:eastAsia="Times New Roman" w:hAnsi="Times New Roman"/>
          <w:sz w:val="16"/>
          <w:szCs w:val="16"/>
        </w:rPr>
        <w:t xml:space="preserve">2. </w:t>
      </w:r>
      <w:r>
        <w:rPr>
          <w:rFonts w:ascii="Times New Roman" w:cs="Times New Roman" w:eastAsia="Times New Roman" w:hAnsi="Times New Roman"/>
          <w:b w:val="false"/>
          <w:bCs w:val="false"/>
          <w:i w:val="false"/>
          <w:iCs w:val="false"/>
          <w:sz w:val="16"/>
          <w:szCs w:val="16"/>
        </w:rPr>
        <w:t xml:space="preserve">Mayer-Davis EJ, Lawrence JM, Dabelea D, Divers J, Isom S, Dolan L, et al. Incidence trends of type 1 and type 2 diabetes among youths, 2002-2012. N Engl J Med. 2017;376(15):1419-1429. doi:10.1056/NEJMoa1610187</w:t>
      </w:r>
    </w:p>
    <w:p>
      <w:pPr>
        <w:spacing w:after="40" w:line="240" w:lineRule="auto"/>
        <w:ind w:left="360" w:hanging="360"/>
      </w:pPr>
      <w:r>
        <w:rPr>
          <w:rFonts w:ascii="Times New Roman" w:cs="Times New Roman" w:eastAsia="Times New Roman" w:hAnsi="Times New Roman"/>
          <w:sz w:val="16"/>
          <w:szCs w:val="16"/>
        </w:rPr>
        <w:t xml:space="preserve">3. </w:t>
      </w:r>
      <w:r>
        <w:rPr>
          <w:rFonts w:ascii="Times New Roman" w:cs="Times New Roman" w:eastAsia="Times New Roman" w:hAnsi="Times New Roman"/>
          <w:b w:val="false"/>
          <w:bCs w:val="false"/>
          <w:i w:val="false"/>
          <w:iCs w:val="false"/>
          <w:sz w:val="16"/>
          <w:szCs w:val="16"/>
        </w:rPr>
        <w:t xml:space="preserve">Cengiz E, Danne T, Ahmad T, Ayyavoo A, Beran D, Codner E, et al. International Society for Pediatric and Adolescent Diabetes Clinical Practice Consensus Guidelines 2024: Insulin and Adjunctive Treatments in Children and Adolescents with Diabetes. Horm Res Paediatr. 2025;97(6):584-614. doi:10.1159/000543169</w:t>
      </w:r>
    </w:p>
    <w:p>
      <w:pPr>
        <w:spacing w:after="40" w:line="240" w:lineRule="auto"/>
        <w:ind w:left="360" w:hanging="360"/>
      </w:pPr>
      <w:r>
        <w:rPr>
          <w:rFonts w:ascii="Times New Roman" w:cs="Times New Roman" w:eastAsia="Times New Roman" w:hAnsi="Times New Roman"/>
          <w:sz w:val="16"/>
          <w:szCs w:val="16"/>
        </w:rPr>
        <w:t xml:space="preserve">4. </w:t>
      </w:r>
      <w:r>
        <w:rPr>
          <w:rFonts w:ascii="Times New Roman" w:cs="Times New Roman" w:eastAsia="Times New Roman" w:hAnsi="Times New Roman"/>
          <w:b w:val="false"/>
          <w:bCs w:val="false"/>
          <w:i w:val="false"/>
          <w:iCs w:val="false"/>
          <w:sz w:val="16"/>
          <w:szCs w:val="16"/>
        </w:rPr>
        <w:t xml:space="preserve">U.S. Food and Drug Administration. FDA approves treatment for chronic weight management in pediatric patients aged 12 years and older. 2020. https://www.fda.gov/drugs/news-events-human-drugs</w:t>
      </w:r>
    </w:p>
    <w:p>
      <w:pPr>
        <w:spacing w:after="40" w:line="240" w:lineRule="auto"/>
        <w:ind w:left="360" w:hanging="360"/>
      </w:pPr>
      <w:r>
        <w:rPr>
          <w:rFonts w:ascii="Times New Roman" w:cs="Times New Roman" w:eastAsia="Times New Roman" w:hAnsi="Times New Roman"/>
          <w:sz w:val="16"/>
          <w:szCs w:val="16"/>
        </w:rPr>
        <w:t xml:space="preserve">5. </w:t>
      </w:r>
      <w:r>
        <w:rPr>
          <w:rFonts w:ascii="Times New Roman" w:cs="Times New Roman" w:eastAsia="Times New Roman" w:hAnsi="Times New Roman"/>
          <w:b w:val="false"/>
          <w:bCs w:val="false"/>
          <w:i w:val="false"/>
          <w:iCs w:val="false"/>
          <w:sz w:val="16"/>
          <w:szCs w:val="16"/>
        </w:rPr>
        <w:t xml:space="preserve">Kelly AS, Auerbach P, Barrientos-Perez M, Gies I, Hale PM, Marcus C, et al. A randomized, controlled trial of liraglutide for adolescents with obesity. N Engl J Med. 2020;382(22):2117-2128. doi:10.1056/NEJMoa1916038</w:t>
      </w:r>
    </w:p>
    <w:p>
      <w:pPr>
        <w:spacing w:after="40" w:line="240" w:lineRule="auto"/>
        <w:ind w:left="360" w:hanging="360"/>
      </w:pPr>
      <w:r>
        <w:rPr>
          <w:rFonts w:ascii="Times New Roman" w:cs="Times New Roman" w:eastAsia="Times New Roman" w:hAnsi="Times New Roman"/>
          <w:sz w:val="16"/>
          <w:szCs w:val="16"/>
        </w:rPr>
        <w:t xml:space="preserve">6. </w:t>
      </w:r>
      <w:r>
        <w:rPr>
          <w:rFonts w:ascii="Times New Roman" w:cs="Times New Roman" w:eastAsia="Times New Roman" w:hAnsi="Times New Roman"/>
          <w:b w:val="false"/>
          <w:bCs w:val="false"/>
          <w:i w:val="false"/>
          <w:iCs w:val="false"/>
          <w:sz w:val="16"/>
          <w:szCs w:val="16"/>
        </w:rPr>
        <w:t xml:space="preserve">Phan M, Cheng C, Dang V, Wu E, Muñoz MA. Characterization of Pediatric Reports in the US FDA Adverse Event Reporting System from 2010-2020. Ther Innov Regul Sci. 2023;57(5):1062-1073. doi:10.1007/s43441-023-00542-0</w:t>
      </w:r>
    </w:p>
    <w:p>
      <w:pPr>
        <w:spacing w:after="40" w:line="240" w:lineRule="auto"/>
        <w:ind w:left="360" w:hanging="360"/>
      </w:pPr>
      <w:r>
        <w:rPr>
          <w:rFonts w:ascii="Times New Roman" w:cs="Times New Roman" w:eastAsia="Times New Roman" w:hAnsi="Times New Roman"/>
          <w:sz w:val="16"/>
          <w:szCs w:val="16"/>
        </w:rPr>
        <w:t xml:space="preserve">7. </w:t>
      </w:r>
      <w:r>
        <w:rPr>
          <w:rFonts w:ascii="Times New Roman" w:cs="Times New Roman" w:eastAsia="Times New Roman" w:hAnsi="Times New Roman"/>
          <w:b w:val="false"/>
          <w:bCs w:val="false"/>
          <w:i w:val="false"/>
          <w:iCs w:val="false"/>
          <w:sz w:val="16"/>
          <w:szCs w:val="16"/>
        </w:rPr>
        <w:t xml:space="preserve">Kearns GL, Abdel-Rahman SM, Alander SW, Blowey DL, Leeder JS, Kauffman RE. Developmental pharmacology: drug disposition, action, and therapy in infants and children. N Engl J Med. 2003;349(12):1157-1167. doi:10.1056/NEJMra035092</w:t>
      </w:r>
    </w:p>
    <w:p>
      <w:pPr>
        <w:spacing w:after="40" w:line="240" w:lineRule="auto"/>
        <w:ind w:left="360" w:hanging="360"/>
      </w:pPr>
      <w:r>
        <w:rPr>
          <w:rFonts w:ascii="Times New Roman" w:cs="Times New Roman" w:eastAsia="Times New Roman" w:hAnsi="Times New Roman"/>
          <w:sz w:val="16"/>
          <w:szCs w:val="16"/>
        </w:rPr>
        <w:t xml:space="preserve">8. </w:t>
      </w:r>
      <w:r>
        <w:rPr>
          <w:rFonts w:ascii="Times New Roman" w:cs="Times New Roman" w:eastAsia="Times New Roman" w:hAnsi="Times New Roman"/>
          <w:b w:val="false"/>
          <w:bCs w:val="false"/>
          <w:i w:val="false"/>
          <w:iCs w:val="false"/>
          <w:sz w:val="16"/>
          <w:szCs w:val="16"/>
        </w:rPr>
        <w:t xml:space="preserve">Wilding JP, Batterham RL, Calanna S, Davies M, Van Gaal LF, Lingvay I, et al. Once-weekly semaglutide in adults with overweight or obesity. N Engl J Med. 2021;384(11):989-1002. doi:10.1056/NEJMoa2032183</w:t>
      </w:r>
    </w:p>
    <w:p>
      <w:pPr>
        <w:spacing w:after="40" w:line="240" w:lineRule="auto"/>
        <w:ind w:left="360" w:hanging="360"/>
      </w:pPr>
      <w:r>
        <w:rPr>
          <w:rFonts w:ascii="Times New Roman" w:cs="Times New Roman" w:eastAsia="Times New Roman" w:hAnsi="Times New Roman"/>
          <w:sz w:val="16"/>
          <w:szCs w:val="16"/>
        </w:rPr>
        <w:t xml:space="preserve">9. </w:t>
      </w:r>
      <w:r>
        <w:rPr>
          <w:rFonts w:ascii="Times New Roman" w:cs="Times New Roman" w:eastAsia="Times New Roman" w:hAnsi="Times New Roman"/>
          <w:b w:val="false"/>
          <w:bCs w:val="false"/>
          <w:i w:val="false"/>
          <w:iCs w:val="false"/>
          <w:sz w:val="16"/>
          <w:szCs w:val="16"/>
        </w:rPr>
        <w:t xml:space="preserve">DeFronzo R, Fleming GA, Chen K, Bicsak TA. Metformin-associated lactic acidosis: current perspectives on causes and risk. Metabolism. 2016;65(2):20-29. doi:10.1016/j.metabol.2015.10.014</w:t>
      </w:r>
    </w:p>
    <w:p>
      <w:pPr>
        <w:spacing w:after="40" w:line="240" w:lineRule="auto"/>
        <w:ind w:left="360" w:hanging="360"/>
      </w:pPr>
      <w:r>
        <w:rPr>
          <w:rFonts w:ascii="Times New Roman" w:cs="Times New Roman" w:eastAsia="Times New Roman" w:hAnsi="Times New Roman"/>
          <w:sz w:val="16"/>
          <w:szCs w:val="16"/>
        </w:rPr>
        <w:t xml:space="preserve">10. </w:t>
      </w:r>
      <w:r>
        <w:rPr>
          <w:rFonts w:ascii="Times New Roman" w:cs="Times New Roman" w:eastAsia="Times New Roman" w:hAnsi="Times New Roman"/>
          <w:b w:val="false"/>
          <w:bCs w:val="false"/>
          <w:i w:val="false"/>
          <w:iCs w:val="false"/>
          <w:sz w:val="16"/>
          <w:szCs w:val="16"/>
        </w:rPr>
        <w:t xml:space="preserve">Wang W, Volkow ND, Berger NA, Davis PB, Kaelber DC, Xu R. Association of semaglutide with risk of suicidal ideation in a real-world cohort. Nat Med. 2024;30(1):168-176. doi:10.1038/s41591-023-02672-2</w:t>
      </w:r>
    </w:p>
    <w:p>
      <w:pPr>
        <w:spacing w:after="40" w:line="240" w:lineRule="auto"/>
        <w:ind w:left="360" w:hanging="360"/>
      </w:pPr>
      <w:r>
        <w:rPr>
          <w:rFonts w:ascii="Times New Roman" w:cs="Times New Roman" w:eastAsia="Times New Roman" w:hAnsi="Times New Roman"/>
          <w:sz w:val="16"/>
          <w:szCs w:val="16"/>
        </w:rPr>
        <w:t xml:space="preserve">11. </w:t>
      </w:r>
      <w:r>
        <w:rPr>
          <w:rFonts w:ascii="Times New Roman" w:cs="Times New Roman" w:eastAsia="Times New Roman" w:hAnsi="Times New Roman"/>
          <w:b w:val="false"/>
          <w:bCs w:val="false"/>
          <w:i w:val="false"/>
          <w:iCs w:val="false"/>
          <w:sz w:val="16"/>
          <w:szCs w:val="16"/>
        </w:rPr>
        <w:t xml:space="preserve">Sakaeda T, Tamon A, Kadoyama K, Okuno Y. Data mining of the public version of the FDA Adverse Event Reporting System. Int J Med Sci. 2013;10(7):796-803. doi:10.7150/ijms.6048</w:t>
      </w:r>
    </w:p>
    <w:p>
      <w:pPr>
        <w:spacing w:after="40" w:line="240" w:lineRule="auto"/>
        <w:ind w:left="360" w:hanging="360"/>
      </w:pPr>
      <w:r>
        <w:rPr>
          <w:rFonts w:ascii="Times New Roman" w:cs="Times New Roman" w:eastAsia="Times New Roman" w:hAnsi="Times New Roman"/>
          <w:sz w:val="16"/>
          <w:szCs w:val="16"/>
        </w:rPr>
        <w:t xml:space="preserve">12. </w:t>
      </w:r>
      <w:r>
        <w:rPr>
          <w:rFonts w:ascii="Times New Roman" w:cs="Times New Roman" w:eastAsia="Times New Roman" w:hAnsi="Times New Roman"/>
          <w:b w:val="false"/>
          <w:bCs w:val="false"/>
          <w:i w:val="false"/>
          <w:iCs w:val="false"/>
          <w:sz w:val="16"/>
          <w:szCs w:val="16"/>
        </w:rPr>
        <w:t xml:space="preserve">van Puijenbroek EP, Bate A, Leufkens HGM, Lindquist M, Orre R, Egberts ACG. A comparison of measures of disproportionality. Pharmacoepidemiol Drug Saf. 2002;11(1):3-10. doi:10.1002/pds.668</w:t>
      </w:r>
    </w:p>
    <w:p>
      <w:pPr>
        <w:spacing w:after="40" w:line="240" w:lineRule="auto"/>
        <w:ind w:left="360" w:hanging="360"/>
      </w:pPr>
      <w:r>
        <w:rPr>
          <w:rFonts w:ascii="Times New Roman" w:cs="Times New Roman" w:eastAsia="Times New Roman" w:hAnsi="Times New Roman"/>
          <w:sz w:val="16"/>
          <w:szCs w:val="16"/>
        </w:rPr>
        <w:t xml:space="preserve">13. </w:t>
      </w:r>
      <w:r>
        <w:rPr>
          <w:rFonts w:ascii="Times New Roman" w:cs="Times New Roman" w:eastAsia="Times New Roman" w:hAnsi="Times New Roman"/>
          <w:b w:val="false"/>
          <w:bCs w:val="false"/>
          <w:i w:val="false"/>
          <w:iCs w:val="false"/>
          <w:sz w:val="16"/>
          <w:szCs w:val="16"/>
        </w:rPr>
        <w:t xml:space="preserve">Zhou Y, Lu Y, Wu Y, Kong W, Zhou L, Guo X, et al. Safety of antidepressants commonly used in 6-17-year-old children and adolescents: A disproportionality analysis from 2014-2023 on the basis of the FAERS database. PLoS One. 2025;20(8):e0330025. doi:10.1371/journal.pone.0330025</w:t>
      </w:r>
    </w:p>
    <w:p>
      <w:pPr>
        <w:spacing w:after="40" w:line="240" w:lineRule="auto"/>
        <w:ind w:left="360" w:hanging="360"/>
      </w:pPr>
      <w:r>
        <w:rPr>
          <w:rFonts w:ascii="Times New Roman" w:cs="Times New Roman" w:eastAsia="Times New Roman" w:hAnsi="Times New Roman"/>
          <w:sz w:val="16"/>
          <w:szCs w:val="16"/>
        </w:rPr>
        <w:t xml:space="preserve">14. </w:t>
      </w:r>
      <w:r>
        <w:rPr>
          <w:rFonts w:ascii="Times New Roman" w:cs="Times New Roman" w:eastAsia="Times New Roman" w:hAnsi="Times New Roman"/>
          <w:b w:val="false"/>
          <w:bCs w:val="false"/>
          <w:i w:val="false"/>
          <w:iCs w:val="false"/>
          <w:sz w:val="16"/>
          <w:szCs w:val="16"/>
        </w:rPr>
        <w:t xml:space="preserve">Lai JH, Pan YP, Yu ZH, Jang WF, Hu JT, Tang ZH. Mining and analysis of reported ARDS population in FAERS database. PLoS One. 2025;20(11):e0334500. doi:10.1371/journal.pone.0334500</w:t>
      </w:r>
    </w:p>
    <w:p>
      <w:pPr>
        <w:spacing w:after="40" w:line="240" w:lineRule="auto"/>
        <w:ind w:left="360" w:hanging="360"/>
      </w:pPr>
      <w:r>
        <w:rPr>
          <w:rFonts w:ascii="Times New Roman" w:cs="Times New Roman" w:eastAsia="Times New Roman" w:hAnsi="Times New Roman"/>
          <w:sz w:val="16"/>
          <w:szCs w:val="16"/>
        </w:rPr>
        <w:t xml:space="preserve">15. </w:t>
      </w:r>
      <w:r>
        <w:rPr>
          <w:rFonts w:ascii="Times New Roman" w:cs="Times New Roman" w:eastAsia="Times New Roman" w:hAnsi="Times New Roman"/>
          <w:b w:val="false"/>
          <w:bCs w:val="false"/>
          <w:i w:val="false"/>
          <w:iCs w:val="false"/>
          <w:sz w:val="16"/>
          <w:szCs w:val="16"/>
        </w:rPr>
        <w:t xml:space="preserve">Feng J, Zhao S. Respiratory drugs and psychiatric adverse events in children and adolescents: a pharmacovigilance study based on the FAERS. Naunyn Schmiedebergs Arch Pharmacol. 2026;399(7):10535-10547. doi:10.1007/s00210-026-05075-5</w:t>
      </w:r>
    </w:p>
    <w:p>
      <w:pPr>
        <w:spacing w:after="40" w:line="240" w:lineRule="auto"/>
        <w:ind w:left="360" w:hanging="360"/>
      </w:pPr>
      <w:r>
        <w:rPr>
          <w:rFonts w:ascii="Times New Roman" w:cs="Times New Roman" w:eastAsia="Times New Roman" w:hAnsi="Times New Roman"/>
          <w:sz w:val="16"/>
          <w:szCs w:val="16"/>
        </w:rPr>
        <w:t xml:space="preserve">16. </w:t>
      </w:r>
      <w:r>
        <w:rPr>
          <w:rFonts w:ascii="Times New Roman" w:cs="Times New Roman" w:eastAsia="Times New Roman" w:hAnsi="Times New Roman"/>
          <w:b w:val="false"/>
          <w:bCs w:val="false"/>
          <w:i w:val="false"/>
          <w:iCs w:val="false"/>
          <w:sz w:val="16"/>
          <w:szCs w:val="16"/>
        </w:rPr>
        <w:t xml:space="preserve">Yang Y, Wang P, Li QX. Safety profile of TNF-</w:t>
      </w:r>
      <w:r>
        <w:rPr>
          <w:rFonts w:ascii="Times New Roman" w:cs="Times New Roman" w:eastAsia="Times New Roman" w:hAnsi="Times New Roman"/>
          <w:b w:val="false"/>
          <w:bCs w:val="false"/>
          <w:i/>
          <w:iCs/>
          <w:sz w:val="16"/>
          <w:szCs w:val="16"/>
        </w:rPr>
        <w:t xml:space="preserve">α</w:t>
      </w:r>
      <w:r>
        <w:rPr>
          <w:rFonts w:ascii="Times New Roman" w:cs="Times New Roman" w:eastAsia="Times New Roman" w:hAnsi="Times New Roman"/>
          <w:b w:val="false"/>
          <w:bCs w:val="false"/>
          <w:i w:val="false"/>
          <w:iCs w:val="false"/>
          <w:sz w:val="16"/>
          <w:szCs w:val="16"/>
        </w:rPr>
        <w:t xml:space="preserve"> inhibitors in pediatric patients: A post-marketing surveillance study based on the FAERS database. PLoS One. 2025;20(12):e0328465. doi:10.1371/journal.pone.0328465</w:t>
      </w:r>
    </w:p>
    <w:p>
      <w:pPr>
        <w:spacing w:after="40" w:line="240" w:lineRule="auto"/>
        <w:ind w:left="360" w:hanging="360"/>
      </w:pPr>
      <w:r>
        <w:rPr>
          <w:rFonts w:ascii="Times New Roman" w:cs="Times New Roman" w:eastAsia="Times New Roman" w:hAnsi="Times New Roman"/>
          <w:sz w:val="16"/>
          <w:szCs w:val="16"/>
        </w:rPr>
        <w:t xml:space="preserve">17. </w:t>
      </w:r>
      <w:r>
        <w:rPr>
          <w:rFonts w:ascii="Times New Roman" w:cs="Times New Roman" w:eastAsia="Times New Roman" w:hAnsi="Times New Roman"/>
          <w:b w:val="false"/>
          <w:bCs w:val="false"/>
          <w:i w:val="false"/>
          <w:iCs w:val="false"/>
          <w:sz w:val="16"/>
          <w:szCs w:val="16"/>
        </w:rPr>
        <w:t xml:space="preserve">Qin N, Gan Y, Ouyang J, Qin J, Tang Y, Wu H, et al. Identification of drug-related cardiovascular risks: A comprehensive analysis using the FAERS database (2004-2024). PLoS One. 2026;21(6):e0349218. doi:10.1371/journal.pone.0349218</w:t>
      </w:r>
    </w:p>
    <w:p>
      <w:pPr>
        <w:spacing w:after="40" w:line="240" w:lineRule="auto"/>
        <w:ind w:left="360" w:hanging="360"/>
      </w:pPr>
      <w:r>
        <w:rPr>
          <w:rFonts w:ascii="Times New Roman" w:cs="Times New Roman" w:eastAsia="Times New Roman" w:hAnsi="Times New Roman"/>
          <w:sz w:val="16"/>
          <w:szCs w:val="16"/>
        </w:rPr>
        <w:t xml:space="preserve">18. </w:t>
      </w:r>
      <w:r>
        <w:rPr>
          <w:rFonts w:ascii="Times New Roman" w:cs="Times New Roman" w:eastAsia="Times New Roman" w:hAnsi="Times New Roman"/>
          <w:b w:val="false"/>
          <w:bCs w:val="false"/>
          <w:i w:val="false"/>
          <w:iCs w:val="false"/>
          <w:sz w:val="16"/>
          <w:szCs w:val="16"/>
        </w:rPr>
        <w:t xml:space="preserve">U.S. Food and Drug Administration. FAERS Public Dashboard. https://fis.fda.gov/extensions/FPD-QDE-FAERS/FPD-QDE-FAERS.html. Accessed June 2026.</w:t>
      </w:r>
    </w:p>
    <w:p>
      <w:pPr>
        <w:spacing w:after="40" w:line="240" w:lineRule="auto"/>
        <w:ind w:left="360" w:hanging="360"/>
      </w:pPr>
      <w:r>
        <w:rPr>
          <w:rFonts w:ascii="Times New Roman" w:cs="Times New Roman" w:eastAsia="Times New Roman" w:hAnsi="Times New Roman"/>
          <w:sz w:val="16"/>
          <w:szCs w:val="16"/>
        </w:rPr>
        <w:t xml:space="preserve">19. </w:t>
      </w:r>
      <w:r>
        <w:rPr>
          <w:rFonts w:ascii="Times New Roman" w:cs="Times New Roman" w:eastAsia="Times New Roman" w:hAnsi="Times New Roman"/>
          <w:b w:val="false"/>
          <w:bCs w:val="false"/>
          <w:i w:val="false"/>
          <w:iCs w:val="false"/>
          <w:sz w:val="16"/>
          <w:szCs w:val="16"/>
        </w:rPr>
        <w:t xml:space="preserve">International Council for Harmonisation (ICH). Medical Dictionary for Regulatory Activities (MedDRA), Version 28.1. ICH; 2025. https://www.meddra.org</w:t>
      </w:r>
    </w:p>
    <w:p>
      <w:pPr>
        <w:spacing w:after="40" w:line="240" w:lineRule="auto"/>
        <w:ind w:left="360" w:hanging="360"/>
      </w:pPr>
      <w:r>
        <w:rPr>
          <w:rFonts w:ascii="Times New Roman" w:cs="Times New Roman" w:eastAsia="Times New Roman" w:hAnsi="Times New Roman"/>
          <w:sz w:val="16"/>
          <w:szCs w:val="16"/>
        </w:rPr>
        <w:t xml:space="preserve">20. </w:t>
      </w:r>
      <w:r>
        <w:rPr>
          <w:rFonts w:ascii="Times New Roman" w:cs="Times New Roman" w:eastAsia="Times New Roman" w:hAnsi="Times New Roman"/>
          <w:b w:val="false"/>
          <w:bCs w:val="false"/>
          <w:i w:val="false"/>
          <w:iCs w:val="false"/>
          <w:sz w:val="16"/>
          <w:szCs w:val="16"/>
        </w:rPr>
        <w:t xml:space="preserve">Rothman KJ, Lanes S, Sacks ST. The reporting odds ratio and its advantages over the proportional reporting ratio. Pharmacoepidemiol Drug Saf. 2004;13(8):519-523. doi:10.1002/pds.1001</w:t>
      </w:r>
    </w:p>
    <w:p>
      <w:pPr>
        <w:spacing w:after="40" w:line="240" w:lineRule="auto"/>
        <w:ind w:left="360" w:hanging="360"/>
      </w:pPr>
      <w:r>
        <w:rPr>
          <w:rFonts w:ascii="Times New Roman" w:cs="Times New Roman" w:eastAsia="Times New Roman" w:hAnsi="Times New Roman"/>
          <w:sz w:val="16"/>
          <w:szCs w:val="16"/>
        </w:rPr>
        <w:t xml:space="preserve">21. </w:t>
      </w:r>
      <w:r>
        <w:rPr>
          <w:rFonts w:ascii="Times New Roman" w:cs="Times New Roman" w:eastAsia="Times New Roman" w:hAnsi="Times New Roman"/>
          <w:b w:val="false"/>
          <w:bCs w:val="false"/>
          <w:i w:val="false"/>
          <w:iCs w:val="false"/>
          <w:sz w:val="16"/>
          <w:szCs w:val="16"/>
        </w:rPr>
        <w:t xml:space="preserve">Evans SJW, Waller PC, Davis S. Use of proportional reporting ratios for signal generation from spontaneous adverse drug reaction reports. Pharmacoepidemiol Drug Saf. 2001;10(6):483-486. doi:10.1002/pds.677</w:t>
      </w:r>
    </w:p>
    <w:p>
      <w:pPr>
        <w:spacing w:after="40" w:line="240" w:lineRule="auto"/>
        <w:ind w:left="360" w:hanging="360"/>
      </w:pPr>
      <w:r>
        <w:rPr>
          <w:rFonts w:ascii="Times New Roman" w:cs="Times New Roman" w:eastAsia="Times New Roman" w:hAnsi="Times New Roman"/>
          <w:sz w:val="16"/>
          <w:szCs w:val="16"/>
        </w:rPr>
        <w:t xml:space="preserve">22. </w:t>
      </w:r>
      <w:r>
        <w:rPr>
          <w:rFonts w:ascii="Times New Roman" w:cs="Times New Roman" w:eastAsia="Times New Roman" w:hAnsi="Times New Roman"/>
          <w:b w:val="false"/>
          <w:bCs w:val="false"/>
          <w:i w:val="false"/>
          <w:iCs w:val="false"/>
          <w:sz w:val="16"/>
          <w:szCs w:val="16"/>
        </w:rPr>
        <w:t xml:space="preserve">Bate A, Lindquist M, Edwards IR, Olsson S, Orre R, Lansner A, et al. A Bayesian neural network method for adverse drug reaction signal generation. Eur J Clin Pharmacol. 1998;54(4):315-321. doi:10.1007/s002280050466</w:t>
      </w:r>
    </w:p>
    <w:p>
      <w:pPr>
        <w:spacing w:after="40" w:line="240" w:lineRule="auto"/>
        <w:ind w:left="360" w:hanging="360"/>
      </w:pPr>
      <w:r>
        <w:rPr>
          <w:rFonts w:ascii="Times New Roman" w:cs="Times New Roman" w:eastAsia="Times New Roman" w:hAnsi="Times New Roman"/>
          <w:sz w:val="16"/>
          <w:szCs w:val="16"/>
        </w:rPr>
        <w:t xml:space="preserve">23. </w:t>
      </w:r>
      <w:r>
        <w:rPr>
          <w:rFonts w:ascii="Times New Roman" w:cs="Times New Roman" w:eastAsia="Times New Roman" w:hAnsi="Times New Roman"/>
          <w:b w:val="false"/>
          <w:bCs w:val="false"/>
          <w:i w:val="false"/>
          <w:iCs w:val="false"/>
          <w:sz w:val="16"/>
          <w:szCs w:val="16"/>
        </w:rPr>
        <w:t xml:space="preserve">DuMouchel W. Bayesian data mining in large frequency tables, with application to the FDA spontaneous reporting system. Am Stat. 1999;53(3):177-190. doi:10.1080/00031305.1999.10474456</w:t>
      </w:r>
    </w:p>
    <w:p>
      <w:pPr>
        <w:spacing w:after="40" w:line="240" w:lineRule="auto"/>
        <w:ind w:left="360" w:hanging="360"/>
      </w:pPr>
      <w:r>
        <w:rPr>
          <w:rFonts w:ascii="Times New Roman" w:cs="Times New Roman" w:eastAsia="Times New Roman" w:hAnsi="Times New Roman"/>
          <w:sz w:val="16"/>
          <w:szCs w:val="16"/>
        </w:rPr>
        <w:t xml:space="preserve">24. </w:t>
      </w:r>
      <w:r>
        <w:rPr>
          <w:rFonts w:ascii="Times New Roman" w:cs="Times New Roman" w:eastAsia="Times New Roman" w:hAnsi="Times New Roman"/>
          <w:b w:val="false"/>
          <w:bCs w:val="false"/>
          <w:i w:val="false"/>
          <w:iCs w:val="false"/>
          <w:sz w:val="16"/>
          <w:szCs w:val="16"/>
        </w:rPr>
        <w:t xml:space="preserve">Chen T, Guestrin C. XGBoost: A Scalable Tree Boosting System. Proc 22nd ACM SIGKDD Int Conf Knowl Discov Data Min. 2016:785-794. doi:10.1145/2939672.2939785</w:t>
      </w:r>
    </w:p>
    <w:p>
      <w:pPr>
        <w:spacing w:after="40" w:line="240" w:lineRule="auto"/>
        <w:ind w:left="360" w:hanging="360"/>
      </w:pPr>
      <w:r>
        <w:rPr>
          <w:rFonts w:ascii="Times New Roman" w:cs="Times New Roman" w:eastAsia="Times New Roman" w:hAnsi="Times New Roman"/>
          <w:sz w:val="16"/>
          <w:szCs w:val="16"/>
        </w:rPr>
        <w:t xml:space="preserve">25. </w:t>
      </w:r>
      <w:r>
        <w:rPr>
          <w:rFonts w:ascii="Times New Roman" w:cs="Times New Roman" w:eastAsia="Times New Roman" w:hAnsi="Times New Roman"/>
          <w:b w:val="false"/>
          <w:bCs w:val="false"/>
          <w:i w:val="false"/>
          <w:iCs w:val="false"/>
          <w:sz w:val="16"/>
          <w:szCs w:val="16"/>
        </w:rPr>
        <w:t xml:space="preserve">Efron B, Tibshirani RJ. An Introduction to the Bootstrap. New York: Chapman &amp; Hall; 1993. doi:10.1007/978-1-4899-4541-9</w:t>
      </w:r>
    </w:p>
    <w:p>
      <w:pPr>
        <w:spacing w:after="40" w:line="240" w:lineRule="auto"/>
        <w:ind w:left="360" w:hanging="360"/>
      </w:pPr>
      <w:r>
        <w:rPr>
          <w:rFonts w:ascii="Times New Roman" w:cs="Times New Roman" w:eastAsia="Times New Roman" w:hAnsi="Times New Roman"/>
          <w:sz w:val="16"/>
          <w:szCs w:val="16"/>
        </w:rPr>
        <w:t xml:space="preserve">26. </w:t>
      </w:r>
      <w:r>
        <w:rPr>
          <w:rFonts w:ascii="Times New Roman" w:cs="Times New Roman" w:eastAsia="Times New Roman" w:hAnsi="Times New Roman"/>
          <w:b w:val="false"/>
          <w:bCs w:val="false"/>
          <w:i w:val="false"/>
          <w:iCs w:val="false"/>
          <w:sz w:val="16"/>
          <w:szCs w:val="16"/>
        </w:rPr>
        <w:t xml:space="preserve">Stroes ES, Thompson PD, Corsini A, Vladutiu GD, Raal FJ, Ray KK, et al. Statin-associated muscle symptoms: impact on statin therapy, European Atherosclerosis Society Consensus Panel Statement. Eur Heart J. 2015;36(17):1012-1022. doi:10.1093/eurheartj/ehv043</w:t>
      </w:r>
    </w:p>
    <w:p>
      <w:pPr>
        <w:spacing w:after="40" w:line="240" w:lineRule="auto"/>
        <w:ind w:left="360" w:hanging="360"/>
      </w:pPr>
      <w:r>
        <w:rPr>
          <w:rFonts w:ascii="Times New Roman" w:cs="Times New Roman" w:eastAsia="Times New Roman" w:hAnsi="Times New Roman"/>
          <w:sz w:val="16"/>
          <w:szCs w:val="16"/>
        </w:rPr>
        <w:t xml:space="preserve">27. </w:t>
      </w:r>
      <w:r>
        <w:rPr>
          <w:rFonts w:ascii="Times New Roman" w:cs="Times New Roman" w:eastAsia="Times New Roman" w:hAnsi="Times New Roman"/>
          <w:b w:val="false"/>
          <w:bCs w:val="false"/>
          <w:i w:val="false"/>
          <w:iCs w:val="false"/>
          <w:sz w:val="16"/>
          <w:szCs w:val="16"/>
        </w:rPr>
        <w:t xml:space="preserve">Friedrichsen MH, Breitschaft A, Tadayon S, Biber A, Carlsson Petri KC. The effect of semaglutide 2.4 mg once weekly on energy intake, appetite, control of eating, and gastric emptying in adults with obesity. Diabetes Obes Metab. 2021;23(3):754-762. doi:10.1111/dom.14280</w:t>
      </w:r>
    </w:p>
    <w:p>
      <w:pPr>
        <w:spacing w:after="40" w:line="240" w:lineRule="auto"/>
        <w:ind w:left="360" w:hanging="360"/>
      </w:pPr>
      <w:r>
        <w:rPr>
          <w:rFonts w:ascii="Times New Roman" w:cs="Times New Roman" w:eastAsia="Times New Roman" w:hAnsi="Times New Roman"/>
          <w:sz w:val="16"/>
          <w:szCs w:val="16"/>
        </w:rPr>
        <w:t xml:space="preserve">28. </w:t>
      </w:r>
      <w:r>
        <w:rPr>
          <w:rFonts w:ascii="Times New Roman" w:cs="Times New Roman" w:eastAsia="Times New Roman" w:hAnsi="Times New Roman"/>
          <w:b w:val="false"/>
          <w:bCs w:val="false"/>
          <w:i w:val="false"/>
          <w:iCs w:val="false"/>
          <w:sz w:val="16"/>
          <w:szCs w:val="16"/>
        </w:rPr>
        <w:t xml:space="preserve">Weghuber D, Barrett T, Barrientos-Pérez M, Gies I, Hesse D, Jeppesen OK, et al. Once-weekly semaglutide in adolescents with obesity. N Engl J Med. 2022;387(24):2245-2257. doi:10.1056/NEJMoa2208601</w:t>
      </w:r>
    </w:p>
    <w:p>
      <w:pPr>
        <w:spacing w:after="40" w:line="240" w:lineRule="auto"/>
        <w:ind w:left="360" w:hanging="360"/>
      </w:pPr>
      <w:r>
        <w:rPr>
          <w:rFonts w:ascii="Times New Roman" w:cs="Times New Roman" w:eastAsia="Times New Roman" w:hAnsi="Times New Roman"/>
          <w:sz w:val="16"/>
          <w:szCs w:val="16"/>
        </w:rPr>
        <w:t xml:space="preserve">29. </w:t>
      </w:r>
      <w:r>
        <w:rPr>
          <w:rFonts w:ascii="Times New Roman" w:cs="Times New Roman" w:eastAsia="Times New Roman" w:hAnsi="Times New Roman"/>
          <w:b w:val="false"/>
          <w:bCs w:val="false"/>
          <w:i w:val="false"/>
          <w:iCs w:val="false"/>
          <w:sz w:val="16"/>
          <w:szCs w:val="16"/>
        </w:rPr>
        <w:t xml:space="preserve">Uppsala Monitoring Centre. The use of the WHO-UMC system for standardised case causality assessment. https://www.who-umc.org/</w:t>
      </w:r>
    </w:p>
    <w:p>
      <w:pPr>
        <w:spacing w:after="40" w:line="240" w:lineRule="auto"/>
        <w:ind w:left="360" w:hanging="360"/>
      </w:pPr>
      <w:r>
        <w:rPr>
          <w:rFonts w:ascii="Times New Roman" w:cs="Times New Roman" w:eastAsia="Times New Roman" w:hAnsi="Times New Roman"/>
          <w:sz w:val="16"/>
          <w:szCs w:val="16"/>
        </w:rPr>
        <w:t xml:space="preserve">30. </w:t>
      </w:r>
      <w:r>
        <w:rPr>
          <w:rFonts w:ascii="Times New Roman" w:cs="Times New Roman" w:eastAsia="Times New Roman" w:hAnsi="Times New Roman"/>
          <w:b w:val="false"/>
          <w:bCs w:val="false"/>
          <w:i w:val="false"/>
          <w:iCs w:val="false"/>
          <w:sz w:val="16"/>
          <w:szCs w:val="16"/>
        </w:rPr>
        <w:t xml:space="preserve">Peng M, Shen P, Joung K-I, Kim KJ. Safety profile of metformin in adolescents with type 2 diabetes: A pharmacovigilance analysis of the FDA Adverse Event Reporting System. PLoS One. 2025;20(11):e0337204. doi:10.1371/journal.pone.0337204</w:t>
      </w:r>
    </w:p>
    <w:p>
      <w:pPr>
        <w:spacing w:after="40" w:line="240" w:lineRule="auto"/>
        <w:ind w:left="360" w:hanging="360"/>
      </w:pPr>
      <w:r>
        <w:rPr>
          <w:rFonts w:ascii="Times New Roman" w:cs="Times New Roman" w:eastAsia="Times New Roman" w:hAnsi="Times New Roman"/>
          <w:sz w:val="16"/>
          <w:szCs w:val="16"/>
        </w:rPr>
        <w:t xml:space="preserve">31. </w:t>
      </w:r>
      <w:r>
        <w:rPr>
          <w:rFonts w:ascii="Times New Roman" w:cs="Times New Roman" w:eastAsia="Times New Roman" w:hAnsi="Times New Roman"/>
          <w:b w:val="false"/>
          <w:bCs w:val="false"/>
          <w:i w:val="false"/>
          <w:iCs w:val="false"/>
          <w:sz w:val="16"/>
          <w:szCs w:val="16"/>
        </w:rPr>
        <w:t xml:space="preserve">Moore TJ, Cohen MR, Furberg CD. Serious adverse drug events reported to the Food and Drug Administration, 1998-2005. Arch Intern Med. 2007;167(16):1752-1759. doi:10.1001/archinte.167.16.1752</w:t>
      </w:r>
    </w:p>
    <w:p>
      <w:pPr>
        <w:spacing w:after="40" w:line="240" w:lineRule="auto"/>
        <w:ind w:left="360" w:hanging="360"/>
      </w:pPr>
      <w:r>
        <w:rPr>
          <w:rFonts w:ascii="Times New Roman" w:cs="Times New Roman" w:eastAsia="Times New Roman" w:hAnsi="Times New Roman"/>
          <w:sz w:val="16"/>
          <w:szCs w:val="16"/>
        </w:rPr>
        <w:t xml:space="preserve">32. </w:t>
      </w:r>
      <w:r>
        <w:rPr>
          <w:rFonts w:ascii="Times New Roman" w:cs="Times New Roman" w:eastAsia="Times New Roman" w:hAnsi="Times New Roman"/>
          <w:b w:val="false"/>
          <w:bCs w:val="false"/>
          <w:i w:val="false"/>
          <w:iCs w:val="false"/>
          <w:sz w:val="16"/>
          <w:szCs w:val="16"/>
        </w:rPr>
        <w:t xml:space="preserve">Hathaway JT, Shah MP, Hathaway DB, Zekavat SM, Krasniqi D, Gittinger JW, et al. Risk of Nonarteritic Anterior Ischemic Optic Neuropathy in Patients Prescribed Semaglutide. JAMA Ophthalmol. 2024;142(8):732-739. doi:10.1001/jamaophthalmol.2024.2296</w:t>
      </w:r>
    </w:p>
    <w:p>
      <w:pPr>
        <w:spacing w:after="40" w:line="240" w:lineRule="auto"/>
        <w:ind w:left="360" w:hanging="360"/>
      </w:pPr>
      <w:r>
        <w:rPr>
          <w:rFonts w:ascii="Times New Roman" w:cs="Times New Roman" w:eastAsia="Times New Roman" w:hAnsi="Times New Roman"/>
          <w:sz w:val="16"/>
          <w:szCs w:val="16"/>
        </w:rPr>
        <w:t xml:space="preserve">33. </w:t>
      </w:r>
      <w:r>
        <w:rPr>
          <w:rFonts w:ascii="Times New Roman" w:cs="Times New Roman" w:eastAsia="Times New Roman" w:hAnsi="Times New Roman"/>
          <w:b w:val="false"/>
          <w:bCs w:val="false"/>
          <w:i w:val="false"/>
          <w:iCs w:val="false"/>
          <w:sz w:val="16"/>
          <w:szCs w:val="16"/>
        </w:rPr>
        <w:t xml:space="preserve">Cai CX, Hribar M, Baxter S, Goetz K, Swaminathan SS, Flowers A, et al. Semaglutide and nonarteritic anterior ischemic optic neuropathy. JAMA Ophthalmol. 2025;143(4):304-314. doi:10.1001/jamaophthalmol.2024.6555</w:t>
      </w:r>
    </w:p>
    <w:p>
      <w:pPr>
        <w:spacing w:after="40" w:line="240" w:lineRule="auto"/>
        <w:ind w:left="360" w:hanging="360"/>
      </w:pPr>
      <w:r>
        <w:rPr>
          <w:rFonts w:ascii="Times New Roman" w:cs="Times New Roman" w:eastAsia="Times New Roman" w:hAnsi="Times New Roman"/>
          <w:sz w:val="16"/>
          <w:szCs w:val="16"/>
        </w:rPr>
        <w:t xml:space="preserve">34. </w:t>
      </w:r>
      <w:r>
        <w:rPr>
          <w:rFonts w:ascii="Times New Roman" w:cs="Times New Roman" w:eastAsia="Times New Roman" w:hAnsi="Times New Roman"/>
          <w:b w:val="false"/>
          <w:bCs w:val="false"/>
          <w:i w:val="false"/>
          <w:iCs w:val="false"/>
          <w:sz w:val="16"/>
          <w:szCs w:val="16"/>
        </w:rPr>
        <w:t xml:space="preserve">Abdelaal A, Abu Serhan H, Alsaadi M, Yaldo L, Gaier ED, Elhusseiny AM. Semaglutide and the risk of nonarteritic ischemic optic neuropathy: a systematic review and certainty of evidence meta-analysis. Ophthalmology. 2026;133(6):799-810. doi:10.1016/j.ophtha.2026.02.013</w:t>
      </w:r>
    </w:p>
    <w:p>
      <w:pPr>
        <w:spacing w:after="40" w:line="240" w:lineRule="auto"/>
        <w:ind w:left="360" w:hanging="360"/>
      </w:pPr>
      <w:r>
        <w:rPr>
          <w:rFonts w:ascii="Times New Roman" w:cs="Times New Roman" w:eastAsia="Times New Roman" w:hAnsi="Times New Roman"/>
          <w:sz w:val="16"/>
          <w:szCs w:val="16"/>
        </w:rPr>
        <w:t xml:space="preserve">35. </w:t>
      </w:r>
      <w:r>
        <w:rPr>
          <w:rFonts w:ascii="Times New Roman" w:cs="Times New Roman" w:eastAsia="Times New Roman" w:hAnsi="Times New Roman"/>
          <w:b w:val="false"/>
          <w:bCs w:val="false"/>
          <w:i w:val="false"/>
          <w:iCs w:val="false"/>
          <w:sz w:val="16"/>
          <w:szCs w:val="16"/>
        </w:rPr>
        <w:t xml:space="preserve">Montastruc JL, Sommet A, Bagheri H, Lapeyre-Mestre M. Benefits and strengths of the disproportionality analysis for identification of adverse drug reactions in a pharmacovigilance database. Br J Clin Pharmacol. 2011;72(6):905-908. doi:10.1111/j.1365-2125.2011.04037.x</w:t>
      </w:r>
    </w:p>
    <w:p>
      <w:pPr>
        <w:spacing w:after="40" w:line="240" w:lineRule="auto"/>
        <w:ind w:left="360" w:hanging="360"/>
      </w:pPr>
      <w:r>
        <w:rPr>
          <w:rFonts w:ascii="Times New Roman" w:cs="Times New Roman" w:eastAsia="Times New Roman" w:hAnsi="Times New Roman"/>
          <w:sz w:val="16"/>
          <w:szCs w:val="16"/>
        </w:rPr>
        <w:t xml:space="preserve">36. </w:t>
      </w:r>
      <w:r>
        <w:rPr>
          <w:rFonts w:ascii="Times New Roman" w:cs="Times New Roman" w:eastAsia="Times New Roman" w:hAnsi="Times New Roman"/>
          <w:b w:val="false"/>
          <w:bCs w:val="false"/>
          <w:i w:val="false"/>
          <w:iCs w:val="false"/>
          <w:sz w:val="16"/>
          <w:szCs w:val="16"/>
        </w:rPr>
        <w:t xml:space="preserve">Finlayson SG, Subbaswamy A, Singh K, Bowers J, Kupke A, Zittrain J, et al. The Clinician and Dataset Shift in Artificial Intelligence. N Engl J Med. 2021;385(3):283-286. doi:10.1056/NEJMc2104626</w:t>
      </w:r>
    </w:p>
    <w:p>
      <w:pPr>
        <w:spacing w:after="40" w:line="240" w:lineRule="auto"/>
        <w:ind w:left="360" w:hanging="360"/>
      </w:pPr>
      <w:r>
        <w:rPr>
          <w:rFonts w:ascii="Times New Roman" w:cs="Times New Roman" w:eastAsia="Times New Roman" w:hAnsi="Times New Roman"/>
          <w:sz w:val="16"/>
          <w:szCs w:val="16"/>
        </w:rPr>
        <w:t xml:space="preserve">37. </w:t>
      </w:r>
      <w:r>
        <w:rPr>
          <w:rFonts w:ascii="Times New Roman" w:cs="Times New Roman" w:eastAsia="Times New Roman" w:hAnsi="Times New Roman"/>
          <w:b w:val="false"/>
          <w:bCs w:val="false"/>
          <w:i w:val="false"/>
          <w:iCs w:val="false"/>
          <w:sz w:val="16"/>
          <w:szCs w:val="16"/>
        </w:rPr>
        <w:t xml:space="preserve">Lee JM, Sharifi M, Oshman L, Griauzde DH, Chua KP. Dispensing of Glucagon-Like Peptide-1 Receptor Agonists to Adolescents and Young Adults, 2020-2023. JAMA. 2024;331(23):2041-2043. doi:10.1001/jama.2024.7112</w:t>
      </w:r>
    </w:p>
    <w:p>
      <w:pPr>
        <w:keepNext/>
        <w:spacing w:after="160" w:before="320" w:line="240" w:lineRule="auto"/>
        <w:jc w:val="left"/>
      </w:pPr>
      <w:r>
        <w:rPr>
          <w:rFonts w:ascii="Times New Roman" w:cs="Times New Roman" w:eastAsia="Times New Roman" w:hAnsi="Times New Roman"/>
          <w:b/>
          <w:bCs/>
          <w:i w:val="false"/>
          <w:iCs w:val="false"/>
          <w:sz w:val="36"/>
          <w:szCs w:val="36"/>
        </w:rPr>
        <w:t xml:space="preserve">Supporting information</w:t>
      </w:r>
    </w:p>
    <w:p>
      <w:pPr>
        <w:spacing w:after="60" w:line="480" w:lineRule="auto"/>
      </w:pPr>
      <w:r>
        <w:rPr>
          <w:rFonts w:ascii="Times New Roman" w:cs="Times New Roman" w:eastAsia="Times New Roman" w:hAnsi="Times New Roman"/>
          <w:b/>
          <w:bCs/>
          <w:i w:val="false"/>
          <w:iCs w:val="false"/>
          <w:sz w:val="20"/>
          <w:szCs w:val="20"/>
        </w:rPr>
        <w:t xml:space="preserve">S1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STROBE checklist for observational studies. (DOCX)</w:t>
      </w:r>
    </w:p>
    <w:p>
      <w:pPr>
        <w:spacing w:after="60" w:line="480" w:lineRule="auto"/>
      </w:pPr>
      <w:r>
        <w:rPr>
          <w:rFonts w:ascii="Times New Roman" w:cs="Times New Roman" w:eastAsia="Times New Roman" w:hAnsi="Times New Roman"/>
          <w:b/>
          <w:bCs/>
          <w:i w:val="false"/>
          <w:iCs w:val="false"/>
          <w:sz w:val="20"/>
          <w:szCs w:val="20"/>
        </w:rPr>
        <w:t xml:space="preserve">S2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TRIPOD+AI checklist for prediction model development and validation. (DOCX)</w:t>
      </w:r>
    </w:p>
    <w:p>
      <w:pPr>
        <w:spacing w:after="60" w:line="480" w:lineRule="auto"/>
      </w:pPr>
      <w:r>
        <w:rPr>
          <w:rFonts w:ascii="Times New Roman" w:cs="Times New Roman" w:eastAsia="Times New Roman" w:hAnsi="Times New Roman"/>
          <w:b/>
          <w:bCs/>
          <w:i w:val="false"/>
          <w:iCs w:val="false"/>
          <w:sz w:val="20"/>
          <w:szCs w:val="20"/>
        </w:rPr>
        <w:t xml:space="preserve">S3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READUS-PV checklist for disproportionality analysis reporting. (DOCX)</w:t>
      </w:r>
    </w:p>
    <w:p>
      <w:pPr>
        <w:spacing w:after="60" w:line="480" w:lineRule="auto"/>
      </w:pPr>
      <w:r>
        <w:rPr>
          <w:rFonts w:ascii="Times New Roman" w:cs="Times New Roman" w:eastAsia="Times New Roman" w:hAnsi="Times New Roman"/>
          <w:b/>
          <w:bCs/>
          <w:i w:val="false"/>
          <w:iCs w:val="false"/>
          <w:sz w:val="20"/>
          <w:szCs w:val="20"/>
        </w:rPr>
        <w:t xml:space="preserve">S4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Complete preprocessing pipeline specification, including data download, deduplication, age filtering, drug normalisation, and MedDRA coding procedures. (DOCX)</w:t>
      </w:r>
    </w:p>
    <w:p>
      <w:pPr>
        <w:spacing w:after="60" w:line="480" w:lineRule="auto"/>
      </w:pPr>
      <w:r>
        <w:rPr>
          <w:rFonts w:ascii="Times New Roman" w:cs="Times New Roman" w:eastAsia="Times New Roman" w:hAnsi="Times New Roman"/>
          <w:b/>
          <w:bCs/>
          <w:i w:val="false"/>
          <w:iCs w:val="false"/>
          <w:sz w:val="20"/>
          <w:szCs w:val="20"/>
        </w:rPr>
        <w:t xml:space="preserve">S5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Full hyperparameter search space and optimal configurations for XGBoost, logistic regression, decision tree, and random forest models. (DOCX)</w:t>
      </w:r>
    </w:p>
    <w:p>
      <w:pPr>
        <w:spacing w:after="60" w:line="480" w:lineRule="auto"/>
      </w:pPr>
      <w:r>
        <w:rPr>
          <w:rFonts w:ascii="Times New Roman" w:cs="Times New Roman" w:eastAsia="Times New Roman" w:hAnsi="Times New Roman"/>
          <w:b/>
          <w:bCs/>
          <w:i w:val="false"/>
          <w:iCs w:val="false"/>
          <w:sz w:val="20"/>
          <w:szCs w:val="20"/>
        </w:rPr>
        <w:t xml:space="preserve">S6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Predictor specification and data-leakage audit. Lists all candidate features with their data types, source tables, leakage risk assessment, and inclusion/exclusion decisions. (DOCX)</w:t>
      </w:r>
    </w:p>
    <w:p>
      <w:pPr>
        <w:spacing w:after="60" w:line="480" w:lineRule="auto"/>
      </w:pPr>
      <w:r>
        <w:rPr>
          <w:rFonts w:ascii="Times New Roman" w:cs="Times New Roman" w:eastAsia="Times New Roman" w:hAnsi="Times New Roman"/>
          <w:b/>
          <w:bCs/>
          <w:i w:val="false"/>
          <w:iCs w:val="false"/>
          <w:sz w:val="20"/>
          <w:szCs w:val="20"/>
        </w:rPr>
        <w:t xml:space="preserve">S7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Temporal dataset shift analysis across training (2021Q1-2023Q4), validation (2024), and test (2025) periods, showing demographic stability, outcome missingness trends, and model performance degradation. (DOCX)</w:t>
      </w:r>
    </w:p>
    <w:p>
      <w:pPr>
        <w:spacing w:after="60" w:line="480" w:lineRule="auto"/>
      </w:pPr>
      <w:r>
        <w:rPr>
          <w:rFonts w:ascii="Times New Roman" w:cs="Times New Roman" w:eastAsia="Times New Roman" w:hAnsi="Times New Roman"/>
          <w:b/>
          <w:bCs/>
          <w:i w:val="false"/>
          <w:iCs w:val="false"/>
          <w:sz w:val="20"/>
          <w:szCs w:val="20"/>
        </w:rPr>
        <w:t xml:space="preserve">S8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Complete signal detection results for all 2,098 drug-event pairs with </w:t>
      </w:r>
      <w:r>
        <w:rPr>
          <w:rFonts w:ascii="Times New Roman" w:cs="Times New Roman" w:eastAsia="Times New Roman" w:hAnsi="Times New Roman"/>
          <w:b w:val="false"/>
          <w:bCs w:val="false"/>
          <w:i/>
          <w:iCs/>
          <w:sz w:val="20"/>
          <w:szCs w:val="20"/>
        </w:rPr>
        <w:t xml:space="preserve">N ≥ 2</w:t>
      </w:r>
      <w:r>
        <w:rPr>
          <w:rFonts w:ascii="Times New Roman" w:cs="Times New Roman" w:eastAsia="Times New Roman" w:hAnsi="Times New Roman"/>
          <w:b w:val="false"/>
          <w:bCs w:val="false"/>
          <w:i w:val="false"/>
          <w:iCs w:val="false"/>
          <w:sz w:val="20"/>
          <w:szCs w:val="20"/>
        </w:rPr>
        <w:t xml:space="preserve"> from the combined obesity and diabetes panels, including the 2</w:t>
      </w:r>
      <w:r>
        <w:rPr>
          <w:rFonts w:ascii="Times New Roman" w:cs="Times New Roman" w:eastAsia="Times New Roman" w:hAnsi="Times New Roman"/>
          <w:b w:val="false"/>
          <w:bCs w:val="false"/>
          <w:i/>
          <w:iCs/>
          <w:sz w:val="20"/>
          <w:szCs w:val="20"/>
        </w:rPr>
        <w:t xml:space="preserve">×</w:t>
      </w:r>
      <w:r>
        <w:rPr>
          <w:rFonts w:ascii="Times New Roman" w:cs="Times New Roman" w:eastAsia="Times New Roman" w:hAnsi="Times New Roman"/>
          <w:b w:val="false"/>
          <w:bCs w:val="false"/>
          <w:i w:val="false"/>
          <w:iCs w:val="false"/>
          <w:sz w:val="20"/>
          <w:szCs w:val="20"/>
        </w:rPr>
        <w:t xml:space="preserve">2 cell counts and, for every pair, the ROR with its 95% confidence interval, the PRR and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the IC and IC</w:t>
      </w:r>
      <w:r>
        <w:rPr>
          <w:rFonts w:ascii="Times New Roman" w:cs="Times New Roman" w:eastAsia="Times New Roman" w:hAnsi="Times New Roman"/>
          <w:b w:val="false"/>
          <w:bCs w:val="false"/>
          <w:i/>
          <w:iCs/>
          <w:sz w:val="20"/>
          <w:szCs w:val="20"/>
          <w:vertAlign w:val="subscript"/>
        </w:rPr>
        <w:t xml:space="preserve">025</w:t>
      </w:r>
      <w:r>
        <w:rPr>
          <w:rFonts w:ascii="Times New Roman" w:cs="Times New Roman" w:eastAsia="Times New Roman" w:hAnsi="Times New Roman"/>
          <w:b w:val="false"/>
          <w:bCs w:val="false"/>
          <w:i w:val="false"/>
          <w:iCs w:val="false"/>
          <w:sz w:val="20"/>
          <w:szCs w:val="20"/>
        </w:rPr>
        <w:t xml:space="preserve">, and the EBGM and EB05. The Signal column flags the 360 pairs that meet the pre-specified ROR criteria (</w:t>
      </w:r>
      <w:r>
        <w:rPr>
          <w:rFonts w:ascii="Times New Roman" w:cs="Times New Roman" w:eastAsia="Times New Roman" w:hAnsi="Times New Roman"/>
          <w:b w:val="false"/>
          <w:bCs w:val="false"/>
          <w:i/>
          <w:iCs/>
          <w:sz w:val="20"/>
          <w:szCs w:val="20"/>
        </w:rPr>
        <w:t xml:space="preserve">N ≥ 3</w:t>
      </w:r>
      <w:r>
        <w:rPr>
          <w:rFonts w:ascii="Times New Roman" w:cs="Times New Roman" w:eastAsia="Times New Roman" w:hAnsi="Times New Roman"/>
          <w:b w:val="false"/>
          <w:bCs w:val="false"/>
          <w:i w:val="false"/>
          <w:iCs w:val="false"/>
          <w:sz w:val="20"/>
          <w:szCs w:val="20"/>
        </w:rPr>
        <w:t xml:space="preserve"> and 95% CI lower bound </w:t>
      </w:r>
      <w:r>
        <w:rPr>
          <w:rFonts w:ascii="Times New Roman" w:cs="Times New Roman" w:eastAsia="Times New Roman" w:hAnsi="Times New Roman"/>
          <w:b w:val="false"/>
          <w:bCs w:val="false"/>
          <w:i/>
          <w:iCs/>
          <w:sz w:val="20"/>
          <w:szCs w:val="20"/>
        </w:rPr>
        <w:t xml:space="preserve">&gt; 1</w:t>
      </w:r>
      <w:r>
        <w:rPr>
          <w:rFonts w:ascii="Times New Roman" w:cs="Times New Roman" w:eastAsia="Times New Roman" w:hAnsi="Times New Roman"/>
          <w:b w:val="false"/>
          <w:bCs w:val="false"/>
          <w:i w:val="false"/>
          <w:iCs w:val="false"/>
          <w:sz w:val="20"/>
          <w:szCs w:val="20"/>
        </w:rPr>
        <w:t xml:space="preserve">), and a separate column flags the 105 pairs that are concordant across all four metrics; pairs supported by only two reports are retained for transparency but are not counted as signals. For 13 pairs the displayed ROR confidence bound rounds to 1.00 at two decimal places while the full-precision value exceeds 1; these are flagged in the workbook with a rounding note and a four-decimal column, and the criterion is met. (XLSX)</w:t>
      </w:r>
    </w:p>
    <w:p>
      <w:pPr>
        <w:spacing w:after="60" w:line="480" w:lineRule="auto"/>
      </w:pPr>
      <w:r>
        <w:rPr>
          <w:rFonts w:ascii="Times New Roman" w:cs="Times New Roman" w:eastAsia="Times New Roman" w:hAnsi="Times New Roman"/>
          <w:b/>
          <w:bCs/>
          <w:i w:val="false"/>
          <w:iCs w:val="false"/>
          <w:sz w:val="20"/>
          <w:szCs w:val="20"/>
        </w:rPr>
        <w:t xml:space="preserve">S9 Table.</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Quarter-wise FAERS reporting volume for the adolescent cohort (12-17 years) from 2021 to 2025 across all four drug-exposure panels. (DOCX)</w:t>
      </w:r>
    </w:p>
    <w:p>
      <w:pPr>
        <w:spacing w:after="60" w:line="480" w:lineRule="auto"/>
      </w:pPr>
      <w:r>
        <w:rPr>
          <w:rFonts w:ascii="Times New Roman" w:cs="Times New Roman" w:eastAsia="Times New Roman" w:hAnsi="Times New Roman"/>
          <w:b/>
          <w:bCs/>
          <w:i w:val="false"/>
          <w:iCs w:val="false"/>
          <w:sz w:val="20"/>
          <w:szCs w:val="20"/>
        </w:rPr>
        <w:t xml:space="preserve">S1 Fig.</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Detailed case-selection flow diagram showing FAERS report counts from raw acquisition through deduplication, age filtering, drug-panel filtering to final analytical cohorts. (EPS)</w:t>
      </w:r>
    </w:p>
    <w:p>
      <w:pPr>
        <w:spacing w:after="60" w:line="480" w:lineRule="auto"/>
      </w:pPr>
      <w:r>
        <w:rPr>
          <w:rFonts w:ascii="Times New Roman" w:cs="Times New Roman" w:eastAsia="Times New Roman" w:hAnsi="Times New Roman"/>
          <w:b/>
          <w:bCs/>
          <w:i w:val="false"/>
          <w:iCs w:val="false"/>
          <w:sz w:val="20"/>
          <w:szCs w:val="20"/>
        </w:rPr>
        <w:t xml:space="preserve">S2 Fig.</w:t>
      </w: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Global SHAP feature importance (mean absolute SHAP value across all outcome classes) for the chronological XGBoost model. (EPS)</w:t>
      </w:r>
    </w:p>
    <w:sectPr>
      <w:footerReference w:type="default" r:id="rId7"/>
      <w:pgSz w:w="12240" w:h="15840" w:orient="portrait"/>
      <w:pgMar w:top="1224" w:right="720" w:bottom="2016" w:left="3960" w:header="720" w:footer="936" w:gutter="0"/>
      <w:lnNumType w:countBy="1" w:start="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48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2026-09-16T08:27:14.069Z</dcterms:created>
  <dcterms:modified xsi:type="dcterms:W3CDTF">2026-09-16T08:27:14.069Z</dcterms:modified>
</cp:coreProperties>
</file>

<file path=docProps/custom.xml><?xml version="1.0" encoding="utf-8"?>
<Properties xmlns="http://schemas.openxmlformats.org/officeDocument/2006/custom-properties" xmlns:vt="http://schemas.openxmlformats.org/officeDocument/2006/docPropsVTypes"/>
</file>