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-- Geração de Modelo físico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-- Sql ANSI 2003 - brModelo.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CREATE TABLE Usuário (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Nome Texto(1),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CPF Texto(1) PRIMARY KEY,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CEP Texto(1),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Estado Texto(1),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Cidade Texto(1),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Bairro Texto(1),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Rua Texto(1),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Nº Texto(1),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Data_Nacimento inteiro(1)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CREATE TABLE Cadastro (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ID_Usuário inteiro(1) PRIMARY KEY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CREATE TABLE Status (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Resultados Texto(1)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CREATE TABLE Denuncia (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ID_Denuncia Inteiro(1) PRIMARY KEY,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Descrição Texto(1),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Acessibilidade Texto(1),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Data_Ocorrido Texto(1),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CEP Texto(1),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Estado Texto(1),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Cidade Texto(1),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Bairro Texto(1),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Rua Texto(1),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Nº Texto(1)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CREATE TABLE E-mail (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E-mail Texto(1,n)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CREATE TABLE Telefone (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Telefone Texto(1,n)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CREATE TABLE Fotografia (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Fotografia Imagem(1,n)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CREATE TABLE Efetua (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ID_Usuário inteiro(1),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CPF Texto(1),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FOREIGN KEY(ID_Usuário) REFERENCES Cadastro (ID_Usuário),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FOREIGN KEY(CPF) REFERENCES Usuário (CPF)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CREATE TABLE Consulta (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CPF Texto(1),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FOREIGN KEY(CPF) REFERENCES Usuário (CPF)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CREATE TABLE Faz (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ID_Denuncia Inteiro(1),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CPF Texto(1),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FOREIGN KEY(ID_Denuncia) REFERENCES Denuncia (ID_Denuncia)/*falha: chave estrangeira*/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