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C4" w:rsidRDefault="00AA3DC4" w:rsidP="00AA3DC4">
      <w:r>
        <w:t>Review the scenario. Then complete the step-by-step instructions.</w:t>
      </w:r>
    </w:p>
    <w:p w:rsidR="00AA3DC4" w:rsidRDefault="00AA3DC4" w:rsidP="00AA3DC4"/>
    <w:p w:rsidR="00AA3DC4" w:rsidRDefault="00AA3DC4" w:rsidP="00AA3DC4">
      <w:r>
        <w:t>You are a level-one security operations center</w:t>
      </w:r>
      <w:bookmarkStart w:id="0" w:name="_GoBack"/>
      <w:bookmarkEnd w:id="0"/>
      <w:r>
        <w:t xml:space="preserve">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rsidR="00AA3DC4" w:rsidRDefault="00AA3DC4" w:rsidP="00AA3DC4"/>
    <w:p w:rsidR="00AA3DC4" w:rsidRDefault="00AA3DC4" w:rsidP="00AA3DC4">
      <w:r>
        <w:t xml:space="preserve">Your organization's security policies and procedures describe how to respond to specific alerts, including what to do when you receive a phishing alert. </w:t>
      </w:r>
    </w:p>
    <w:p w:rsidR="00AA3DC4" w:rsidRDefault="00AA3DC4" w:rsidP="00AA3DC4"/>
    <w:p w:rsidR="00E05582" w:rsidRDefault="00AA3DC4" w:rsidP="00AA3DC4">
      <w:r>
        <w:t>In the playbook, there is a flowchart and written instructions to help you complete your investigation and resolve the alert. At the end of your investigation, you will update the alert ticket with your findings about the incident.</w:t>
      </w:r>
    </w:p>
    <w:sectPr w:rsidR="00E05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C4"/>
    <w:rsid w:val="00415A73"/>
    <w:rsid w:val="00AA3DC4"/>
    <w:rsid w:val="00C20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13558-DACB-4411-AB2F-FB1A9D1A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2023-10-20T12:53:00Z</dcterms:created>
  <dcterms:modified xsi:type="dcterms:W3CDTF">2023-10-20T12:54:00Z</dcterms:modified>
</cp:coreProperties>
</file>