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IURC Regulatory Compliance Register</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 / Version</w:t>
            </w:r>
          </w:p>
        </w:tc>
        <w:tc>
          <w:tcPr>
            <w:tcW w:type="dxa" w:w="4320"/>
          </w:tcPr>
          <w:p>
            <w:r>
              <w:t>RPL-CMP-REG-001 v4.0</w:t>
            </w:r>
          </w:p>
        </w:tc>
      </w:tr>
      <w:tr>
        <w:tc>
          <w:tcPr>
            <w:tcW w:type="dxa" w:w="4320"/>
          </w:tcPr>
          <w:p>
            <w:r>
              <w:rPr>
                <w:b/>
              </w:rPr>
              <w:t>Company / IURC ID</w:t>
            </w:r>
          </w:p>
        </w:tc>
        <w:tc>
          <w:tcPr>
            <w:tcW w:type="dxa" w:w="4320"/>
          </w:tcPr>
          <w:p>
            <w:r>
              <w:t>Rockridge Power &amp; Light Company | 99012</w:t>
            </w:r>
          </w:p>
        </w:tc>
      </w:tr>
      <w:tr>
        <w:tc>
          <w:tcPr>
            <w:tcW w:type="dxa" w:w="4320"/>
          </w:tcPr>
          <w:p>
            <w:r>
              <w:rPr>
                <w:b/>
              </w:rPr>
              <w:t>Law as of / Snapshot</w:t>
            </w:r>
          </w:p>
        </w:tc>
        <w:tc>
          <w:tcPr>
            <w:tcW w:type="dxa" w:w="4320"/>
          </w:tcPr>
          <w:p>
            <w:r>
              <w:t>2024-12-31 / S1</w:t>
            </w:r>
          </w:p>
        </w:tc>
      </w:tr>
      <w:tr>
        <w:tc>
          <w:tcPr>
            <w:tcW w:type="dxa" w:w="4320"/>
          </w:tcPr>
          <w:p>
            <w:r>
              <w:rPr>
                <w:b/>
              </w:rPr>
              <w:t>Approved / Effective</w:t>
            </w:r>
          </w:p>
        </w:tc>
        <w:tc>
          <w:tcPr>
            <w:tcW w:type="dxa" w:w="4320"/>
          </w:tcPr>
          <w:p>
            <w:r>
              <w:t>2025-01-23 / 2025-01-23</w:t>
            </w:r>
          </w:p>
        </w:tc>
      </w:tr>
      <w:tr>
        <w:tc>
          <w:tcPr>
            <w:tcW w:type="dxa" w:w="4320"/>
          </w:tcPr>
          <w:p>
            <w:r>
              <w:rPr>
                <w:b/>
              </w:rPr>
              <w:t>Owner</w:t>
            </w:r>
          </w:p>
        </w:tc>
        <w:tc>
          <w:tcPr>
            <w:tcW w:type="dxa" w:w="4320"/>
          </w:tcPr>
          <w:p>
            <w:r>
              <w:t>Marcus Lee (P09), Manager Regulatory Compliance</w:t>
            </w:r>
          </w:p>
        </w:tc>
      </w:tr>
      <w:tr>
        <w:tc>
          <w:tcPr>
            <w:tcW w:type="dxa" w:w="4320"/>
          </w:tcPr>
          <w:p>
            <w:r>
              <w:rPr>
                <w:b/>
              </w:rPr>
              <w:t>Approver</w:t>
            </w:r>
          </w:p>
        </w:tc>
        <w:tc>
          <w:tcPr>
            <w:tcW w:type="dxa" w:w="4320"/>
          </w:tcPr>
          <w:p>
            <w:r>
              <w:t>Jonathan Pierce (P03), VP Legal &amp; Regulatory</w:t>
            </w:r>
          </w:p>
        </w:tc>
      </w:tr>
    </w:tbl>
    <w:p>
      <w:r>
        <w:br w:type="page"/>
      </w:r>
    </w:p>
    <w:p>
      <w:pPr>
        <w:pStyle w:val="Heading1"/>
      </w:pPr>
      <w:r>
        <w:t>IURC Regulatory Compliance Register</w:t>
      </w:r>
    </w:p>
    <w:p>
      <w:r>
        <w:rPr>
          <w:b/>
        </w:rPr>
        <w:t>Document ID:</w:t>
      </w:r>
      <w:r>
        <w:t xml:space="preserve"> RPL-CMP-REG-001</w:t>
      </w:r>
    </w:p>
    <w:p>
      <w:r>
        <w:rPr>
          <w:b/>
        </w:rPr>
        <w:t>Version:</w:t>
      </w:r>
      <w:r>
        <w:t xml:space="preserve"> 4.0</w:t>
      </w:r>
    </w:p>
    <w:p>
      <w:r>
        <w:rPr>
          <w:b/>
        </w:rPr>
        <w:t>Title:</w:t>
      </w:r>
      <w:r>
        <w:t xml:space="preserve"> IURC Regulatory Compliance Register</w:t>
      </w:r>
    </w:p>
    <w:p>
      <w:r>
        <w:rPr>
          <w:b/>
        </w:rPr>
        <w:t>Company:</w:t>
      </w:r>
      <w:r>
        <w:t xml:space="preserve"> Rockridge Power &amp; Light Company (RPL)</w:t>
      </w:r>
    </w:p>
    <w:p>
      <w:r>
        <w:rPr>
          <w:b/>
        </w:rPr>
        <w:t>IURC Utility ID:</w:t>
      </w:r>
      <w:r>
        <w:t xml:space="preserve"> 99012</w:t>
      </w:r>
    </w:p>
    <w:p>
      <w:r>
        <w:rPr>
          <w:b/>
        </w:rPr>
        <w:t>Law as of Date:</w:t>
      </w:r>
      <w:r>
        <w:t xml:space="preserve"> 2024-12-31 (Snapshot S1)</w:t>
      </w:r>
    </w:p>
    <w:p>
      <w:r>
        <w:rPr>
          <w:b/>
        </w:rPr>
        <w:t>Approved:</w:t>
      </w:r>
      <w:r>
        <w:t xml:space="preserve"> 2025-01-23</w:t>
      </w:r>
    </w:p>
    <w:p>
      <w:r>
        <w:rPr>
          <w:b/>
        </w:rPr>
        <w:t>Effective:</w:t>
      </w:r>
      <w:r>
        <w:t xml:space="preserve"> 2025-01-23</w:t>
      </w:r>
    </w:p>
    <w:p>
      <w:r>
        <w:rPr>
          <w:b/>
        </w:rPr>
        <w:t>Supersedes:</w:t>
      </w:r>
      <w:r>
        <w:t xml:space="preserve"> RPL-CMP-REG-001 v3.2 (2024-07-01)</w:t>
      </w:r>
    </w:p>
    <w:p>
      <w:r>
        <w:rPr>
          <w:b/>
        </w:rPr>
        <w:t>Owner:</w:t>
      </w:r>
      <w:r>
        <w:t xml:space="preserve"> Marcus Lee, Manager Regulatory Compliance (P09)</w:t>
      </w:r>
    </w:p>
    <w:p>
      <w:r>
        <w:rPr>
          <w:b/>
        </w:rPr>
        <w:t>Reviewer:</w:t>
      </w:r>
      <w:r>
        <w:t xml:space="preserve"> Elena Vasquez, Director Regulatory Affairs (P08)</w:t>
      </w:r>
    </w:p>
    <w:p>
      <w:r>
        <w:rPr>
          <w:b/>
        </w:rPr>
        <w:t>Approver:</w:t>
      </w:r>
      <w:r>
        <w:t xml:space="preserve"> Jonathan Pierce, VP Legal &amp; Regulatory (P03)</w:t>
      </w:r>
    </w:p>
    <w:p>
      <w:r>
        <w:rPr>
          <w:b/>
        </w:rPr>
        <w:t>Classification:</w:t>
      </w:r>
      <w:r>
        <w:t xml:space="preserve"> Internal — Regulatory Compliance</w:t>
      </w:r>
    </w:p>
    <w:p>
      <w:r>
        <w:t>────────────────────────────────────────────────────────────</w:t>
      </w:r>
    </w:p>
    <w:p>
      <w:pPr>
        <w:pStyle w:val="Heading2"/>
      </w:pPr>
      <w:r>
        <w:t>Table of Contents</w:t>
      </w:r>
    </w:p>
    <w:p>
      <w:r>
        <w:t>1. Purpose</w:t>
      </w:r>
    </w:p>
    <w:p>
      <w:r>
        <w:t>2. Scope</w:t>
      </w:r>
    </w:p>
    <w:p>
      <w:r>
        <w:t>3. Definitions</w:t>
      </w:r>
    </w:p>
    <w:p>
      <w:r>
        <w:t>4. Regulatory Framework Overview</w:t>
      </w:r>
    </w:p>
    <w:p>
      <w:r>
        <w:t>5. Register Structure and Field Definitions</w:t>
      </w:r>
    </w:p>
    <w:p>
      <w:r>
        <w:t>6. Obligation Identification Process</w:t>
      </w:r>
    </w:p>
    <w:p>
      <w:r>
        <w:t>7. Compliance Controls</w:t>
      </w:r>
    </w:p>
    <w:p>
      <w:r>
        <w:t>8. Monitoring and Verification</w:t>
      </w:r>
    </w:p>
    <w:p>
      <w:r>
        <w:t>9. Reporting to Management</w:t>
      </w:r>
    </w:p>
    <w:p>
      <w:r>
        <w:t>10. Regulatory Change Management</w:t>
      </w:r>
    </w:p>
    <w:p>
      <w:r>
        <w:t>11. Cross-References to Wave 2 Procedures</w:t>
      </w:r>
    </w:p>
    <w:p>
      <w:r>
        <w:t>12. Records and Retention</w:t>
      </w:r>
    </w:p>
    <w:p>
      <w:r>
        <w:t>13. Training</w:t>
      </w:r>
    </w:p>
    <w:p>
      <w:r>
        <w:t>14. Revision History</w:t>
      </w:r>
    </w:p>
    <w:p>
      <w:r>
        <w:t>15. Approval Block</w:t>
      </w:r>
    </w:p>
    <w:p>
      <w:r>
        <w:t>Appendix A: Compliance Register Excerpt — Top 20 Highest-Priority Obligations</w:t>
      </w:r>
    </w:p>
    <w:p>
      <w:r>
        <w:t>Appendix B: Regulatory Change Log — Q3–Q4 2024</w:t>
      </w:r>
    </w:p>
    <w:p>
      <w:r>
        <w:t>Appendix C: Owner Responsibility Matrix</w:t>
      </w:r>
    </w:p>
    <w:p>
      <w:r>
        <w:t>────────────────────────────────────────────────────────────</w:t>
      </w:r>
    </w:p>
    <w:p>
      <w:pPr>
        <w:pStyle w:val="Heading2"/>
      </w:pPr>
      <w:r>
        <w:t>Section 1 — Purpose</w:t>
      </w:r>
    </w:p>
    <w:p>
      <w:r>
        <w:rPr>
          <w:b/>
        </w:rPr>
        <w:t>1.1</w:t>
      </w:r>
      <w:r>
        <w:t xml:space="preserve"> This Compliance Register establishes and maintains a living, authoritative inventory of every active compliance obligation that Rockridge Power &amp; Light Company (RPL) holds under the Indiana Administrative Code (IAC) and Indiana Code (IC) as administered by the Indiana Utility Regulatory Commission (IURC). The Register serves as the single source of truth for RPL's compliance posture under IURC jurisdiction. The law-as-of date for this version is 2024-12-31 (Snapshot S1); all citations reflect the status of regulations as of that date.</w:t>
      </w:r>
    </w:p>
    <w:p>
      <w:r>
        <w:rPr>
          <w:b/>
        </w:rPr>
        <w:t>1.2</w:t>
      </w:r>
      <w:r>
        <w:t xml:space="preserve"> The Register exists to enable RPL's management, compliance staff, and internal auditors to identify, assign ownership of, monitor, and report on every discrete regulatory obligation with clarity. By cataloguing obligations at the individual citation level, the Register ensures that no active rule is overlooked, that each obligation has a named accountable owner, and that evidence of compliance can be produced promptly upon IURC request or during an audit cycle. The Register links each obligation to the Wave 2 implementation documents that operationalize the requirement, providing traceability from regulation to procedure to practice.</w:t>
      </w:r>
    </w:p>
    <w:p>
      <w:r>
        <w:rPr>
          <w:b/>
        </w:rPr>
        <w:t>1.3</w:t>
      </w:r>
      <w:r>
        <w:t xml:space="preserve"> The Register also serves as the foundation for RPL's regulatory change management process. When the IURC adopts a new rule, amends an existing rule, or repeals a rule, the Register is updated to reflect the change, ensuring that RPL's compliance program remains continuously current. This document is reviewed and updated at least annually and is updated promptly whenever the IURC issues a rulemaking that materially affects RPL's obligations. The current version covers 70 discrete obligations drawn from 170 IAC Article 1 (Procedural and Filing Rules), 170 IAC Article 4 (Electric Service Rules), 170 IAC Article 16 (Customer Dispute Process), and foundational Indiana Code provisions.</w:t>
      </w:r>
    </w:p>
    <w:p>
      <w:r>
        <w:t>────────────────────────────────────────────────────────────</w:t>
      </w:r>
    </w:p>
    <w:p>
      <w:pPr>
        <w:pStyle w:val="Heading2"/>
      </w:pPr>
      <w:r>
        <w:t>Section 2 — Scope</w:t>
      </w:r>
    </w:p>
    <w:p>
      <w:r>
        <w:rPr>
          <w:b/>
        </w:rPr>
        <w:t>2.1 Included — Entity.</w:t>
      </w:r>
      <w:r>
        <w:t xml:space="preserve"> This Register applies to Rockridge Power &amp; Light Company, an Indiana investor-owned electric distribution utility holding IURC Utility ID 99012 and headquartered at 400 Wabash Commons Drive, Lafayette, IN 47901. RPL provides electric distribution service to retail customers in fourteen west-central Indiana counties: Tippecanoe, Clinton, Carroll, White, Benton, Warren, Fountain, Montgomery, Boone, Hendricks, Putnam, Parke, Vermillion, and Vigo.</w:t>
      </w:r>
    </w:p>
    <w:p>
      <w:r>
        <w:rPr>
          <w:b/>
        </w:rPr>
        <w:t>2.2 Included — Regulatory Regimes.</w:t>
      </w:r>
      <w:r>
        <w:t xml:space="preserve"> The Register covers all obligations arising from the Indiana Administrative Code titles and articles listed in Section 4, as well as associated Indiana Code chapters. The Register covers both affirmative obligations (actions RPL must take) and negative obligations (actions RPL must not take, such as prohibited filing types under 170 IAC 1-6-4). All active obligations, regardless of triggering frequency — continuous, annual, periodic, or event-triggered — are included.</w:t>
      </w:r>
    </w:p>
    <w:p>
      <w:r>
        <w:rPr>
          <w:b/>
        </w:rPr>
        <w:t>2.3 Included — Repealed Rules.</w:t>
      </w:r>
      <w:r>
        <w:t xml:space="preserve"> Where the grounding pack identifies a rule as repealed as of 2024-12-31 (notably 170 IAC 4-1-17, Customer Complaints, which was repealed and subsumed into 170 IAC 16), the obligation is not listed as active but is noted in the regulatory change log (Appendix B) to preserve institutional memory and audit traceability.</w:t>
      </w:r>
    </w:p>
    <w:p>
      <w:r>
        <w:rPr>
          <w:b/>
        </w:rPr>
        <w:t>2.4 Excluded — FERC Jurisdiction.</w:t>
      </w:r>
      <w:r>
        <w:t xml:space="preserve"> Obligations arising solely under the Federal Energy Regulatory Commission's (FERC) jurisdiction, including RPL's full-requirements wholesale power purchase agreement and MISO membership obligations, are tracked in a separate federal compliance register and are excluded from this document.</w:t>
      </w:r>
    </w:p>
    <w:p>
      <w:r>
        <w:rPr>
          <w:b/>
        </w:rPr>
        <w:t>2.5 Excluded — Environmental and Safety Regulations Beyond IAC 170.</w:t>
      </w:r>
      <w:r>
        <w:t xml:space="preserve"> Obligations arising under Indiana Department of Environmental Management (IDEM) rules, U.S. Environmental Protection Agency (EPA) regulations, Occupational Safety and Health Administration (OSHA) standards, and Department of Transportation (DOT) rules are maintained in separate functional registers (Environmental Compliance Register, Safety Compliance Register) and are outside the scope of this document, except where those rules intersect with IURC obligations (e.g., accident reporting under IC 8-1-2-114 and 170 IAC 4-1-24 is included because it is an IURC reporting obligation).</w:t>
      </w:r>
    </w:p>
    <w:p>
      <w:r>
        <w:rPr>
          <w:b/>
        </w:rPr>
        <w:t>2.6 Excluded — Local Government Franchise Agreements.</w:t>
      </w:r>
      <w:r>
        <w:t xml:space="preserve"> Obligations arising from individual franchise agreements with municipalities and counties within RPL's service territory are tracked in the Legal Department's franchise agreement register and are excluded from this Register.</w:t>
      </w:r>
    </w:p>
    <w:p>
      <w:r>
        <w:rPr>
          <w:b/>
        </w:rPr>
        <w:t>2.7 Pack Gaps — Snapshot S1 Note.</w:t>
      </w:r>
      <w:r>
        <w:t xml:space="preserve"> The grounding pack (T10, law as of 2024-12-31) does not include certain IURC tariff filing rules under 170 IAC Articles 2, 3, and 7 (relating to gas, steam, and water utilities) because RPL is exclusively an electric distribution utility. Those rules are inapplicable and excluded. The grounding pack also does not include 170 IAC 17 (Clean Energy Portfolio Standard) or 170 IAC 4-8 (Demand Side Management) as those are tracked in separate Wave documents. This version does not cover any rule whose effective date under Snapshot S2 is later than 2024-12-31 (e.g., 170 IAC 1-6-3/4/5 amendments effective 2025-01-24 are outside scope).</w:t>
      </w:r>
    </w:p>
    <w:p>
      <w:r>
        <w:t>────────────────────────────────────────────────────────────</w:t>
      </w:r>
    </w:p>
    <w:p>
      <w:pPr>
        <w:pStyle w:val="Heading2"/>
      </w:pPr>
      <w:r>
        <w:t>Section 3 — Definitions</w:t>
      </w:r>
    </w:p>
    <w:p>
      <w:r>
        <w:rPr>
          <w:b/>
        </w:rPr>
        <w:t>3.1 Accountable Owner.</w:t>
      </w:r>
      <w:r>
        <w:t xml:space="preserve"> The RPL employee designated as having primary responsibility for ensuring that a compliance obligation is met, including maintaining controls, evidence, and escalation procedures. Identified by people directory ID (e.g., P09).</w:t>
      </w:r>
    </w:p>
    <w:p>
      <w:r>
        <w:rPr>
          <w:b/>
        </w:rPr>
        <w:t>3.2 Compliance Control.</w:t>
      </w:r>
      <w:r>
        <w:t xml:space="preserve"> A documented policy, procedure, process, system, or contractual mechanism that RPL maintains to satisfy a compliance obligation. Controls may be preventive (designed to prevent a violation), detective (designed to identify a violation), or corrective (designed to remediate a violation).</w:t>
      </w:r>
    </w:p>
    <w:p>
      <w:r>
        <w:rPr>
          <w:b/>
        </w:rPr>
        <w:t>3.3 Compliance Register.</w:t>
      </w:r>
      <w:r>
        <w:t xml:space="preserve"> The master table maintained in `data/compliance_register_2024-12-31.csv` that catalogues every active obligation, its citation, accountable owner, implementation document, compliance control, monitoring method, and current status as of the law-as-of date.</w:t>
      </w:r>
    </w:p>
    <w:p>
      <w:r>
        <w:rPr>
          <w:b/>
        </w:rPr>
        <w:t>3.4 Continuous Obligation.</w:t>
      </w:r>
      <w:r>
        <w:t xml:space="preserve"> An obligation that must be satisfied at all times without interruption, with no discrete trigger or filing deadline. Examples include maintaining accurate meters and keeping rate schedules on file with the IURC.</w:t>
      </w:r>
    </w:p>
    <w:p>
      <w:r>
        <w:rPr>
          <w:b/>
        </w:rPr>
        <w:t>3.5 Event-Triggered Obligation.</w:t>
      </w:r>
      <w:r>
        <w:t xml:space="preserve"> An obligation that becomes active only upon the occurrence of a specified event, such as a change in ownership, a customer complaint, an accident, or the filing of a rate case petition.</w:t>
      </w:r>
    </w:p>
    <w:p>
      <w:r>
        <w:rPr>
          <w:b/>
        </w:rPr>
        <w:t>3.6 Implementation Document.</w:t>
      </w:r>
      <w:r>
        <w:t xml:space="preserve"> A Wave 2 RPL internal document (procedure, program, plan, or tariff) that operationalizes a regulatory obligation, identified by its document ID (e.g., RPL-CS-PRO-004). Clause-level cross-references are provided where the freeze file specifies them.</w:t>
      </w:r>
    </w:p>
    <w:p>
      <w:r>
        <w:rPr>
          <w:b/>
        </w:rPr>
        <w:t>3.7 IURC.</w:t>
      </w:r>
      <w:r>
        <w:t xml:space="preserve"> The Indiana Utility Regulatory Commission, the state agency with jurisdiction over RPL under IC 8-1-2. IURC contact: PNC Center, 101 W. Washington St, Suite 1500E, Indianapolis, IN 46204; telephone 317-232-2712; toll-free 1-800-851-4268; portal at iurc.portal.in.gov.</w:t>
      </w:r>
    </w:p>
    <w:p>
      <w:r>
        <w:rPr>
          <w:b/>
        </w:rPr>
        <w:t>3.8 Law-as-of Date.</w:t>
      </w:r>
      <w:r>
        <w:t xml:space="preserve"> The date as of which the regulatory status of each obligation is assessed for this version of the Register. The law-as-of date for this version is 2024-12-31.</w:t>
      </w:r>
    </w:p>
    <w:p>
      <w:r>
        <w:rPr>
          <w:b/>
        </w:rPr>
        <w:t>3.9 Monitoring Frequency.</w:t>
      </w:r>
      <w:r>
        <w:t xml:space="preserve"> The cadence at which compliance with an obligation is reviewed, tested, or verified. Frequencies used in this Register are: continuous, annual, periodic (sub-annual but recurring), and event-triggered.</w:t>
      </w:r>
    </w:p>
    <w:p>
      <w:r>
        <w:rPr>
          <w:b/>
        </w:rPr>
        <w:t>3.10 Obligation.</w:t>
      </w:r>
      <w:r>
        <w:t xml:space="preserve"> A discrete, legally binding requirement imposed on RPL by the IURC through the Indiana Administrative Code or Indiana Code. Each obligation is assigned a unique identifier in the format OBL-YYYY-NNNN.</w:t>
      </w:r>
    </w:p>
    <w:p>
      <w:r>
        <w:rPr>
          <w:b/>
        </w:rPr>
        <w:t>3.11 Obligation ID.</w:t>
      </w:r>
      <w:r>
        <w:t xml:space="preserve"> The unique identifier assigned to each compliance obligation in this Register, in the format OBL-2024-NNNN, where 2024 is the registration year and NNNN is a sequential four-digit number.</w:t>
      </w:r>
    </w:p>
    <w:p>
      <w:r>
        <w:rPr>
          <w:b/>
        </w:rPr>
        <w:t>3.12 OUCC.</w:t>
      </w:r>
      <w:r>
        <w:t xml:space="preserve"> The Indiana Office of Utility Consumer Counselor, which represents the interests of utility customers in IURC proceedings and receives service copies of rate case filings on the same day as filed with the IURC.</w:t>
      </w:r>
    </w:p>
    <w:p>
      <w:r>
        <w:rPr>
          <w:b/>
        </w:rPr>
        <w:t>3.13 Periodic Obligation.</w:t>
      </w:r>
      <w:r>
        <w:t xml:space="preserve"> An obligation that recurs at regular sub-annual intervals (e.g., semi-annually or quarterly), distinct from both continuous obligations and annual obligations.</w:t>
      </w:r>
    </w:p>
    <w:p>
      <w:r>
        <w:rPr>
          <w:b/>
        </w:rPr>
        <w:t>3.14 Priority Classification.</w:t>
      </w:r>
      <w:r>
        <w:t xml:space="preserve"> A risk-based ranking assigned to each obligation: P1 (highest — material violation risk with direct IURC enforcement exposure or significant customer harm), P2 (moderate — procedural compliance with meaningful consequences), P3 (lower — administrative or form-related requirements).</w:t>
      </w:r>
    </w:p>
    <w:p>
      <w:r>
        <w:rPr>
          <w:b/>
        </w:rPr>
        <w:t>3.15 Repealed Rule.</w:t>
      </w:r>
      <w:r>
        <w:t xml:space="preserve"> A rule that was active at some prior point but has been formally rescinded by the IURC. As of 2024-12-31, 170 IAC 4-1-17 (Customer Complaints) is the only rule in the T10 grounding pack with status `repealed`. Its former obligations are now governed by 170 IAC 16-1.</w:t>
      </w:r>
    </w:p>
    <w:p>
      <w:r>
        <w:rPr>
          <w:b/>
        </w:rPr>
        <w:t>3.16 Snapshot.</w:t>
      </w:r>
      <w:r>
        <w:t xml:space="preserve"> A version of the regulatory record reflecting the state of all covered rules as of a specific date. This version uses Snapshot S1 (law as of 2024-12-31).</w:t>
      </w:r>
    </w:p>
    <w:p>
      <w:r>
        <w:rPr>
          <w:b/>
        </w:rPr>
        <w:t>3.17 Wave 2 Document.</w:t>
      </w:r>
      <w:r>
        <w:t xml:space="preserve"> An RPL internal operational document (procedure, program, plan, or tariff) developed in the second wave of the Strata v1 corpus project, which operationalizes one or more regulatory obligations. Wave 2 documents are cross-referenced in this Register using clause IDs from the Wave 2 clause freeze file (frozen 2026-10-07).</w:t>
      </w:r>
    </w:p>
    <w:p>
      <w:r>
        <w:t>────────────────────────────────────────────────────────────</w:t>
      </w:r>
    </w:p>
    <w:p>
      <w:pPr>
        <w:pStyle w:val="Heading2"/>
      </w:pPr>
      <w:r>
        <w:t>Section 4 — Regulatory Framework Overview</w:t>
      </w:r>
    </w:p>
    <w:p>
      <w:r>
        <w:rPr>
          <w:b/>
        </w:rPr>
        <w:t>4.1 Overview.</w:t>
      </w:r>
      <w:r>
        <w:t xml:space="preserve"> RPL's IURC compliance obligations derive from two principal bodies of law: the Indiana Administrative Code (IAC), which contains IURC rules promulgated under its rulemaking authority, and the Indiana Code (IC), which contains the public utility statutes. As an IURC-regulated electric distribution utility, RPL is subject primarily to 170 IAC (IURC rules) and IC Title 8 (Utilities and Transportation). This Register covers the following IAC Articles and IC chapters as of 2024-12-31.</w:t>
      </w:r>
    </w:p>
    <w:p>
      <w:r>
        <w:rPr>
          <w:b/>
        </w:rPr>
        <w:t>4.2 170 IAC Article 1 — Procedural, Filing, and Rate Case Rules.</w:t>
      </w:r>
      <w:r>
        <w:t xml:space="preserve"> This article establishes the procedures governing how RPL files rate schedules, prosecutes rate cases before the IURC, uses expedited 30-day administrative filing procedures, and responds to municipal annexation proceedings. Key sub-articles include:</w:t>
      </w:r>
    </w:p>
    <w:p>
      <w:r>
        <w:t xml:space="preserve">- </w:t>
      </w:r>
      <w:r>
        <w:rPr>
          <w:b/>
        </w:rPr>
        <w:t>170 IAC 1-2</w:t>
      </w:r>
      <w:r>
        <w:t xml:space="preserve"> (Rules 1–12): Construction and filing of rate schedules, including format, addressing, and change-of-ownership procedures. Eight obligations are catalogued (OBL-2024-0001 through OBL-2024-0008).</w:t>
      </w:r>
    </w:p>
    <w:p>
      <w:r>
        <w:t xml:space="preserve">- </w:t>
      </w:r>
      <w:r>
        <w:rPr>
          <w:b/>
        </w:rPr>
        <w:t>170 IAC 1-5</w:t>
      </w:r>
      <w:r>
        <w:t xml:space="preserve"> (Rules 1–16): Expedited general rate case procedures, including case-in-chief exhibits, working paper requirements, rate base data, depreciation, working capital, rate of return, and rate design. Nine obligations are catalogued (OBL-2024-0009 through OBL-2024-0017).</w:t>
      </w:r>
    </w:p>
    <w:p>
      <w:r>
        <w:t xml:space="preserve">- </w:t>
      </w:r>
      <w:r>
        <w:rPr>
          <w:b/>
        </w:rPr>
        <w:t>170 IAC 1-6</w:t>
      </w:r>
      <w:r>
        <w:t xml:space="preserve"> (Rules 1–5): Thirty-day administrative filing procedures for allowable filing types. Three obligations are catalogued (OBL-2024-0018 through OBL-2024-0020).</w:t>
      </w:r>
    </w:p>
    <w:p>
      <w:r>
        <w:t xml:space="preserve">- </w:t>
      </w:r>
      <w:r>
        <w:rPr>
          <w:b/>
        </w:rPr>
        <w:t>170 IAC 1-7</w:t>
      </w:r>
      <w:r>
        <w:t xml:space="preserve"> (Rules 1–3): Municipal annexation rate parity petition procedures. One obligation is catalogued (OBL-2024-0021).</w:t>
      </w:r>
    </w:p>
    <w:p>
      <w:r>
        <w:rPr>
          <w:b/>
        </w:rPr>
        <w:t>4.3 170 IAC Article 4 — Electric Service Regulations.</w:t>
      </w:r>
      <w:r>
        <w:t xml:space="preserve"> Article 4 contains the principal operational rules governing RPL's electric distribution service quality, metering accuracy, billing practices, customer creditworthiness, disconnection procedures, distribution line construction, accident reporting, and vegetation management. Key sub-articles include:</w:t>
      </w:r>
    </w:p>
    <w:p>
      <w:r>
        <w:t xml:space="preserve">- </w:t>
      </w:r>
      <w:r>
        <w:rPr>
          <w:b/>
        </w:rPr>
        <w:t>170 IAC 4-1</w:t>
      </w:r>
      <w:r>
        <w:t xml:space="preserve"> (Rules 1–30): Electric service rules covering metering (accuracy, testing, records), billing (content, adjustments), customer creditworthiness and deposits, disconnection and reconnection, informational pamphlets, frequency and voltage standards, outage records, accident reporting, pole identification, line construction standards, line extensions, and rate schedule posting. Twenty-seven obligations are catalogued (OBL-2024-0022 through OBL-2024-0048), noting that 170 IAC 4-1-17 (Customer Complaints) is repealed as of the law-as-of date.</w:t>
      </w:r>
    </w:p>
    <w:p>
      <w:r>
        <w:t xml:space="preserve">- </w:t>
      </w:r>
      <w:r>
        <w:rPr>
          <w:b/>
        </w:rPr>
        <w:t>170 IAC 4-9</w:t>
      </w:r>
      <w:r>
        <w:t xml:space="preserve"> (Rules 1–13): Vegetation management rules governing easement documentation, customer notification, emergency trimming, ANSI A300 standards, dispute resolution, customer education, tree replacement, and representative identification. Twelve obligations are catalogued (OBL-2024-0049 through OBL-2024-0060).</w:t>
      </w:r>
    </w:p>
    <w:p>
      <w:r>
        <w:rPr>
          <w:b/>
        </w:rPr>
        <w:t>4.4 170 IAC Article 16 — Customer Dispute Process.</w:t>
      </w:r>
      <w:r>
        <w:t xml:space="preserve"> Article 16 implements the IURC's authority under IC 8-1-2-34.5 to require utilities to maintain a multi-channel customer dispute process with defined time periods, escalation to IURC Consumer Affairs, and service protections during pending disputes. Seven obligations are catalogued (OBL-2024-0061 through OBL-2024-0067).</w:t>
      </w:r>
    </w:p>
    <w:p>
      <w:r>
        <w:rPr>
          <w:b/>
        </w:rPr>
        <w:t>4.5 Indiana Code Statutory Obligations.</w:t>
      </w:r>
      <w:r>
        <w:t xml:space="preserve"> Three foundational IC obligations are separately catalogued to highlight the statutory authority underlying IURC rules: IC 8-1-2-34.5 (Consumer Affairs jurisdiction — OBL-2024-0067), IC 8-1-2-38 (Rate schedule filing — OBL-2024-0068), IC 8-1-2-42 (General rate case authority — OBL-2024-0069), and IC 8-1-2-114 (Accident reporting — OBL-2024-0070).</w:t>
      </w:r>
    </w:p>
    <w:p>
      <w:r>
        <w:t>────────────────────────────────────────────────────────────</w:t>
      </w:r>
    </w:p>
    <w:p>
      <w:pPr>
        <w:pStyle w:val="Heading2"/>
      </w:pPr>
      <w:r>
        <w:t>Section 5 — Register Structure and Field Definitions</w:t>
      </w:r>
    </w:p>
    <w:p>
      <w:r>
        <w:rPr>
          <w:b/>
        </w:rPr>
        <w:t>5.1</w:t>
      </w:r>
      <w:r>
        <w:t xml:space="preserve"> The master compliance register is maintained as a CSV file at `data/compliance_register_2024-12-31.csv`. Each row represents one discrete compliance obligation. The following table defines each field.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`obligation_id`</w:t>
            </w:r>
          </w:p>
        </w:tc>
        <w:tc>
          <w:tcPr>
            <w:tcW w:type="dxa" w:w="2880"/>
          </w:tcPr>
          <w:p>
            <w:r>
              <w:t>String</w:t>
            </w:r>
          </w:p>
        </w:tc>
        <w:tc>
          <w:tcPr>
            <w:tcW w:type="dxa" w:w="2880"/>
          </w:tcPr>
          <w:p>
            <w:r>
              <w:t>Unique identifier in format OBL-YYYY-NNNN. YYYY is the registration year; NNNN is sequential.</w:t>
            </w:r>
          </w:p>
        </w:tc>
      </w:tr>
      <w:tr>
        <w:tc>
          <w:tcPr>
            <w:tcW w:type="dxa" w:w="2880"/>
          </w:tcPr>
          <w:p>
            <w:r>
              <w:t>`citation`</w:t>
            </w:r>
          </w:p>
        </w:tc>
        <w:tc>
          <w:tcPr>
            <w:tcW w:type="dxa" w:w="2880"/>
          </w:tcPr>
          <w:p>
            <w:r>
              <w:t>String</w:t>
            </w:r>
          </w:p>
        </w:tc>
        <w:tc>
          <w:tcPr>
            <w:tcW w:type="dxa" w:w="2880"/>
          </w:tcPr>
          <w:p>
            <w:r>
              <w:t>The regulatory citation (e.g., `170 IAC 4-1-16` or `IC 8-1-2-114`).</w:t>
            </w:r>
          </w:p>
        </w:tc>
      </w:tr>
      <w:tr>
        <w:tc>
          <w:tcPr>
            <w:tcW w:type="dxa" w:w="2880"/>
          </w:tcPr>
          <w:p>
            <w:r>
              <w:t>`title`</w:t>
            </w:r>
          </w:p>
        </w:tc>
        <w:tc>
          <w:tcPr>
            <w:tcW w:type="dxa" w:w="2880"/>
          </w:tcPr>
          <w:p>
            <w:r>
              <w:t>String</w:t>
            </w:r>
          </w:p>
        </w:tc>
        <w:tc>
          <w:tcPr>
            <w:tcW w:type="dxa" w:w="2880"/>
          </w:tcPr>
          <w:p>
            <w:r>
              <w:t>Brief title of the obligation, drawn from the IAC section heading.</w:t>
            </w:r>
          </w:p>
        </w:tc>
      </w:tr>
      <w:tr>
        <w:tc>
          <w:tcPr>
            <w:tcW w:type="dxa" w:w="2880"/>
          </w:tcPr>
          <w:p>
            <w:r>
              <w:t>`description`</w:t>
            </w:r>
          </w:p>
        </w:tc>
        <w:tc>
          <w:tcPr>
            <w:tcW w:type="dxa" w:w="2880"/>
          </w:tcPr>
          <w:p>
            <w:r>
              <w:t>String</w:t>
            </w:r>
          </w:p>
        </w:tc>
        <w:tc>
          <w:tcPr>
            <w:tcW w:type="dxa" w:w="2880"/>
          </w:tcPr>
          <w:p>
            <w:r>
              <w:t>Narrative description of the obligation in plain language.</w:t>
            </w:r>
          </w:p>
        </w:tc>
      </w:tr>
      <w:tr>
        <w:tc>
          <w:tcPr>
            <w:tcW w:type="dxa" w:w="2880"/>
          </w:tcPr>
          <w:p>
            <w:r>
              <w:t>`frequency`</w:t>
            </w:r>
          </w:p>
        </w:tc>
        <w:tc>
          <w:tcPr>
            <w:tcW w:type="dxa" w:w="2880"/>
          </w:tcPr>
          <w:p>
            <w:r>
              <w:t>Enum</w:t>
            </w:r>
          </w:p>
        </w:tc>
        <w:tc>
          <w:tcPr>
            <w:tcW w:type="dxa" w:w="2880"/>
          </w:tcPr>
          <w:p>
            <w:r>
              <w:t>Triggering frequency: `continuous`, `annual`, `periodic`, or `event-triggered`.</w:t>
            </w:r>
          </w:p>
        </w:tc>
      </w:tr>
      <w:tr>
        <w:tc>
          <w:tcPr>
            <w:tcW w:type="dxa" w:w="2880"/>
          </w:tcPr>
          <w:p>
            <w:r>
              <w:t>`accountable_owner_id`</w:t>
            </w:r>
          </w:p>
        </w:tc>
        <w:tc>
          <w:tcPr>
            <w:tcW w:type="dxa" w:w="2880"/>
          </w:tcPr>
          <w:p>
            <w:r>
              <w:t>String</w:t>
            </w:r>
          </w:p>
        </w:tc>
        <w:tc>
          <w:tcPr>
            <w:tcW w:type="dxa" w:w="2880"/>
          </w:tcPr>
          <w:p>
            <w:r>
              <w:t>People directory ID of the individual accountable for compliance (e.g., P09).</w:t>
            </w:r>
          </w:p>
        </w:tc>
      </w:tr>
      <w:tr>
        <w:tc>
          <w:tcPr>
            <w:tcW w:type="dxa" w:w="2880"/>
          </w:tcPr>
          <w:p>
            <w:r>
              <w:t>`implementation_doc`</w:t>
            </w:r>
          </w:p>
        </w:tc>
        <w:tc>
          <w:tcPr>
            <w:tcW w:type="dxa" w:w="2880"/>
          </w:tcPr>
          <w:p>
            <w:r>
              <w:t>String</w:t>
            </w:r>
          </w:p>
        </w:tc>
        <w:tc>
          <w:tcPr>
            <w:tcW w:type="dxa" w:w="2880"/>
          </w:tcPr>
          <w:p>
            <w:r>
              <w:t>Document ID of the Wave 2 document that operationalizes the obligation (e.g., RPL-CS-PRO-004), or empty if obligation is managed without a dedicated procedure document.</w:t>
            </w:r>
          </w:p>
        </w:tc>
      </w:tr>
      <w:tr>
        <w:tc>
          <w:tcPr>
            <w:tcW w:type="dxa" w:w="2880"/>
          </w:tcPr>
          <w:p>
            <w:r>
              <w:t>`implementation_clause`</w:t>
            </w:r>
          </w:p>
        </w:tc>
        <w:tc>
          <w:tcPr>
            <w:tcW w:type="dxa" w:w="2880"/>
          </w:tcPr>
          <w:p>
            <w:r>
              <w:t>String</w:t>
            </w:r>
          </w:p>
        </w:tc>
        <w:tc>
          <w:tcPr>
            <w:tcW w:type="dxa" w:w="2880"/>
          </w:tcPr>
          <w:p>
            <w:r>
              <w:t>Specific clause ID from the Wave 2 clause freeze file that most directly implements the obligation (e.g., RPL-CS-PRO-004:12.1), or empty if no specific clause is pinned.</w:t>
            </w:r>
          </w:p>
        </w:tc>
      </w:tr>
      <w:tr>
        <w:tc>
          <w:tcPr>
            <w:tcW w:type="dxa" w:w="2880"/>
          </w:tcPr>
          <w:p>
            <w:r>
              <w:t>`compliance_control`</w:t>
            </w:r>
          </w:p>
        </w:tc>
        <w:tc>
          <w:tcPr>
            <w:tcW w:type="dxa" w:w="2880"/>
          </w:tcPr>
          <w:p>
            <w:r>
              <w:t>String</w:t>
            </w:r>
          </w:p>
        </w:tc>
        <w:tc>
          <w:tcPr>
            <w:tcW w:type="dxa" w:w="2880"/>
          </w:tcPr>
          <w:p>
            <w:r>
              <w:t>Name of the primary compliance control maintained for this obligation.</w:t>
            </w:r>
          </w:p>
        </w:tc>
      </w:tr>
      <w:tr>
        <w:tc>
          <w:tcPr>
            <w:tcW w:type="dxa" w:w="2880"/>
          </w:tcPr>
          <w:p>
            <w:r>
              <w:t>`monitoring_method`</w:t>
            </w:r>
          </w:p>
        </w:tc>
        <w:tc>
          <w:tcPr>
            <w:tcW w:type="dxa" w:w="2880"/>
          </w:tcPr>
          <w:p>
            <w:r>
              <w:t>String</w:t>
            </w:r>
          </w:p>
        </w:tc>
        <w:tc>
          <w:tcPr>
            <w:tcW w:type="dxa" w:w="2880"/>
          </w:tcPr>
          <w:p>
            <w:r>
              <w:t>Description of how compliance is monitored and verified on an ongoing basis.</w:t>
            </w:r>
          </w:p>
        </w:tc>
      </w:tr>
      <w:tr>
        <w:tc>
          <w:tcPr>
            <w:tcW w:type="dxa" w:w="2880"/>
          </w:tcPr>
          <w:p>
            <w:r>
              <w:t>`last_verified`</w:t>
            </w:r>
          </w:p>
        </w:tc>
        <w:tc>
          <w:tcPr>
            <w:tcW w:type="dxa" w:w="2880"/>
          </w:tcPr>
          <w:p>
            <w:r>
              <w:t>Date</w:t>
            </w:r>
          </w:p>
        </w:tc>
        <w:tc>
          <w:tcPr>
            <w:tcW w:type="dxa" w:w="2880"/>
          </w:tcPr>
          <w:p>
            <w:r>
              <w:t>Date (YYYY-MM-DD) on which compliance with this obligation was most recently verified.</w:t>
            </w:r>
          </w:p>
        </w:tc>
      </w:tr>
      <w:tr>
        <w:tc>
          <w:tcPr>
            <w:tcW w:type="dxa" w:w="2880"/>
          </w:tcPr>
          <w:p>
            <w:r>
              <w:t>`next_due`</w:t>
            </w:r>
          </w:p>
        </w:tc>
        <w:tc>
          <w:tcPr>
            <w:tcW w:type="dxa" w:w="2880"/>
          </w:tcPr>
          <w:p>
            <w:r>
              <w:t>Date or String</w:t>
            </w:r>
          </w:p>
        </w:tc>
        <w:tc>
          <w:tcPr>
            <w:tcW w:type="dxa" w:w="2880"/>
          </w:tcPr>
          <w:p>
            <w:r>
              <w:t>Date of next scheduled verification, or `event-triggered` for obligations triggered by events rather than calendar cycles.</w:t>
            </w:r>
          </w:p>
        </w:tc>
      </w:tr>
      <w:tr>
        <w:tc>
          <w:tcPr>
            <w:tcW w:type="dxa" w:w="2880"/>
          </w:tcPr>
          <w:p>
            <w:r>
              <w:t>`status`</w:t>
            </w:r>
          </w:p>
        </w:tc>
        <w:tc>
          <w:tcPr>
            <w:tcW w:type="dxa" w:w="2880"/>
          </w:tcPr>
          <w:p>
            <w:r>
              <w:t>Enum</w:t>
            </w:r>
          </w:p>
        </w:tc>
        <w:tc>
          <w:tcPr>
            <w:tcW w:type="dxa" w:w="2880"/>
          </w:tcPr>
          <w:p>
            <w:r>
              <w:t>Current compliance status: `compliant`, `in_progress`, or `at_risk`.</w:t>
            </w:r>
          </w:p>
        </w:tc>
      </w:tr>
      <w:tr>
        <w:tc>
          <w:tcPr>
            <w:tcW w:type="dxa" w:w="2880"/>
          </w:tcPr>
          <w:p>
            <w:r>
              <w:t>`priority`</w:t>
            </w:r>
          </w:p>
        </w:tc>
        <w:tc>
          <w:tcPr>
            <w:tcW w:type="dxa" w:w="2880"/>
          </w:tcPr>
          <w:p>
            <w:r>
              <w:t>Enum</w:t>
            </w:r>
          </w:p>
        </w:tc>
        <w:tc>
          <w:tcPr>
            <w:tcW w:type="dxa" w:w="2880"/>
          </w:tcPr>
          <w:p>
            <w:r>
              <w:t>Risk-based priority: `P1` (highest), `P2` (moderate), `P3` (lower). See Section 3.14.</w:t>
            </w:r>
          </w:p>
        </w:tc>
      </w:tr>
      <w:tr>
        <w:tc>
          <w:tcPr>
            <w:tcW w:type="dxa" w:w="2880"/>
          </w:tcPr>
          <w:p>
            <w:r>
              <w:t>`notes`</w:t>
            </w:r>
          </w:p>
        </w:tc>
        <w:tc>
          <w:tcPr>
            <w:tcW w:type="dxa" w:w="2880"/>
          </w:tcPr>
          <w:p>
            <w:r>
              <w:t>String</w:t>
            </w:r>
          </w:p>
        </w:tc>
        <w:tc>
          <w:tcPr>
            <w:tcW w:type="dxa" w:w="2880"/>
          </w:tcPr>
          <w:p>
            <w:r>
              <w:t>Any supplementary notes including related IC citations cross-references or current-year context.</w:t>
            </w:r>
          </w:p>
        </w:tc>
      </w:tr>
    </w:tbl>
    <w:p/>
    <w:p>
      <w:r>
        <w:t>────────────────────────────────────────────────────────────</w:t>
      </w:r>
    </w:p>
    <w:p>
      <w:pPr>
        <w:pStyle w:val="Heading2"/>
      </w:pPr>
      <w:r>
        <w:t>Section 6 — Obligation Identification Process</w:t>
      </w:r>
    </w:p>
    <w:p>
      <w:r>
        <w:rPr>
          <w:b/>
        </w:rPr>
        <w:t>6.1 Regulatory Monitoring.</w:t>
      </w:r>
      <w:r>
        <w:t xml:space="preserve"> RPL's Manager of Regulatory Compliance (P09) maintains a continuous monitoring program for IURC rulemaking activity. This program subscribes to the Indiana Register for proposed and final rules affecting 170 IAC, monitors IURC docket postings at iurc.portal.in.gov, and tracks legislative activity in the Indiana General Assembly that may affect IC Title 8 provisions applicable to RPL. Monitoring is conducted on a weekly basis during active legislative and rulemaking sessions and at least bi-weekly at other times.</w:t>
      </w:r>
    </w:p>
    <w:p>
      <w:r>
        <w:rPr>
          <w:b/>
        </w:rPr>
        <w:t>6.2 Initial Review of New Rules.</w:t>
      </w:r>
      <w:r>
        <w:t xml:space="preserve"> When a new IURC rule is proposed or finalized, the Manager of Regulatory Compliance conducts an initial review within five business days to determine whether the rule creates a new obligation, modifies an existing obligation, or repeals an existing obligation. The initial review results in a preliminary determination of scope of impact on RPL's service territory and operations.</w:t>
      </w:r>
    </w:p>
    <w:p>
      <w:r>
        <w:rPr>
          <w:b/>
        </w:rPr>
        <w:t>6.3 Obligation Extraction.</w:t>
      </w:r>
      <w:r>
        <w:t xml:space="preserve"> For each new or amended rule that imposes an obligation on RPL, the Manager of Regulatory Compliance extracts one or more discrete obligations, each assigned a new OBL-YYYY-NNNN identifier. Obligations are extracted at the rule-section level (e.g., one obligation per sub-section where sub-sections impose distinct requirements). The extraction is reviewed by the Director of Regulatory Affairs (P08) before obligations are added to the Register.</w:t>
      </w:r>
    </w:p>
    <w:p>
      <w:r>
        <w:rPr>
          <w:b/>
        </w:rPr>
        <w:t>6.4 Annual Register Review.</w:t>
      </w:r>
      <w:r>
        <w:t xml:space="preserve"> The Register is formally reviewed by the Manager of Regulatory Compliance (P09) and the Director of Regulatory Affairs (P08) during January of each year. The annual review covers: (a) completeness — confirming all active IURC rules are represented; (b) accuracy — confirming obligation descriptions and citations remain correct; (c) ownership — confirming all accountable owners are current employees; and (d) status — updating compliance status and last-verified dates.</w:t>
      </w:r>
    </w:p>
    <w:p>
      <w:r>
        <w:rPr>
          <w:b/>
        </w:rPr>
        <w:t>6.5 Mid-Year Update Trigger.</w:t>
      </w:r>
      <w:r>
        <w:t xml:space="preserve"> Outside the annual review cycle, the Register is updated within thirty calendar days whenever: (a) the IURC adopts a final rule that creates or modifies an obligation; (b) a rule becomes effective that was previously pending; (c) the accountable owner for an obligation changes due to personnel action; or (d) the compliance status of any P1 obligation changes from compliant to in_progress or at_risk.</w:t>
      </w:r>
    </w:p>
    <w:p>
      <w:r>
        <w:rPr>
          <w:b/>
        </w:rPr>
        <w:t>6.6 Version Control.</w:t>
      </w:r>
      <w:r>
        <w:t xml:space="preserve"> Each update to the Register results in a new version of this document and a dated snapshot of the CSV file. The prior version is retained in the document management system for seven years in accordance with Section 12. Version numbering follows the format Major.Minor (e.g., 4.0 → 4.1 for a mid-year update, 5.0 for the next annual update).</w:t>
      </w:r>
    </w:p>
    <w:p>
      <w:r>
        <w:rPr>
          <w:b/>
        </w:rPr>
        <w:t>6.7 Coordination with Legal Counsel.</w:t>
      </w:r>
      <w:r>
        <w:t xml:space="preserve"> For obligation changes arising from legislative action or court decisions affecting Indiana utility law, the Manager of Regulatory Compliance coordinates the obligation extraction and Register update with the VP Legal &amp; Regulatory (P03) before finalization.</w:t>
      </w:r>
    </w:p>
    <w:p>
      <w:r>
        <w:t>────────────────────────────────────────────────────────────</w:t>
      </w:r>
    </w:p>
    <w:p>
      <w:pPr>
        <w:pStyle w:val="Heading2"/>
      </w:pPr>
      <w:r>
        <w:t>Section 7 — Compliance Controls</w:t>
      </w:r>
    </w:p>
    <w:p>
      <w:r>
        <w:rPr>
          <w:b/>
        </w:rPr>
        <w:t>7.1 Primary Control Types.</w:t>
      </w:r>
      <w:r>
        <w:t xml:space="preserve"> RPL maintains the following categories of compliance controls across its obligation portfolio. Each control type is referenced in the `compliance_control` field of the Register.</w:t>
      </w:r>
    </w:p>
    <w:p>
      <w:r>
        <w:rPr>
          <w:b/>
        </w:rPr>
        <w:t>7.2 Documented Procedures.</w:t>
      </w:r>
      <w:r>
        <w:t xml:space="preserve"> The most prevalent control type, consisting of written procedures (Wave 2 documents) that specify the steps, responsibilities, and records required to satisfy a regulatory obligation. Examples: RPL-CS-PRO-004 (customer service, billing, and meter testing), RPL-ENV-PRO-005 (vegetation management), RPL-SAF-PRO-009 (safety and accident reporting). Procedures are reviewed annually and updated upon regulatory change. Implemented by RPL-CS-PRO-004:1.1, RPL-ENV-PRO-005:1, and RPL-SAF-PRO-009:1.</w:t>
      </w:r>
    </w:p>
    <w:p>
      <w:r>
        <w:rPr>
          <w:b/>
        </w:rPr>
        <w:t>7.3 System-Based Controls.</w:t>
      </w:r>
      <w:r>
        <w:t xml:space="preserve"> Controls embedded in RPL's operational information systems, including the Customer Information System (CIS) for billing compliance, the Meter Data Management System (MDMS) for meter test records, the Outage Management System (OMS) for interruption reporting, and the SCADA system for voltage and frequency monitoring. System-based controls reduce reliance on manual processes and provide automated record creation. Implemented by RPL-MTR-PGM-001:10.1 and RPL-DCC-PRO-003:10.</w:t>
      </w:r>
    </w:p>
    <w:p>
      <w:r>
        <w:rPr>
          <w:b/>
        </w:rPr>
        <w:t>7.4 Tariff and Rate Schedule Controls.</w:t>
      </w:r>
      <w:r>
        <w:t xml:space="preserve"> Controls embedded in RPL's IURC-filed tariff (RPL-TAR-GRR-012), which documents the rates rules and regulations applicable to RPL's electric service. Maintaining the tariff current, filed, and publicly posted satisfies multiple 170 IAC 1-2 and 170 IAC 4-1-29 obligations. Implemented by RPL-TAR-GRR-012:R01.D01 through RPL-TAR-GRR-012:R02.5.</w:t>
      </w:r>
    </w:p>
    <w:p>
      <w:r>
        <w:rPr>
          <w:b/>
        </w:rPr>
        <w:t>7.5 Training-Based Controls.</w:t>
      </w:r>
      <w:r>
        <w:t xml:space="preserve"> Controls that ensure RPL employees and contractors are trained to understand and follow regulatory requirements. Training is required for customer service representatives (billing, deposits, disconnection, dispute handling), field crews (vegetation management, pole and line standards), and compliance staff (regulatory monitoring, accident reporting). See Section 13.</w:t>
      </w:r>
    </w:p>
    <w:p>
      <w:r>
        <w:rPr>
          <w:b/>
        </w:rPr>
        <w:t>7.6 Inspection and Testing Controls.</w:t>
      </w:r>
      <w:r>
        <w:t xml:space="preserve"> Physical inspection and testing programs that verify ongoing compliance with metering, voltage, frequency, and line construction standards. These include the in-service meter test program (Method A per RPL-MTR-PGM-001:10.1), voltage survey program, laboratory calibration program, and field audit of pole markings.</w:t>
      </w:r>
    </w:p>
    <w:p>
      <w:r>
        <w:rPr>
          <w:b/>
        </w:rPr>
        <w:t>7.7 Tracking Logs and Registers.</w:t>
      </w:r>
      <w:r>
        <w:t xml:space="preserve"> Operational logs and registers that provide evidence of compliance, including: the IURC filing acknowledgment log, the meter test request log, the vegetation management dispute log, the outage management records, the accident report log, and the regulatory monitoring log. These are reviewed periodically by the Manager of Regulatory Compliance.</w:t>
      </w:r>
    </w:p>
    <w:p>
      <w:r>
        <w:rPr>
          <w:b/>
        </w:rPr>
        <w:t>7.8 Contractual Controls.</w:t>
      </w:r>
      <w:r>
        <w:t xml:space="preserve"> Requirements embedded in RPL's contractor agreements for vegetation management, line construction, and meter services that obligate contractors to comply with applicable IURC rules. Contractor qualification, oversight, and audit procedures ensure third-party compliance does not create RPL exposure.</w:t>
      </w:r>
    </w:p>
    <w:p>
      <w:r>
        <w:rPr>
          <w:b/>
        </w:rPr>
        <w:t>7.9 Escalation Path.</w:t>
      </w:r>
      <w:r>
        <w:t xml:space="preserve"> When a compliance issue is identified — whether through monitoring, an internal audit, an IURC inquiry, or a customer complaint — the following escalation path applies: (a) the accountable owner is immediately notified and conducts a root cause analysis; (b) if the issue is P1 or could affect service to customers, the Director of Regulatory Affairs (P08) is notified within one business day; (c) if the issue may require IURC notification or corrective action, the VP Legal &amp; Regulatory (P03) and VP Regulatory &amp; Government Affairs (P07) are notified within two business days; (d) for material violations or IURC enforcement inquiries, executive leadership is notified and outside regulatory counsel is engaged.</w:t>
      </w:r>
    </w:p>
    <w:p>
      <w:r>
        <w:t>────────────────────────────────────────────────────────────</w:t>
      </w:r>
    </w:p>
    <w:p>
      <w:pPr>
        <w:pStyle w:val="Heading2"/>
      </w:pPr>
      <w:r>
        <w:t>Section 8 — Monitoring and Verification</w:t>
      </w:r>
    </w:p>
    <w:p>
      <w:r>
        <w:rPr>
          <w:b/>
        </w:rPr>
        <w:t>8.1 Monthly Monitoring Activities.</w:t>
      </w:r>
      <w:r>
        <w:t xml:space="preserve"> The Manager of Regulatory Compliance reviews the following monthly: (a) billing audit sample of 50 customer accounts for compliance with 170 IAC 4-1-13 billing format requirements; (b) disconnection log review for compliance with 170 IAC 4-1-16 prohibited disconnection conditions and notice requirements; (c) customer dispute resolution timer compliance report from the CRM system for 170 IAC 16-1-3 and 16-1-4 obligations; (d) accounts with active disputes to verify that no disconnection occurred for a disputed amount (170 IAC 16-1-7); (e) meter test request log for timely response to customer-requested meter tests (170 IAC 4-1-11).</w:t>
      </w:r>
    </w:p>
    <w:p>
      <w:r>
        <w:rPr>
          <w:b/>
        </w:rPr>
        <w:t>8.2 Quarterly Monitoring Activities.</w:t>
      </w:r>
      <w:r>
        <w:t xml:space="preserve"> The following are reviewed or verified quarterly: (a) IURC filing verification — confirming all current rate schedules are on file with IURC and posted on the RPL website; (b) deposit practice review — confirming creditworthiness policies are applied consistently and without discrimination; (c) SAIDI/SAIFI outage report and IURC outage notification compliance; (d) meter accuracy statistical sampling report; (e) vegetation management dispute log; (f) contractor compliance documentation for vegetation management crews; (g) tariff reconciliation for joint rates.</w:t>
      </w:r>
    </w:p>
    <w:p>
      <w:r>
        <w:rPr>
          <w:b/>
        </w:rPr>
        <w:t>8.3 Annual Monitoring Activities.</w:t>
      </w:r>
      <w:r>
        <w:t xml:space="preserve"> The following are conducted annually: (a) comprehensive Register review (Section 6.4); (b) in-service meter test program adherence review; (c) voltage survey program completion and documentation; (d) field audit of pole marking compliance; (e) distribution construction standards review against current NESC edition; (f) vegetation management customer education plan content review; (g) pamphlet content and online posting verification; (h) records retention audit.</w:t>
      </w:r>
    </w:p>
    <w:p>
      <w:r>
        <w:rPr>
          <w:b/>
        </w:rPr>
        <w:t>8.4 Internal Audit Cycle.</w:t>
      </w:r>
      <w:r>
        <w:t xml:space="preserve"> RPL's internal audit function conducts an independent compliance audit of a rotating subset of high-priority (P1) obligations each year. The internal audit reports findings to the Director of Regulatory Affairs (P08) and the VP Legal &amp; Regulatory (P03). Findings are tracked in the compliance issue register until resolved. The full P1 obligation population is audited on a three-year cycle.</w:t>
      </w:r>
    </w:p>
    <w:p>
      <w:r>
        <w:rPr>
          <w:b/>
        </w:rPr>
        <w:t>8.5 External Review Readiness.</w:t>
      </w:r>
      <w:r>
        <w:t xml:space="preserve"> RPL maintains documentation for all obligations in a state of audit-readiness at all times. This means: compliance controls are documented and accessible; test records, acknowledgment logs, and filing confirmations are retained and indexed; and the Register can be produced to IURC staff within five business days of a request. The Manager of Regulatory Compliance coordinates audit readiness for IURC inspection visits.</w:t>
      </w:r>
    </w:p>
    <w:p>
      <w:r>
        <w:rPr>
          <w:b/>
        </w:rPr>
        <w:t>8.6 IURC Inspection and Consumer Affairs Response.</w:t>
      </w:r>
      <w:r>
        <w:t xml:space="preserve"> When the IURC Consumer Affairs Division conducts a compliance review or requests information related to a customer complaint, the Director of Regulatory Affairs (P08) serves as the primary point of contact. All Consumer Affairs inquiries are logged and responses are provided within the time frames specified in 170 IAC 16-1-5 and 16-1-6. Commission-level proceedings involving potential enforcement actions are handled by the VP Legal &amp; Regulatory (P03) in coordination with outside regulatory counsel.</w:t>
      </w:r>
    </w:p>
    <w:p>
      <w:r>
        <w:rPr>
          <w:b/>
        </w:rPr>
        <w:t>8.7 Meter Test Program Verification.</w:t>
      </w:r>
      <w:r>
        <w:t xml:space="preserve"> The MDMS is used to generate monthly and quarterly reports on in-service meter test completion rates, accuracy results, and replacement rates. The Manager of Regulatory Compliance reviews these reports to verify that the in-service test program (170 IAC 4-1-10) is meeting its statistical objectives and that no systemic accuracy issues have emerged.</w:t>
      </w:r>
    </w:p>
    <w:p>
      <w:r>
        <w:rPr>
          <w:b/>
        </w:rPr>
        <w:t>8.8 Outage and Accident Reporting Compliance.</w:t>
      </w:r>
      <w:r>
        <w:t xml:space="preserve"> Distribution Control Center operators are trained to identify reportable outage events and accidents under 170 IAC 4-1-23 and 170 IAC 4-1-24 respectively. The DCC supervisor reviews the outage log daily for events meeting IURC reporting thresholds. Accident reports under IC 8-1-2-114 are filed immediately and followed by written reports within required time frames. Implemented by RPL-DCC-PRO-003:10 and RPL-SAF-PRO-009:10.</w:t>
      </w:r>
    </w:p>
    <w:p>
      <w:r>
        <w:rPr>
          <w:b/>
        </w:rPr>
        <w:t>8.9 Compliance Metrics Dashboard.</w:t>
      </w:r>
      <w:r>
        <w:t xml:space="preserve"> The Manager of Regulatory Compliance maintains a compliance metrics dashboard updated monthly that shows, for each P1 obligation: current status, date of last verification, next verification due date, and any open findings. The dashboard is provided to the Director of Regulatory Affairs (P08) as part of the monthly compliance report described in Section 9.</w:t>
      </w:r>
    </w:p>
    <w:p>
      <w:r>
        <w:t>────────────────────────────────────────────────────────────</w:t>
      </w:r>
    </w:p>
    <w:p>
      <w:pPr>
        <w:pStyle w:val="Heading2"/>
      </w:pPr>
      <w:r>
        <w:t>Section 9 — Reporting to Management</w:t>
      </w:r>
    </w:p>
    <w:p>
      <w:r>
        <w:rPr>
          <w:b/>
        </w:rPr>
        <w:t>9.1 Monthly Compliance Report.</w:t>
      </w:r>
      <w:r>
        <w:t xml:space="preserve"> The Manager of Regulatory Compliance (P09) prepares a written monthly compliance report for the Director of Regulatory Affairs (P08) by the 15th business day of each month. The report summarizes: (a) completion of scheduled monthly monitoring activities; (b) status of all P1 obligations; (c) any compliance issues identified during the month, including root cause and corrective action status; (d) any IURC Consumer Affairs inquiries received and their status; and (e) any regulatory changes monitored during the month and their impact assessment.</w:t>
      </w:r>
    </w:p>
    <w:p>
      <w:r>
        <w:rPr>
          <w:b/>
        </w:rPr>
        <w:t>9.2 Quarterly Regulatory Affairs Report.</w:t>
      </w:r>
      <w:r>
        <w:t xml:space="preserve"> The Director of Regulatory Affairs (P08) prepares a quarterly regulatory compliance report for the VP Regulatory &amp; Government Affairs (P07) and VP Legal &amp; Regulatory (P03) within thirty days of the end of each calendar quarter. The quarterly report summarizes: (a) all obligations reviewed during the quarter and their status; (b) completion of quarterly monitoring activities; (c) any open compliance findings and corrective action plans; (d) rulemaking activity monitored and any anticipated obligation changes; and (e) Consumer Affairs and IURC inquiry activity.</w:t>
      </w:r>
    </w:p>
    <w:p>
      <w:r>
        <w:rPr>
          <w:b/>
        </w:rPr>
        <w:t>9.3 Annual Compliance Report.</w:t>
      </w:r>
      <w:r>
        <w:t xml:space="preserve"> An annual compliance report is prepared by the Director of Regulatory Affairs (P08) and reviewed by the VP Legal &amp; Regulatory (P03) following the completion of the annual Register review (Section 6.4). The annual report covers: (a) the full obligation inventory and compliance status as of year-end; (b) summary of regulatory changes during the year; (c) internal audit findings and resolution status; (d) metrics on Consumer Affairs inquiries and dispute resolution; and (e) plan for the coming year. The annual report is presented to senior management.</w:t>
      </w:r>
    </w:p>
    <w:p>
      <w:r>
        <w:rPr>
          <w:b/>
        </w:rPr>
        <w:t>9.4 Ad Hoc Reporting.</w:t>
      </w:r>
      <w:r>
        <w:t xml:space="preserve"> For P1 obligations where status changes to `in_progress` or `at_risk`, an immediate notification is prepared by the Manager of Regulatory Compliance and provided to the Director of Regulatory Affairs within one business day. If the change may require IURC notification or external disclosure, the VP Legal &amp; Regulatory (P03) is copied. Ad hoc reports include: the obligation ID and citation, a description of the issue, initial root cause assessment, proposed corrective action, and timeline.</w:t>
      </w:r>
    </w:p>
    <w:p>
      <w:r>
        <w:t>────────────────────────────────────────────────────────────</w:t>
      </w:r>
    </w:p>
    <w:p>
      <w:pPr>
        <w:pStyle w:val="Heading2"/>
      </w:pPr>
      <w:r>
        <w:t>Section 10 — Regulatory Change Management</w:t>
      </w:r>
    </w:p>
    <w:p>
      <w:r>
        <w:rPr>
          <w:b/>
        </w:rPr>
        <w:t>10.1 New Rule Tracking.</w:t>
      </w:r>
      <w:r>
        <w:t xml:space="preserve"> When the IURC files a proposed rule in the Indiana Register, the Manager of Regulatory Compliance (P09) creates a change tracking entry. The entry captures: the rule citation, the publication date, the comment deadline, the anticipated effective date, a preliminary impact assessment for RPL, and the assigned reviewer (P09 for operational rules; P08 for rate-related rules; P03 for rules with significant legal or financial exposure).</w:t>
      </w:r>
    </w:p>
    <w:p>
      <w:r>
        <w:rPr>
          <w:b/>
        </w:rPr>
        <w:t>10.2 Amended Rule Assessment.</w:t>
      </w:r>
      <w:r>
        <w:t xml:space="preserve"> When a final rule amending an existing IAC provision is adopted, the Manager of Regulatory Compliance compares the amended text against the current obligation description in the Register. If the amendment materially changes the obligation, the obligation description is updated, the accountable owner is notified, and any affected implementation documents (Wave 2 procedures) are flagged for update. The Register is updated within thirty calendar days.</w:t>
      </w:r>
    </w:p>
    <w:p>
      <w:r>
        <w:rPr>
          <w:b/>
        </w:rPr>
        <w:t>10.3 Repealed Rule Retirement.</w:t>
      </w:r>
      <w:r>
        <w:t xml:space="preserve"> When a rule is repealed, the corresponding obligation(s) are removed from the active Register and moved to the regulatory change log (Appendix B) with the repeal date noted. If a new rule replaces the repealed rule (as occurred when 170 IAC 4-1-17 was replaced by 170 IAC 16-1), the new obligations are added and cross-referenced to the superseded obligation ID.</w:t>
      </w:r>
    </w:p>
    <w:p>
      <w:r>
        <w:rPr>
          <w:b/>
        </w:rPr>
        <w:t>10.4 Effective Date Monitoring.</w:t>
      </w:r>
      <w:r>
        <w:t xml:space="preserve"> Rules adopted in one year often carry an effective date in a subsequent year. The Manager of Regulatory Compliance maintains a forward calendar of upcoming effective dates for rules that will affect RPL obligations. For each rule with a future effective date, implementation steps (procedure updates, training, system changes) are planned at least 90 days before the effective date, or sooner if the rule requires significant operational changes.</w:t>
      </w:r>
    </w:p>
    <w:p>
      <w:r>
        <w:rPr>
          <w:b/>
        </w:rPr>
        <w:t>10.5 Industry Association Coordination.</w:t>
      </w:r>
      <w:r>
        <w:t xml:space="preserve"> RPL participates in the Indiana Energy Association (IEA) regulatory affairs working group, which monitors and comments on IURC rulemakings affecting electric utilities. Information gathered through IEA participation supplements RPL's direct monitoring and may provide early warning of proposed rulemakings.</w:t>
      </w:r>
    </w:p>
    <w:p>
      <w:r>
        <w:rPr>
          <w:b/>
        </w:rPr>
        <w:t>10.6 Change Log Maintenance.</w:t>
      </w:r>
      <w:r>
        <w:t xml:space="preserve"> The regulatory change log (Appendix B) records every rule change (new, amended, or repealed) that affects RPL obligations during the period covered by this Register version. Entries include: the citation, the type of change, the effective date, the obligation IDs affected, and a brief description of the impact. The change log is updated at least quarterly.</w:t>
      </w:r>
    </w:p>
    <w:p>
      <w:r>
        <w:rPr>
          <w:b/>
        </w:rPr>
        <w:t>10.7 Implementation Document Update Cascade.</w:t>
      </w:r>
      <w:r>
        <w:t xml:space="preserve"> When a regulatory change requires updates to a Wave 2 implementation document, the Manager of Regulatory Compliance coordinates the update with the document owner. Updated documents are reviewed by the Director of Regulatory Affairs (P08) and approved within the time frame required by the regulatory change effective date. The Register is not marked `compliant` for an updated obligation until the corresponding implementation document update is complete.</w:t>
      </w:r>
    </w:p>
    <w:p>
      <w:r>
        <w:t>────────────────────────────────────────────────────────────</w:t>
      </w:r>
    </w:p>
    <w:p>
      <w:pPr>
        <w:pStyle w:val="Heading2"/>
      </w:pPr>
      <w:r>
        <w:t>Section 11 — Cross-References to Wave 2 Procedures</w:t>
      </w:r>
    </w:p>
    <w:p>
      <w:r>
        <w:rPr>
          <w:b/>
        </w:rPr>
        <w:t>11.1</w:t>
      </w:r>
      <w:r>
        <w:t xml:space="preserve"> The following table maps each Wave 2 implementation document to the register obligations it implements. Clause IDs are from the freeze file (frozen 2026-10-07). For the full obligation-level cross-reference, see the `implementation_doc` and `implementation_clause` fields of the CSV register.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Document ID</w:t>
            </w:r>
          </w:p>
        </w:tc>
        <w:tc>
          <w:tcPr>
            <w:tcW w:type="dxa" w:w="1728"/>
          </w:tcPr>
          <w:p>
            <w:r>
              <w:rPr>
                <w:b/>
              </w:rPr>
              <w:t>Document Title</w:t>
            </w:r>
          </w:p>
        </w:tc>
        <w:tc>
          <w:tcPr>
            <w:tcW w:type="dxa" w:w="1728"/>
          </w:tcPr>
          <w:p>
            <w:r>
              <w:rPr>
                <w:b/>
              </w:rPr>
              <w:t>Primary IAC Area</w:t>
            </w:r>
          </w:p>
        </w:tc>
        <w:tc>
          <w:tcPr>
            <w:tcW w:type="dxa" w:w="1728"/>
          </w:tcPr>
          <w:p>
            <w:r>
              <w:rPr>
                <w:b/>
              </w:rPr>
              <w:t>Sample Obligations Implemented</w:t>
            </w:r>
          </w:p>
        </w:tc>
        <w:tc>
          <w:tcPr>
            <w:tcW w:type="dxa" w:w="1728"/>
          </w:tcPr>
          <w:p>
            <w:r>
              <w:rPr>
                <w:b/>
              </w:rPr>
              <w:t>Key Clause References</w:t>
            </w:r>
          </w:p>
        </w:tc>
      </w:tr>
      <w:tr>
        <w:tc>
          <w:tcPr>
            <w:tcW w:type="dxa" w:w="1728"/>
          </w:tcPr>
          <w:p>
            <w:r>
              <w:t>RPL-TAR-GRR-012</w:t>
            </w:r>
          </w:p>
        </w:tc>
        <w:tc>
          <w:tcPr>
            <w:tcW w:type="dxa" w:w="1728"/>
          </w:tcPr>
          <w:p>
            <w:r>
              <w:t>General Rates and Rules Tariff</w:t>
            </w:r>
          </w:p>
        </w:tc>
        <w:tc>
          <w:tcPr>
            <w:tcW w:type="dxa" w:w="1728"/>
          </w:tcPr>
          <w:p>
            <w:r>
              <w:t>170 IAC 1-2; 170 IAC 1-5; 170 IAC 1-6; 170 IAC 4-1-29</w:t>
            </w:r>
          </w:p>
        </w:tc>
        <w:tc>
          <w:tcPr>
            <w:tcW w:type="dxa" w:w="1728"/>
          </w:tcPr>
          <w:p>
            <w:r>
              <w:t>OBL-2024-0001–0008; OBL-2024-0009–0017; OBL-2024-0018–0020; OBL-2024-0046–0048; OBL-2024-0068</w:t>
            </w:r>
          </w:p>
        </w:tc>
        <w:tc>
          <w:tcPr>
            <w:tcW w:type="dxa" w:w="1728"/>
          </w:tcPr>
          <w:p>
            <w:r>
              <w:t>RPL-TAR-GRR-012:R01.D01; R02.1–R02.5; R03.1–R04.4; R05.1–R05.3; R09.1–R09.2</w:t>
            </w:r>
          </w:p>
        </w:tc>
      </w:tr>
      <w:tr>
        <w:tc>
          <w:tcPr>
            <w:tcW w:type="dxa" w:w="1728"/>
          </w:tcPr>
          <w:p>
            <w:r>
              <w:t>RPL-CS-PRO-004</w:t>
            </w:r>
          </w:p>
        </w:tc>
        <w:tc>
          <w:tcPr>
            <w:tcW w:type="dxa" w:w="1728"/>
          </w:tcPr>
          <w:p>
            <w:r>
              <w:t>Customer Service and Billing Procedure</w:t>
            </w:r>
          </w:p>
        </w:tc>
        <w:tc>
          <w:tcPr>
            <w:tcW w:type="dxa" w:w="1728"/>
          </w:tcPr>
          <w:p>
            <w:r>
              <w:t>170 IAC 4-1-11 through 4-1-16</w:t>
            </w:r>
          </w:p>
        </w:tc>
        <w:tc>
          <w:tcPr>
            <w:tcW w:type="dxa" w:w="1728"/>
          </w:tcPr>
          <w:p>
            <w:r>
              <w:t>OBL-2024-0031–0036</w:t>
            </w:r>
          </w:p>
        </w:tc>
        <w:tc>
          <w:tcPr>
            <w:tcW w:type="dxa" w:w="1728"/>
          </w:tcPr>
          <w:p>
            <w:r>
              <w:t>RPL-CS-PRO-004:10.1; 10.2; 11.1; 12.1; 12.2; 13.1</w:t>
            </w:r>
          </w:p>
        </w:tc>
      </w:tr>
      <w:tr>
        <w:tc>
          <w:tcPr>
            <w:tcW w:type="dxa" w:w="1728"/>
          </w:tcPr>
          <w:p>
            <w:r>
              <w:t>RPL-CS-PRO-007</w:t>
            </w:r>
          </w:p>
        </w:tc>
        <w:tc>
          <w:tcPr>
            <w:tcW w:type="dxa" w:w="1728"/>
          </w:tcPr>
          <w:p>
            <w:r>
              <w:t>Customer Information and Notification Procedure</w:t>
            </w:r>
          </w:p>
        </w:tc>
        <w:tc>
          <w:tcPr>
            <w:tcW w:type="dxa" w:w="1728"/>
          </w:tcPr>
          <w:p>
            <w:r>
              <w:t>170 IAC 4-1-18</w:t>
            </w:r>
          </w:p>
        </w:tc>
        <w:tc>
          <w:tcPr>
            <w:tcW w:type="dxa" w:w="1728"/>
          </w:tcPr>
          <w:p>
            <w:r>
              <w:t>OBL-2024-0037</w:t>
            </w:r>
          </w:p>
        </w:tc>
        <w:tc>
          <w:tcPr>
            <w:tcW w:type="dxa" w:w="1728"/>
          </w:tcPr>
          <w:p>
            <w:r>
              <w:t>RPL-CS-PRO-007:1.1</w:t>
            </w:r>
          </w:p>
        </w:tc>
      </w:tr>
      <w:tr>
        <w:tc>
          <w:tcPr>
            <w:tcW w:type="dxa" w:w="1728"/>
          </w:tcPr>
          <w:p>
            <w:r>
              <w:t>RPL-CS-PRO-011</w:t>
            </w:r>
          </w:p>
        </w:tc>
        <w:tc>
          <w:tcPr>
            <w:tcW w:type="dxa" w:w="1728"/>
          </w:tcPr>
          <w:p>
            <w:r>
              <w:t>Customer Dispute Handling Procedure</w:t>
            </w:r>
          </w:p>
        </w:tc>
        <w:tc>
          <w:tcPr>
            <w:tcW w:type="dxa" w:w="1728"/>
          </w:tcPr>
          <w:p>
            <w:r>
              <w:t>170 IAC 16-1-3; 16-1-4; 16-1-5; 16-1-6; 16-1-7</w:t>
            </w:r>
          </w:p>
        </w:tc>
        <w:tc>
          <w:tcPr>
            <w:tcW w:type="dxa" w:w="1728"/>
          </w:tcPr>
          <w:p>
            <w:r>
              <w:t>OBL-2024-0061–0066</w:t>
            </w:r>
          </w:p>
        </w:tc>
        <w:tc>
          <w:tcPr>
            <w:tcW w:type="dxa" w:w="1728"/>
          </w:tcPr>
          <w:p>
            <w:r>
              <w:t>RPL-CS-PRO-011:1.1; 1.2; 10.1; 13.1</w:t>
            </w:r>
          </w:p>
        </w:tc>
      </w:tr>
      <w:tr>
        <w:tc>
          <w:tcPr>
            <w:tcW w:type="dxa" w:w="1728"/>
          </w:tcPr>
          <w:p>
            <w:r>
              <w:t>RPL-DO-PLN-002</w:t>
            </w:r>
          </w:p>
        </w:tc>
        <w:tc>
          <w:tcPr>
            <w:tcW w:type="dxa" w:w="1728"/>
          </w:tcPr>
          <w:p>
            <w:r>
              <w:t>Distribution Operations Plan</w:t>
            </w:r>
          </w:p>
        </w:tc>
        <w:tc>
          <w:tcPr>
            <w:tcW w:type="dxa" w:w="1728"/>
          </w:tcPr>
          <w:p>
            <w:r>
              <w:t>170 IAC 4-1-3; 4-1-19 through 4-1-22; 4-1-25</w:t>
            </w:r>
          </w:p>
        </w:tc>
        <w:tc>
          <w:tcPr>
            <w:tcW w:type="dxa" w:w="1728"/>
          </w:tcPr>
          <w:p>
            <w:r>
              <w:t>OBL-2024-0023; OBL-2024-0038–0041; OBL-2024-0044</w:t>
            </w:r>
          </w:p>
        </w:tc>
        <w:tc>
          <w:tcPr>
            <w:tcW w:type="dxa" w:w="1728"/>
          </w:tcPr>
          <w:p>
            <w:r>
              <w:t>RPL-DO-PLN-002:10; 10.1</w:t>
            </w:r>
          </w:p>
        </w:tc>
      </w:tr>
      <w:tr>
        <w:tc>
          <w:tcPr>
            <w:tcW w:type="dxa" w:w="1728"/>
          </w:tcPr>
          <w:p>
            <w:r>
              <w:t>RPL-MTR-PGM-001</w:t>
            </w:r>
          </w:p>
        </w:tc>
        <w:tc>
          <w:tcPr>
            <w:tcW w:type="dxa" w:w="1728"/>
          </w:tcPr>
          <w:p>
            <w:r>
              <w:t>Meter Management Program</w:t>
            </w:r>
          </w:p>
        </w:tc>
        <w:tc>
          <w:tcPr>
            <w:tcW w:type="dxa" w:w="1728"/>
          </w:tcPr>
          <w:p>
            <w:r>
              <w:t>170 IAC 4-1-4 through 4-1-10</w:t>
            </w:r>
          </w:p>
        </w:tc>
        <w:tc>
          <w:tcPr>
            <w:tcW w:type="dxa" w:w="1728"/>
          </w:tcPr>
          <w:p>
            <w:r>
              <w:t>OBL-2024-0024–0030</w:t>
            </w:r>
          </w:p>
        </w:tc>
        <w:tc>
          <w:tcPr>
            <w:tcW w:type="dxa" w:w="1728"/>
          </w:tcPr>
          <w:p>
            <w:r>
              <w:t>RPL-MTR-PGM-001:1; 10; 10.1</w:t>
            </w:r>
          </w:p>
        </w:tc>
      </w:tr>
      <w:tr>
        <w:tc>
          <w:tcPr>
            <w:tcW w:type="dxa" w:w="1728"/>
          </w:tcPr>
          <w:p>
            <w:r>
              <w:t>RPL-DCC-PRO-003</w:t>
            </w:r>
          </w:p>
        </w:tc>
        <w:tc>
          <w:tcPr>
            <w:tcW w:type="dxa" w:w="1728"/>
          </w:tcPr>
          <w:p>
            <w:r>
              <w:t>Distribution Control Center Procedure</w:t>
            </w:r>
          </w:p>
        </w:tc>
        <w:tc>
          <w:tcPr>
            <w:tcW w:type="dxa" w:w="1728"/>
          </w:tcPr>
          <w:p>
            <w:r>
              <w:t>170 IAC 4-1-23; 4-1-24</w:t>
            </w:r>
          </w:p>
        </w:tc>
        <w:tc>
          <w:tcPr>
            <w:tcW w:type="dxa" w:w="1728"/>
          </w:tcPr>
          <w:p>
            <w:r>
              <w:t>OBL-2024-0042–0043</w:t>
            </w:r>
          </w:p>
        </w:tc>
        <w:tc>
          <w:tcPr>
            <w:tcW w:type="dxa" w:w="1728"/>
          </w:tcPr>
          <w:p>
            <w:r>
              <w:t>RPL-DCC-PRO-003:10</w:t>
            </w:r>
          </w:p>
        </w:tc>
      </w:tr>
      <w:tr>
        <w:tc>
          <w:tcPr>
            <w:tcW w:type="dxa" w:w="1728"/>
          </w:tcPr>
          <w:p>
            <w:r>
              <w:t>RPL-ENV-PRO-005</w:t>
            </w:r>
          </w:p>
        </w:tc>
        <w:tc>
          <w:tcPr>
            <w:tcW w:type="dxa" w:w="1728"/>
          </w:tcPr>
          <w:p>
            <w:r>
              <w:t>Environmental and Vegetation Management Procedure</w:t>
            </w:r>
          </w:p>
        </w:tc>
        <w:tc>
          <w:tcPr>
            <w:tcW w:type="dxa" w:w="1728"/>
          </w:tcPr>
          <w:p>
            <w:r>
              <w:t>170 IAC 4-9-1 through 4-9-13</w:t>
            </w:r>
          </w:p>
        </w:tc>
        <w:tc>
          <w:tcPr>
            <w:tcW w:type="dxa" w:w="1728"/>
          </w:tcPr>
          <w:p>
            <w:r>
              <w:t>OBL-2024-0049–0060</w:t>
            </w:r>
          </w:p>
        </w:tc>
        <w:tc>
          <w:tcPr>
            <w:tcW w:type="dxa" w:w="1728"/>
          </w:tcPr>
          <w:p>
            <w:r>
              <w:t>RPL-ENV-PRO-005:1; 10</w:t>
            </w:r>
          </w:p>
        </w:tc>
      </w:tr>
      <w:tr>
        <w:tc>
          <w:tcPr>
            <w:tcW w:type="dxa" w:w="1728"/>
          </w:tcPr>
          <w:p>
            <w:r>
              <w:t>RPL-SAF-PRO-009</w:t>
            </w:r>
          </w:p>
        </w:tc>
        <w:tc>
          <w:tcPr>
            <w:tcW w:type="dxa" w:w="1728"/>
          </w:tcPr>
          <w:p>
            <w:r>
              <w:t>Safety and Accident Prevention Procedure</w:t>
            </w:r>
          </w:p>
        </w:tc>
        <w:tc>
          <w:tcPr>
            <w:tcW w:type="dxa" w:w="1728"/>
          </w:tcPr>
          <w:p>
            <w:r>
              <w:t>170 IAC 4-1-24; IC 8-1-2-114</w:t>
            </w:r>
          </w:p>
        </w:tc>
        <w:tc>
          <w:tcPr>
            <w:tcW w:type="dxa" w:w="1728"/>
          </w:tcPr>
          <w:p>
            <w:r>
              <w:t>OBL-2024-0043; OBL-2024-0070</w:t>
            </w:r>
          </w:p>
        </w:tc>
        <w:tc>
          <w:tcPr>
            <w:tcW w:type="dxa" w:w="1728"/>
          </w:tcPr>
          <w:p>
            <w:r>
              <w:t>RPL-SAF-PRO-009:1; 10; 11</w:t>
            </w:r>
          </w:p>
        </w:tc>
      </w:tr>
    </w:tbl>
    <w:p/>
    <w:p>
      <w:r>
        <w:rPr>
          <w:b/>
        </w:rPr>
        <w:t>11.3</w:t>
      </w:r>
      <w:r>
        <w:t xml:space="preserve"> Two obligations (OBL-2024-0022, 170 IAC 4-1-2 applicability; and OBL-2024-0067, IC 8-1-2-34.5 Consumer Affairs jurisdiction) are managed through program-level controls rather than a single dedicated Wave 2 procedure document, and accordingly have no `implementation_doc` entry. These are enterprise-level compliance posture obligations that are owned by the Regulatory Compliance function and evidenced through the Register itself.</w:t>
      </w:r>
    </w:p>
    <w:p>
      <w:r>
        <w:t>────────────────────────────────────────────────────────────</w:t>
      </w:r>
    </w:p>
    <w:p>
      <w:pPr>
        <w:pStyle w:val="Heading2"/>
      </w:pPr>
      <w:r>
        <w:t>Section 12 — Records and Retention</w:t>
      </w:r>
    </w:p>
    <w:p>
      <w:r>
        <w:rPr>
          <w:b/>
        </w:rPr>
        <w:t>12.1</w:t>
      </w:r>
      <w:r>
        <w:t xml:space="preserve"> RPL retains all compliance records in accordance with applicable IAC requirements. The base retention requirement under 170 IAC 4-1-3 is three years for all records required by IURC rules; longer periods apply where specified by other provisions or RPL's internal records retention schedule.</w:t>
      </w:r>
    </w:p>
    <w:p>
      <w:r>
        <w:rPr>
          <w:b/>
        </w:rPr>
        <w:t>12.2</w:t>
      </w:r>
      <w:r>
        <w:t xml:space="preserve"> This Register (including each historical version of the CSV file) is retained for seven years from the close of the calendar year of the version date, in alignment with IC 8-1-2-38 retention standards for tariff records. Historical versions are maintained in RPL's document management system under document ID RPL-CMP-REG-001.</w:t>
      </w:r>
    </w:p>
    <w:p>
      <w:r>
        <w:rPr>
          <w:b/>
        </w:rPr>
        <w:t>12.3</w:t>
      </w:r>
      <w:r>
        <w:t xml:space="preserve"> Supporting evidence for each obligation (test records, filing confirmations, training records, inspection reports, dispute resolution logs) is retained by the accountable owner's department in accordance with RPL's Records Retention Schedule. At minimum, records must be retained for three years (170 IAC 4-1-3) or until the next IURC inspection cycle, whichever is longer.</w:t>
      </w:r>
    </w:p>
    <w:p>
      <w:r>
        <w:rPr>
          <w:b/>
        </w:rPr>
        <w:t>12.4</w:t>
      </w:r>
      <w:r>
        <w:t xml:space="preserve"> Meter test records (170 IAC 4-1-4) are maintained in the MDMS and are available for the full operational life of each meter plus three years after retirement.</w:t>
      </w:r>
    </w:p>
    <w:p>
      <w:r>
        <w:t>────────────────────────────────────────────────────────────</w:t>
      </w:r>
    </w:p>
    <w:p>
      <w:pPr>
        <w:pStyle w:val="Heading2"/>
      </w:pPr>
      <w:r>
        <w:t>Section 13 — Training</w:t>
      </w:r>
    </w:p>
    <w:p>
      <w:r>
        <w:rPr>
          <w:b/>
        </w:rPr>
        <w:t>13.1</w:t>
      </w:r>
      <w:r>
        <w:t xml:space="preserve"> All RPL employees whose job duties directly affect compliance with an obligation in this Register must complete initial training on the applicable requirements before assuming those duties and annual refresher training thereafter. Training requirements are incorporated into RPL-SAF-PRO-009 (safety and accident reporting), RPL-CS-PRO-004 and RPL-CS-PRO-011 (customer service, billing, and dispute handling), RPL-ENV-PRO-005 (vegetation management), and RPL-MTR-PGM-001 (meter operations).</w:t>
      </w:r>
    </w:p>
    <w:p>
      <w:r>
        <w:rPr>
          <w:b/>
        </w:rPr>
        <w:t>13.2</w:t>
      </w:r>
      <w:r>
        <w:t xml:space="preserve"> The Manager of Regulatory Compliance (P09) maintains a training matrix cross-referencing each obligation to the roles required to be trained. Training records are retained in the HR system for five years. Training completion is verified as part of the annual Register review.</w:t>
      </w:r>
    </w:p>
    <w:p>
      <w:r>
        <w:rPr>
          <w:b/>
        </w:rPr>
        <w:t>13.3</w:t>
      </w:r>
      <w:r>
        <w:t xml:space="preserve"> When a regulatory change creates a new or modified obligation, the Manager of Regulatory Compliance coordinates with the relevant department heads to update training materials and deliver training before the rule's effective date. Contractors performing vegetation management or other field activities subject to IURC rules are required to complete equivalent training as a condition of their contracts.</w:t>
      </w:r>
    </w:p>
    <w:p>
      <w:r>
        <w:t>────────────────────────────────────────────────────────────</w:t>
      </w:r>
    </w:p>
    <w:p>
      <w:pPr>
        <w:pStyle w:val="Heading2"/>
      </w:pPr>
      <w:r>
        <w:t>Section 14 —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Description of Changes</w:t>
            </w:r>
          </w:p>
        </w:tc>
      </w:tr>
      <w:tr>
        <w:tc>
          <w:tcPr>
            <w:tcW w:type="dxa" w:w="2160"/>
          </w:tcPr>
          <w:p>
            <w:r>
              <w:t>1.0</w:t>
            </w:r>
          </w:p>
        </w:tc>
        <w:tc>
          <w:tcPr>
            <w:tcW w:type="dxa" w:w="2160"/>
          </w:tcPr>
          <w:p>
            <w:r>
              <w:t>2019-06-01</w:t>
            </w:r>
          </w:p>
        </w:tc>
        <w:tc>
          <w:tcPr>
            <w:tcW w:type="dxa" w:w="2160"/>
          </w:tcPr>
          <w:p>
            <w:r>
              <w:t>Regulatory Compliance</w:t>
            </w:r>
          </w:p>
        </w:tc>
        <w:tc>
          <w:tcPr>
            <w:tcW w:type="dxa" w:w="2160"/>
          </w:tcPr>
          <w:p>
            <w:r>
              <w:t>Initial issue. Register covers 170 IAC 4-1 electric service rules and 170 IAC 1-2 schedule filing rules. 28 obligations catalogued.</w:t>
            </w:r>
          </w:p>
        </w:tc>
      </w:tr>
      <w:tr>
        <w:tc>
          <w:tcPr>
            <w:tcW w:type="dxa" w:w="2160"/>
          </w:tcPr>
          <w:p>
            <w:r>
              <w:t>2.0</w:t>
            </w:r>
          </w:p>
        </w:tc>
        <w:tc>
          <w:tcPr>
            <w:tcW w:type="dxa" w:w="2160"/>
          </w:tcPr>
          <w:p>
            <w:r>
              <w:t>2021-03-01</w:t>
            </w:r>
          </w:p>
        </w:tc>
        <w:tc>
          <w:tcPr>
            <w:tcW w:type="dxa" w:w="2160"/>
          </w:tcPr>
          <w:p>
            <w:r>
              <w:t>Regulatory Compliance</w:t>
            </w:r>
          </w:p>
        </w:tc>
        <w:tc>
          <w:tcPr>
            <w:tcW w:type="dxa" w:w="2160"/>
          </w:tcPr>
          <w:p>
            <w:r>
              <w:t>Major revision. Added 170 IAC 1-5 rate case obligations and 170 IAC 4-9 vegetation management program. Obligation count expanded to 48. Updated to reflect 2021 IURC readoption of multiple rule sets.</w:t>
            </w:r>
          </w:p>
        </w:tc>
      </w:tr>
      <w:tr>
        <w:tc>
          <w:tcPr>
            <w:tcW w:type="dxa" w:w="2160"/>
          </w:tcPr>
          <w:p>
            <w:r>
              <w:t>3.0</w:t>
            </w:r>
          </w:p>
        </w:tc>
        <w:tc>
          <w:tcPr>
            <w:tcW w:type="dxa" w:w="2160"/>
          </w:tcPr>
          <w:p>
            <w:r>
              <w:t>2023-01-15</w:t>
            </w:r>
          </w:p>
        </w:tc>
        <w:tc>
          <w:tcPr>
            <w:tcW w:type="dxa" w:w="2160"/>
          </w:tcPr>
          <w:p>
            <w:r>
              <w:t>Regulatory Compliance</w:t>
            </w:r>
          </w:p>
        </w:tc>
        <w:tc>
          <w:tcPr>
            <w:tcW w:type="dxa" w:w="2160"/>
          </w:tcPr>
          <w:p>
            <w:r>
              <w:t>Added 170 IAC 16-1 customer dispute process obligations following IURC Consumer Affairs rulemaking. Added IC statutory obligations as discrete entries. Obligation count expanded to 62. Introduced Wave 2 implementation document cross-references.</w:t>
            </w:r>
          </w:p>
        </w:tc>
      </w:tr>
      <w:tr>
        <w:tc>
          <w:tcPr>
            <w:tcW w:type="dxa" w:w="2160"/>
          </w:tcPr>
          <w:p>
            <w:r>
              <w:t>3.2</w:t>
            </w:r>
          </w:p>
        </w:tc>
        <w:tc>
          <w:tcPr>
            <w:tcW w:type="dxa" w:w="2160"/>
          </w:tcPr>
          <w:p>
            <w:r>
              <w:t>2024-07-01</w:t>
            </w:r>
          </w:p>
        </w:tc>
        <w:tc>
          <w:tcPr>
            <w:tcW w:type="dxa" w:w="2160"/>
          </w:tcPr>
          <w:p>
            <w:r>
              <w:t>Regulatory Compliance</w:t>
            </w:r>
          </w:p>
        </w:tc>
        <w:tc>
          <w:tcPr>
            <w:tcW w:type="dxa" w:w="2160"/>
          </w:tcPr>
          <w:p>
            <w:r>
              <w:t>Mid-year update. Updated 170 IAC 1-6 obligations to reflect clean energy credit definition added to 170 IAC 1-6-2. Added three new obligation entries for 170 IAC 1-7 municipal annexation. Total obligation count 65. Updated implementation clauses following Wave 2 clause freeze.</w:t>
            </w:r>
          </w:p>
        </w:tc>
      </w:tr>
      <w:tr>
        <w:tc>
          <w:tcPr>
            <w:tcW w:type="dxa" w:w="2160"/>
          </w:tcPr>
          <w:p>
            <w:r>
              <w:t>4.0</w:t>
            </w:r>
          </w:p>
        </w:tc>
        <w:tc>
          <w:tcPr>
            <w:tcW w:type="dxa" w:w="2160"/>
          </w:tcPr>
          <w:p>
            <w:r>
              <w:t>2025-01-23</w:t>
            </w:r>
          </w:p>
        </w:tc>
        <w:tc>
          <w:tcPr>
            <w:tcW w:type="dxa" w:w="2160"/>
          </w:tcPr>
          <w:p>
            <w:r>
              <w:t>Marcus Lee (P09)</w:t>
            </w:r>
          </w:p>
        </w:tc>
        <w:tc>
          <w:tcPr>
            <w:tcW w:type="dxa" w:w="2160"/>
          </w:tcPr>
          <w:p>
            <w:r>
              <w:t>Annual update reflecting law as of 2024-12-31 (Snapshot S1). Obligation count expanded to 70. Full cross-reference to Wave 2 clause freeze file (frozen 2026-10-07). Updated basis.json and CSV data file. Note: O-3 date adjustment applied — approval and effective dates moved to 2025-01-23 per project O-3 directive (170 IAC 1-6-3/4/5 Snapshot S2 amendments effective 2025-01-24 are after this document's effective date and are not reflected in this version).</w:t>
            </w:r>
          </w:p>
        </w:tc>
      </w:tr>
    </w:tbl>
    <w:p/>
    <w:p>
      <w:r>
        <w:t>────────────────────────────────────────────────────────────</w:t>
      </w:r>
    </w:p>
    <w:p>
      <w:pPr>
        <w:pStyle w:val="Heading2"/>
      </w:pPr>
      <w:r>
        <w:t>Section 15 — Approval Block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Employee ID</w:t>
            </w:r>
          </w:p>
        </w:tc>
        <w:tc>
          <w:tcPr>
            <w:tcW w:type="dxa" w:w="2160"/>
          </w:tcPr>
          <w:p>
            <w:r>
              <w:rPr>
                <w:b/>
              </w:rPr>
              <w:t>Date</w:t>
            </w:r>
          </w:p>
        </w:tc>
      </w:tr>
      <w:tr>
        <w:tc>
          <w:tcPr>
            <w:tcW w:type="dxa" w:w="2160"/>
          </w:tcPr>
          <w:p>
            <w:r>
              <w:t>Prepared By</w:t>
            </w:r>
          </w:p>
        </w:tc>
        <w:tc>
          <w:tcPr>
            <w:tcW w:type="dxa" w:w="2160"/>
          </w:tcPr>
          <w:p>
            <w:r>
              <w:t>Marcus Lee</w:t>
            </w:r>
          </w:p>
        </w:tc>
        <w:tc>
          <w:tcPr>
            <w:tcW w:type="dxa" w:w="2160"/>
          </w:tcPr>
          <w:p>
            <w:r>
              <w:t>P09</w:t>
            </w:r>
          </w:p>
        </w:tc>
        <w:tc>
          <w:tcPr>
            <w:tcW w:type="dxa" w:w="2160"/>
          </w:tcPr>
          <w:p>
            <w:r>
              <w:t>2025-01-23</w:t>
            </w:r>
          </w:p>
        </w:tc>
      </w:tr>
      <w:tr>
        <w:tc>
          <w:tcPr>
            <w:tcW w:type="dxa" w:w="2160"/>
          </w:tcPr>
          <w:p>
            <w:r>
              <w:t>Reviewed By</w:t>
            </w:r>
          </w:p>
        </w:tc>
        <w:tc>
          <w:tcPr>
            <w:tcW w:type="dxa" w:w="2160"/>
          </w:tcPr>
          <w:p>
            <w:r>
              <w:t>Elena Vasquez</w:t>
            </w:r>
          </w:p>
        </w:tc>
        <w:tc>
          <w:tcPr>
            <w:tcW w:type="dxa" w:w="2160"/>
          </w:tcPr>
          <w:p>
            <w:r>
              <w:t>P08</w:t>
            </w:r>
          </w:p>
        </w:tc>
        <w:tc>
          <w:tcPr>
            <w:tcW w:type="dxa" w:w="2160"/>
          </w:tcPr>
          <w:p>
            <w:r>
              <w:t>2025-01-23</w:t>
            </w:r>
          </w:p>
        </w:tc>
      </w:tr>
      <w:tr>
        <w:tc>
          <w:tcPr>
            <w:tcW w:type="dxa" w:w="2160"/>
          </w:tcPr>
          <w:p>
            <w:r>
              <w:t>Approved By</w:t>
            </w:r>
          </w:p>
        </w:tc>
        <w:tc>
          <w:tcPr>
            <w:tcW w:type="dxa" w:w="2160"/>
          </w:tcPr>
          <w:p>
            <w:r>
              <w:t>Jonathan Pierce</w:t>
            </w:r>
          </w:p>
        </w:tc>
        <w:tc>
          <w:tcPr>
            <w:tcW w:type="dxa" w:w="2160"/>
          </w:tcPr>
          <w:p>
            <w:r>
              <w:t>P03</w:t>
            </w:r>
          </w:p>
        </w:tc>
        <w:tc>
          <w:tcPr>
            <w:tcW w:type="dxa" w:w="2160"/>
          </w:tcPr>
          <w:p>
            <w:r>
              <w:t>2025-01-23</w:t>
            </w:r>
          </w:p>
        </w:tc>
      </w:tr>
    </w:tbl>
    <w:p/>
    <w:p>
      <w:r>
        <w:t>This document is approved for distribution and is effective as of 2025-01-23. The next scheduled review is January 2026.</w:t>
      </w:r>
    </w:p>
    <w:p>
      <w:r>
        <w:t>────────────────────────────────────────────────────────────</w:t>
      </w:r>
    </w:p>
    <w:p>
      <w:pPr>
        <w:pStyle w:val="Heading2"/>
      </w:pPr>
      <w:r>
        <w:t>Appendix A — Compliance Register Excerpt: Top 20 Highest-Priority Obligations</w:t>
      </w:r>
    </w:p>
    <w:p>
      <w:r>
        <w:t>The following obligations are ranked P1 (highest priority) and represent the compliance areas with the greatest IURC enforcement exposure, customer impact, or direct statutory liability. All 20 are currently in `compliant` status as of 2024-12-31.</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Rank</w:t>
            </w:r>
          </w:p>
        </w:tc>
        <w:tc>
          <w:tcPr>
            <w:tcW w:type="dxa" w:w="1234"/>
          </w:tcPr>
          <w:p>
            <w:r>
              <w:rPr>
                <w:b/>
              </w:rPr>
              <w:t>Obligation ID</w:t>
            </w:r>
          </w:p>
        </w:tc>
        <w:tc>
          <w:tcPr>
            <w:tcW w:type="dxa" w:w="1234"/>
          </w:tcPr>
          <w:p>
            <w:r>
              <w:rPr>
                <w:b/>
              </w:rPr>
              <w:t>Citation</w:t>
            </w:r>
          </w:p>
        </w:tc>
        <w:tc>
          <w:tcPr>
            <w:tcW w:type="dxa" w:w="1234"/>
          </w:tcPr>
          <w:p>
            <w:r>
              <w:rPr>
                <w:b/>
              </w:rPr>
              <w:t>Title</w:t>
            </w:r>
          </w:p>
        </w:tc>
        <w:tc>
          <w:tcPr>
            <w:tcW w:type="dxa" w:w="1234"/>
          </w:tcPr>
          <w:p>
            <w:r>
              <w:rPr>
                <w:b/>
              </w:rPr>
              <w:t>Accountable Owner</w:t>
            </w:r>
          </w:p>
        </w:tc>
        <w:tc>
          <w:tcPr>
            <w:tcW w:type="dxa" w:w="1234"/>
          </w:tcPr>
          <w:p>
            <w:r>
              <w:rPr>
                <w:b/>
              </w:rPr>
              <w:t>Implementation Doc</w:t>
            </w:r>
          </w:p>
        </w:tc>
        <w:tc>
          <w:tcPr>
            <w:tcW w:type="dxa" w:w="1234"/>
          </w:tcPr>
          <w:p>
            <w:r>
              <w:rPr>
                <w:b/>
              </w:rPr>
              <w:t>Status</w:t>
            </w:r>
          </w:p>
        </w:tc>
      </w:tr>
      <w:tr>
        <w:tc>
          <w:tcPr>
            <w:tcW w:type="dxa" w:w="1234"/>
          </w:tcPr>
          <w:p>
            <w:r>
              <w:t>1</w:t>
            </w:r>
          </w:p>
        </w:tc>
        <w:tc>
          <w:tcPr>
            <w:tcW w:type="dxa" w:w="1234"/>
          </w:tcPr>
          <w:p>
            <w:r>
              <w:t>OBL-2024-0022</w:t>
            </w:r>
          </w:p>
        </w:tc>
        <w:tc>
          <w:tcPr>
            <w:tcW w:type="dxa" w:w="1234"/>
          </w:tcPr>
          <w:p>
            <w:r>
              <w:t>170 IAC 4-1-2</w:t>
            </w:r>
          </w:p>
        </w:tc>
        <w:tc>
          <w:tcPr>
            <w:tcW w:type="dxa" w:w="1234"/>
          </w:tcPr>
          <w:p>
            <w:r>
              <w:t>Applicability of IURC Electric Rules</w:t>
            </w:r>
          </w:p>
        </w:tc>
        <w:tc>
          <w:tcPr>
            <w:tcW w:type="dxa" w:w="1234"/>
          </w:tcPr>
          <w:p>
            <w:r>
              <w:t>P09</w:t>
            </w:r>
          </w:p>
        </w:tc>
        <w:tc>
          <w:tcPr>
            <w:tcW w:type="dxa" w:w="1234"/>
          </w:tcPr>
          <w:p>
            <w:r>
              <w:t>—</w:t>
            </w:r>
          </w:p>
        </w:tc>
        <w:tc>
          <w:tcPr>
            <w:tcW w:type="dxa" w:w="1234"/>
          </w:tcPr>
          <w:p>
            <w:r>
              <w:t>compliant</w:t>
            </w:r>
          </w:p>
        </w:tc>
      </w:tr>
      <w:tr>
        <w:tc>
          <w:tcPr>
            <w:tcW w:type="dxa" w:w="1234"/>
          </w:tcPr>
          <w:p>
            <w:r>
              <w:t>2</w:t>
            </w:r>
          </w:p>
        </w:tc>
        <w:tc>
          <w:tcPr>
            <w:tcW w:type="dxa" w:w="1234"/>
          </w:tcPr>
          <w:p>
            <w:r>
              <w:t>OBL-2024-0043</w:t>
            </w:r>
          </w:p>
        </w:tc>
        <w:tc>
          <w:tcPr>
            <w:tcW w:type="dxa" w:w="1234"/>
          </w:tcPr>
          <w:p>
            <w:r>
              <w:t>170 IAC 4-1-24</w:t>
            </w:r>
          </w:p>
        </w:tc>
        <w:tc>
          <w:tcPr>
            <w:tcW w:type="dxa" w:w="1234"/>
          </w:tcPr>
          <w:p>
            <w:r>
              <w:t>Accident Reports to IURC</w:t>
            </w:r>
          </w:p>
        </w:tc>
        <w:tc>
          <w:tcPr>
            <w:tcW w:type="dxa" w:w="1234"/>
          </w:tcPr>
          <w:p>
            <w:r>
              <w:t>P09</w:t>
            </w:r>
          </w:p>
        </w:tc>
        <w:tc>
          <w:tcPr>
            <w:tcW w:type="dxa" w:w="1234"/>
          </w:tcPr>
          <w:p>
            <w:r>
              <w:t>RPL-SAF-PRO-009</w:t>
            </w:r>
          </w:p>
        </w:tc>
        <w:tc>
          <w:tcPr>
            <w:tcW w:type="dxa" w:w="1234"/>
          </w:tcPr>
          <w:p>
            <w:r>
              <w:t>compliant</w:t>
            </w:r>
          </w:p>
        </w:tc>
      </w:tr>
      <w:tr>
        <w:tc>
          <w:tcPr>
            <w:tcW w:type="dxa" w:w="1234"/>
          </w:tcPr>
          <w:p>
            <w:r>
              <w:t>3</w:t>
            </w:r>
          </w:p>
        </w:tc>
        <w:tc>
          <w:tcPr>
            <w:tcW w:type="dxa" w:w="1234"/>
          </w:tcPr>
          <w:p>
            <w:r>
              <w:t>OBL-2024-0070</w:t>
            </w:r>
          </w:p>
        </w:tc>
        <w:tc>
          <w:tcPr>
            <w:tcW w:type="dxa" w:w="1234"/>
          </w:tcPr>
          <w:p>
            <w:r>
              <w:t>IC 8-1-2-114</w:t>
            </w:r>
          </w:p>
        </w:tc>
        <w:tc>
          <w:tcPr>
            <w:tcW w:type="dxa" w:w="1234"/>
          </w:tcPr>
          <w:p>
            <w:r>
              <w:t>Accident Reporting – Statutory</w:t>
            </w:r>
          </w:p>
        </w:tc>
        <w:tc>
          <w:tcPr>
            <w:tcW w:type="dxa" w:w="1234"/>
          </w:tcPr>
          <w:p>
            <w:r>
              <w:t>P09</w:t>
            </w:r>
          </w:p>
        </w:tc>
        <w:tc>
          <w:tcPr>
            <w:tcW w:type="dxa" w:w="1234"/>
          </w:tcPr>
          <w:p>
            <w:r>
              <w:t>RPL-SAF-PRO-009</w:t>
            </w:r>
          </w:p>
        </w:tc>
        <w:tc>
          <w:tcPr>
            <w:tcW w:type="dxa" w:w="1234"/>
          </w:tcPr>
          <w:p>
            <w:r>
              <w:t>compliant</w:t>
            </w:r>
          </w:p>
        </w:tc>
      </w:tr>
      <w:tr>
        <w:tc>
          <w:tcPr>
            <w:tcW w:type="dxa" w:w="1234"/>
          </w:tcPr>
          <w:p>
            <w:r>
              <w:t>4</w:t>
            </w:r>
          </w:p>
        </w:tc>
        <w:tc>
          <w:tcPr>
            <w:tcW w:type="dxa" w:w="1234"/>
          </w:tcPr>
          <w:p>
            <w:r>
              <w:t>OBL-2024-0036</w:t>
            </w:r>
          </w:p>
        </w:tc>
        <w:tc>
          <w:tcPr>
            <w:tcW w:type="dxa" w:w="1234"/>
          </w:tcPr>
          <w:p>
            <w:r>
              <w:t>170 IAC 4-1-16</w:t>
            </w:r>
          </w:p>
        </w:tc>
        <w:tc>
          <w:tcPr>
            <w:tcW w:type="dxa" w:w="1234"/>
          </w:tcPr>
          <w:p>
            <w:r>
              <w:t>Disconnection of Service Rules</w:t>
            </w:r>
          </w:p>
        </w:tc>
        <w:tc>
          <w:tcPr>
            <w:tcW w:type="dxa" w:w="1234"/>
          </w:tcPr>
          <w:p>
            <w:r>
              <w:t>P09</w:t>
            </w:r>
          </w:p>
        </w:tc>
        <w:tc>
          <w:tcPr>
            <w:tcW w:type="dxa" w:w="1234"/>
          </w:tcPr>
          <w:p>
            <w:r>
              <w:t>RPL-CS-PRO-004</w:t>
            </w:r>
          </w:p>
        </w:tc>
        <w:tc>
          <w:tcPr>
            <w:tcW w:type="dxa" w:w="1234"/>
          </w:tcPr>
          <w:p>
            <w:r>
              <w:t>compliant</w:t>
            </w:r>
          </w:p>
        </w:tc>
      </w:tr>
      <w:tr>
        <w:tc>
          <w:tcPr>
            <w:tcW w:type="dxa" w:w="1234"/>
          </w:tcPr>
          <w:p>
            <w:r>
              <w:t>5</w:t>
            </w:r>
          </w:p>
        </w:tc>
        <w:tc>
          <w:tcPr>
            <w:tcW w:type="dxa" w:w="1234"/>
          </w:tcPr>
          <w:p>
            <w:r>
              <w:t>OBL-2024-0035</w:t>
            </w:r>
          </w:p>
        </w:tc>
        <w:tc>
          <w:tcPr>
            <w:tcW w:type="dxa" w:w="1234"/>
          </w:tcPr>
          <w:p>
            <w:r>
              <w:t>170 IAC 4-1-15</w:t>
            </w:r>
          </w:p>
        </w:tc>
        <w:tc>
          <w:tcPr>
            <w:tcW w:type="dxa" w:w="1234"/>
          </w:tcPr>
          <w:p>
            <w:r>
              <w:t>Customer Creditworthiness and Deposits</w:t>
            </w:r>
          </w:p>
        </w:tc>
        <w:tc>
          <w:tcPr>
            <w:tcW w:type="dxa" w:w="1234"/>
          </w:tcPr>
          <w:p>
            <w:r>
              <w:t>P09</w:t>
            </w:r>
          </w:p>
        </w:tc>
        <w:tc>
          <w:tcPr>
            <w:tcW w:type="dxa" w:w="1234"/>
          </w:tcPr>
          <w:p>
            <w:r>
              <w:t>RPL-CS-PRO-004</w:t>
            </w:r>
          </w:p>
        </w:tc>
        <w:tc>
          <w:tcPr>
            <w:tcW w:type="dxa" w:w="1234"/>
          </w:tcPr>
          <w:p>
            <w:r>
              <w:t>compliant</w:t>
            </w:r>
          </w:p>
        </w:tc>
      </w:tr>
      <w:tr>
        <w:tc>
          <w:tcPr>
            <w:tcW w:type="dxa" w:w="1234"/>
          </w:tcPr>
          <w:p>
            <w:r>
              <w:t>6</w:t>
            </w:r>
          </w:p>
        </w:tc>
        <w:tc>
          <w:tcPr>
            <w:tcW w:type="dxa" w:w="1234"/>
          </w:tcPr>
          <w:p>
            <w:r>
              <w:t>OBL-2024-0033</w:t>
            </w:r>
          </w:p>
        </w:tc>
        <w:tc>
          <w:tcPr>
            <w:tcW w:type="dxa" w:w="1234"/>
          </w:tcPr>
          <w:p>
            <w:r>
              <w:t>170 IAC 4-1-13</w:t>
            </w:r>
          </w:p>
        </w:tc>
        <w:tc>
          <w:tcPr>
            <w:tcW w:type="dxa" w:w="1234"/>
          </w:tcPr>
          <w:p>
            <w:r>
              <w:t>Billing Information Requirements</w:t>
            </w:r>
          </w:p>
        </w:tc>
        <w:tc>
          <w:tcPr>
            <w:tcW w:type="dxa" w:w="1234"/>
          </w:tcPr>
          <w:p>
            <w:r>
              <w:t>P09</w:t>
            </w:r>
          </w:p>
        </w:tc>
        <w:tc>
          <w:tcPr>
            <w:tcW w:type="dxa" w:w="1234"/>
          </w:tcPr>
          <w:p>
            <w:r>
              <w:t>RPL-CS-PRO-004</w:t>
            </w:r>
          </w:p>
        </w:tc>
        <w:tc>
          <w:tcPr>
            <w:tcW w:type="dxa" w:w="1234"/>
          </w:tcPr>
          <w:p>
            <w:r>
              <w:t>compliant</w:t>
            </w:r>
          </w:p>
        </w:tc>
      </w:tr>
      <w:tr>
        <w:tc>
          <w:tcPr>
            <w:tcW w:type="dxa" w:w="1234"/>
          </w:tcPr>
          <w:p>
            <w:r>
              <w:t>7</w:t>
            </w:r>
          </w:p>
        </w:tc>
        <w:tc>
          <w:tcPr>
            <w:tcW w:type="dxa" w:w="1234"/>
          </w:tcPr>
          <w:p>
            <w:r>
              <w:t>OBL-2024-0034</w:t>
            </w:r>
          </w:p>
        </w:tc>
        <w:tc>
          <w:tcPr>
            <w:tcW w:type="dxa" w:w="1234"/>
          </w:tcPr>
          <w:p>
            <w:r>
              <w:t>170 IAC 4-1-14</w:t>
            </w:r>
          </w:p>
        </w:tc>
        <w:tc>
          <w:tcPr>
            <w:tcW w:type="dxa" w:w="1234"/>
          </w:tcPr>
          <w:p>
            <w:r>
              <w:t>Billing Adjustment for Meter Error</w:t>
            </w:r>
          </w:p>
        </w:tc>
        <w:tc>
          <w:tcPr>
            <w:tcW w:type="dxa" w:w="1234"/>
          </w:tcPr>
          <w:p>
            <w:r>
              <w:t>P09</w:t>
            </w:r>
          </w:p>
        </w:tc>
        <w:tc>
          <w:tcPr>
            <w:tcW w:type="dxa" w:w="1234"/>
          </w:tcPr>
          <w:p>
            <w:r>
              <w:t>RPL-CS-PRO-004</w:t>
            </w:r>
          </w:p>
        </w:tc>
        <w:tc>
          <w:tcPr>
            <w:tcW w:type="dxa" w:w="1234"/>
          </w:tcPr>
          <w:p>
            <w:r>
              <w:t>compliant</w:t>
            </w:r>
          </w:p>
        </w:tc>
      </w:tr>
      <w:tr>
        <w:tc>
          <w:tcPr>
            <w:tcW w:type="dxa" w:w="1234"/>
          </w:tcPr>
          <w:p>
            <w:r>
              <w:t>8</w:t>
            </w:r>
          </w:p>
        </w:tc>
        <w:tc>
          <w:tcPr>
            <w:tcW w:type="dxa" w:w="1234"/>
          </w:tcPr>
          <w:p>
            <w:r>
              <w:t>OBL-2024-0048</w:t>
            </w:r>
          </w:p>
        </w:tc>
        <w:tc>
          <w:tcPr>
            <w:tcW w:type="dxa" w:w="1234"/>
          </w:tcPr>
          <w:p>
            <w:r>
              <w:t>170 IAC 4-1-29</w:t>
            </w:r>
          </w:p>
        </w:tc>
        <w:tc>
          <w:tcPr>
            <w:tcW w:type="dxa" w:w="1234"/>
          </w:tcPr>
          <w:p>
            <w:r>
              <w:t>Rate Schedules Public Inspection</w:t>
            </w:r>
          </w:p>
        </w:tc>
        <w:tc>
          <w:tcPr>
            <w:tcW w:type="dxa" w:w="1234"/>
          </w:tcPr>
          <w:p>
            <w:r>
              <w:t>P09</w:t>
            </w:r>
          </w:p>
        </w:tc>
        <w:tc>
          <w:tcPr>
            <w:tcW w:type="dxa" w:w="1234"/>
          </w:tcPr>
          <w:p>
            <w:r>
              <w:t>RPL-TAR-GRR-012</w:t>
            </w:r>
          </w:p>
        </w:tc>
        <w:tc>
          <w:tcPr>
            <w:tcW w:type="dxa" w:w="1234"/>
          </w:tcPr>
          <w:p>
            <w:r>
              <w:t>compliant</w:t>
            </w:r>
          </w:p>
        </w:tc>
      </w:tr>
      <w:tr>
        <w:tc>
          <w:tcPr>
            <w:tcW w:type="dxa" w:w="1234"/>
          </w:tcPr>
          <w:p>
            <w:r>
              <w:t>9</w:t>
            </w:r>
          </w:p>
        </w:tc>
        <w:tc>
          <w:tcPr>
            <w:tcW w:type="dxa" w:w="1234"/>
          </w:tcPr>
          <w:p>
            <w:r>
              <w:t>OBL-2024-0028</w:t>
            </w:r>
          </w:p>
        </w:tc>
        <w:tc>
          <w:tcPr>
            <w:tcW w:type="dxa" w:w="1234"/>
          </w:tcPr>
          <w:p>
            <w:r>
              <w:t>170 IAC 4-1-8</w:t>
            </w:r>
          </w:p>
        </w:tc>
        <w:tc>
          <w:tcPr>
            <w:tcW w:type="dxa" w:w="1234"/>
          </w:tcPr>
          <w:p>
            <w:r>
              <w:t>Average Accuracy of Watthour Meters</w:t>
            </w:r>
          </w:p>
        </w:tc>
        <w:tc>
          <w:tcPr>
            <w:tcW w:type="dxa" w:w="1234"/>
          </w:tcPr>
          <w:p>
            <w:r>
              <w:t>P09</w:t>
            </w:r>
          </w:p>
        </w:tc>
        <w:tc>
          <w:tcPr>
            <w:tcW w:type="dxa" w:w="1234"/>
          </w:tcPr>
          <w:p>
            <w:r>
              <w:t>RPL-MTR-PGM-001</w:t>
            </w:r>
          </w:p>
        </w:tc>
        <w:tc>
          <w:tcPr>
            <w:tcW w:type="dxa" w:w="1234"/>
          </w:tcPr>
          <w:p>
            <w:r>
              <w:t>compliant</w:t>
            </w:r>
          </w:p>
        </w:tc>
      </w:tr>
      <w:tr>
        <w:tc>
          <w:tcPr>
            <w:tcW w:type="dxa" w:w="1234"/>
          </w:tcPr>
          <w:p>
            <w:r>
              <w:t>10</w:t>
            </w:r>
          </w:p>
        </w:tc>
        <w:tc>
          <w:tcPr>
            <w:tcW w:type="dxa" w:w="1234"/>
          </w:tcPr>
          <w:p>
            <w:r>
              <w:t>OBL-2024-0029</w:t>
            </w:r>
          </w:p>
        </w:tc>
        <w:tc>
          <w:tcPr>
            <w:tcW w:type="dxa" w:w="1234"/>
          </w:tcPr>
          <w:p>
            <w:r>
              <w:t>170 IAC 4-1-9</w:t>
            </w:r>
          </w:p>
        </w:tc>
        <w:tc>
          <w:tcPr>
            <w:tcW w:type="dxa" w:w="1234"/>
          </w:tcPr>
          <w:p>
            <w:r>
              <w:t>Accuracy of Meters</w:t>
            </w:r>
          </w:p>
        </w:tc>
        <w:tc>
          <w:tcPr>
            <w:tcW w:type="dxa" w:w="1234"/>
          </w:tcPr>
          <w:p>
            <w:r>
              <w:t>P09</w:t>
            </w:r>
          </w:p>
        </w:tc>
        <w:tc>
          <w:tcPr>
            <w:tcW w:type="dxa" w:w="1234"/>
          </w:tcPr>
          <w:p>
            <w:r>
              <w:t>RPL-MTR-PGM-001</w:t>
            </w:r>
          </w:p>
        </w:tc>
        <w:tc>
          <w:tcPr>
            <w:tcW w:type="dxa" w:w="1234"/>
          </w:tcPr>
          <w:p>
            <w:r>
              <w:t>compliant</w:t>
            </w:r>
          </w:p>
        </w:tc>
      </w:tr>
      <w:tr>
        <w:tc>
          <w:tcPr>
            <w:tcW w:type="dxa" w:w="1234"/>
          </w:tcPr>
          <w:p>
            <w:r>
              <w:t>11</w:t>
            </w:r>
          </w:p>
        </w:tc>
        <w:tc>
          <w:tcPr>
            <w:tcW w:type="dxa" w:w="1234"/>
          </w:tcPr>
          <w:p>
            <w:r>
              <w:t>OBL-2024-0042</w:t>
            </w:r>
          </w:p>
        </w:tc>
        <w:tc>
          <w:tcPr>
            <w:tcW w:type="dxa" w:w="1234"/>
          </w:tcPr>
          <w:p>
            <w:r>
              <w:t>170 IAC 4-1-23</w:t>
            </w:r>
          </w:p>
        </w:tc>
        <w:tc>
          <w:tcPr>
            <w:tcW w:type="dxa" w:w="1234"/>
          </w:tcPr>
          <w:p>
            <w:r>
              <w:t>Service Interruption Reporting and Records</w:t>
            </w:r>
          </w:p>
        </w:tc>
        <w:tc>
          <w:tcPr>
            <w:tcW w:type="dxa" w:w="1234"/>
          </w:tcPr>
          <w:p>
            <w:r>
              <w:t>P09</w:t>
            </w:r>
          </w:p>
        </w:tc>
        <w:tc>
          <w:tcPr>
            <w:tcW w:type="dxa" w:w="1234"/>
          </w:tcPr>
          <w:p>
            <w:r>
              <w:t>RPL-DCC-PRO-003</w:t>
            </w:r>
          </w:p>
        </w:tc>
        <w:tc>
          <w:tcPr>
            <w:tcW w:type="dxa" w:w="1234"/>
          </w:tcPr>
          <w:p>
            <w:r>
              <w:t>compliant</w:t>
            </w:r>
          </w:p>
        </w:tc>
      </w:tr>
      <w:tr>
        <w:tc>
          <w:tcPr>
            <w:tcW w:type="dxa" w:w="1234"/>
          </w:tcPr>
          <w:p>
            <w:r>
              <w:t>12</w:t>
            </w:r>
          </w:p>
        </w:tc>
        <w:tc>
          <w:tcPr>
            <w:tcW w:type="dxa" w:w="1234"/>
          </w:tcPr>
          <w:p>
            <w:r>
              <w:t>OBL-2024-0045</w:t>
            </w:r>
          </w:p>
        </w:tc>
        <w:tc>
          <w:tcPr>
            <w:tcW w:type="dxa" w:w="1234"/>
          </w:tcPr>
          <w:p>
            <w:r>
              <w:t>170 IAC 4-1-26</w:t>
            </w:r>
          </w:p>
        </w:tc>
        <w:tc>
          <w:tcPr>
            <w:tcW w:type="dxa" w:w="1234"/>
          </w:tcPr>
          <w:p>
            <w:r>
              <w:t>Line Construction Standards (NESC)</w:t>
            </w:r>
          </w:p>
        </w:tc>
        <w:tc>
          <w:tcPr>
            <w:tcW w:type="dxa" w:w="1234"/>
          </w:tcPr>
          <w:p>
            <w:r>
              <w:t>P09</w:t>
            </w:r>
          </w:p>
        </w:tc>
        <w:tc>
          <w:tcPr>
            <w:tcW w:type="dxa" w:w="1234"/>
          </w:tcPr>
          <w:p>
            <w:r>
              <w:t>RPL-DO-PLN-002</w:t>
            </w:r>
          </w:p>
        </w:tc>
        <w:tc>
          <w:tcPr>
            <w:tcW w:type="dxa" w:w="1234"/>
          </w:tcPr>
          <w:p>
            <w:r>
              <w:t>compliant</w:t>
            </w:r>
          </w:p>
        </w:tc>
      </w:tr>
      <w:tr>
        <w:tc>
          <w:tcPr>
            <w:tcW w:type="dxa" w:w="1234"/>
          </w:tcPr>
          <w:p>
            <w:r>
              <w:t>13</w:t>
            </w:r>
          </w:p>
        </w:tc>
        <w:tc>
          <w:tcPr>
            <w:tcW w:type="dxa" w:w="1234"/>
          </w:tcPr>
          <w:p>
            <w:r>
              <w:t>OBL-2024-0061</w:t>
            </w:r>
          </w:p>
        </w:tc>
        <w:tc>
          <w:tcPr>
            <w:tcW w:type="dxa" w:w="1234"/>
          </w:tcPr>
          <w:p>
            <w:r>
              <w:t>170 IAC 16-1-1</w:t>
            </w:r>
          </w:p>
        </w:tc>
        <w:tc>
          <w:tcPr>
            <w:tcW w:type="dxa" w:w="1234"/>
          </w:tcPr>
          <w:p>
            <w:r>
              <w:t>Customer Dispute Process Applicability</w:t>
            </w:r>
          </w:p>
        </w:tc>
        <w:tc>
          <w:tcPr>
            <w:tcW w:type="dxa" w:w="1234"/>
          </w:tcPr>
          <w:p>
            <w:r>
              <w:t>P09</w:t>
            </w:r>
          </w:p>
        </w:tc>
        <w:tc>
          <w:tcPr>
            <w:tcW w:type="dxa" w:w="1234"/>
          </w:tcPr>
          <w:p>
            <w:r>
              <w:t>RPL-CS-PRO-011</w:t>
            </w:r>
          </w:p>
        </w:tc>
        <w:tc>
          <w:tcPr>
            <w:tcW w:type="dxa" w:w="1234"/>
          </w:tcPr>
          <w:p>
            <w:r>
              <w:t>compliant</w:t>
            </w:r>
          </w:p>
        </w:tc>
      </w:tr>
      <w:tr>
        <w:tc>
          <w:tcPr>
            <w:tcW w:type="dxa" w:w="1234"/>
          </w:tcPr>
          <w:p>
            <w:r>
              <w:t>14</w:t>
            </w:r>
          </w:p>
        </w:tc>
        <w:tc>
          <w:tcPr>
            <w:tcW w:type="dxa" w:w="1234"/>
          </w:tcPr>
          <w:p>
            <w:r>
              <w:t>OBL-2024-0062</w:t>
            </w:r>
          </w:p>
        </w:tc>
        <w:tc>
          <w:tcPr>
            <w:tcW w:type="dxa" w:w="1234"/>
          </w:tcPr>
          <w:p>
            <w:r>
              <w:t>170 IAC 16-1-3</w:t>
            </w:r>
          </w:p>
        </w:tc>
        <w:tc>
          <w:tcPr>
            <w:tcW w:type="dxa" w:w="1234"/>
          </w:tcPr>
          <w:p>
            <w:r>
              <w:t>Customer Dispute Time Periods</w:t>
            </w:r>
          </w:p>
        </w:tc>
        <w:tc>
          <w:tcPr>
            <w:tcW w:type="dxa" w:w="1234"/>
          </w:tcPr>
          <w:p>
            <w:r>
              <w:t>P09</w:t>
            </w:r>
          </w:p>
        </w:tc>
        <w:tc>
          <w:tcPr>
            <w:tcW w:type="dxa" w:w="1234"/>
          </w:tcPr>
          <w:p>
            <w:r>
              <w:t>RPL-CS-PRO-011</w:t>
            </w:r>
          </w:p>
        </w:tc>
        <w:tc>
          <w:tcPr>
            <w:tcW w:type="dxa" w:w="1234"/>
          </w:tcPr>
          <w:p>
            <w:r>
              <w:t>compliant</w:t>
            </w:r>
          </w:p>
        </w:tc>
      </w:tr>
      <w:tr>
        <w:tc>
          <w:tcPr>
            <w:tcW w:type="dxa" w:w="1234"/>
          </w:tcPr>
          <w:p>
            <w:r>
              <w:t>15</w:t>
            </w:r>
          </w:p>
        </w:tc>
        <w:tc>
          <w:tcPr>
            <w:tcW w:type="dxa" w:w="1234"/>
          </w:tcPr>
          <w:p>
            <w:r>
              <w:t>OBL-2024-0063</w:t>
            </w:r>
          </w:p>
        </w:tc>
        <w:tc>
          <w:tcPr>
            <w:tcW w:type="dxa" w:w="1234"/>
          </w:tcPr>
          <w:p>
            <w:r>
              <w:t>170 IAC 16-1-4</w:t>
            </w:r>
          </w:p>
        </w:tc>
        <w:tc>
          <w:tcPr>
            <w:tcW w:type="dxa" w:w="1234"/>
          </w:tcPr>
          <w:p>
            <w:r>
              <w:t>Utility Dispute Response Mechanisms</w:t>
            </w:r>
          </w:p>
        </w:tc>
        <w:tc>
          <w:tcPr>
            <w:tcW w:type="dxa" w:w="1234"/>
          </w:tcPr>
          <w:p>
            <w:r>
              <w:t>P09</w:t>
            </w:r>
          </w:p>
        </w:tc>
        <w:tc>
          <w:tcPr>
            <w:tcW w:type="dxa" w:w="1234"/>
          </w:tcPr>
          <w:p>
            <w:r>
              <w:t>RPL-CS-PRO-011</w:t>
            </w:r>
          </w:p>
        </w:tc>
        <w:tc>
          <w:tcPr>
            <w:tcW w:type="dxa" w:w="1234"/>
          </w:tcPr>
          <w:p>
            <w:r>
              <w:t>compliant</w:t>
            </w:r>
          </w:p>
        </w:tc>
      </w:tr>
      <w:tr>
        <w:tc>
          <w:tcPr>
            <w:tcW w:type="dxa" w:w="1234"/>
          </w:tcPr>
          <w:p>
            <w:r>
              <w:t>16</w:t>
            </w:r>
          </w:p>
        </w:tc>
        <w:tc>
          <w:tcPr>
            <w:tcW w:type="dxa" w:w="1234"/>
          </w:tcPr>
          <w:p>
            <w:r>
              <w:t>OBL-2024-0066</w:t>
            </w:r>
          </w:p>
        </w:tc>
        <w:tc>
          <w:tcPr>
            <w:tcW w:type="dxa" w:w="1234"/>
          </w:tcPr>
          <w:p>
            <w:r>
              <w:t>170 IAC 16-1-7</w:t>
            </w:r>
          </w:p>
        </w:tc>
        <w:tc>
          <w:tcPr>
            <w:tcW w:type="dxa" w:w="1234"/>
          </w:tcPr>
          <w:p>
            <w:r>
              <w:t>Utility Information During Dispute</w:t>
            </w:r>
          </w:p>
        </w:tc>
        <w:tc>
          <w:tcPr>
            <w:tcW w:type="dxa" w:w="1234"/>
          </w:tcPr>
          <w:p>
            <w:r>
              <w:t>P09</w:t>
            </w:r>
          </w:p>
        </w:tc>
        <w:tc>
          <w:tcPr>
            <w:tcW w:type="dxa" w:w="1234"/>
          </w:tcPr>
          <w:p>
            <w:r>
              <w:t>RPL-CS-PRO-011</w:t>
            </w:r>
          </w:p>
        </w:tc>
        <w:tc>
          <w:tcPr>
            <w:tcW w:type="dxa" w:w="1234"/>
          </w:tcPr>
          <w:p>
            <w:r>
              <w:t>compliant</w:t>
            </w:r>
          </w:p>
        </w:tc>
      </w:tr>
      <w:tr>
        <w:tc>
          <w:tcPr>
            <w:tcW w:type="dxa" w:w="1234"/>
          </w:tcPr>
          <w:p>
            <w:r>
              <w:t>17</w:t>
            </w:r>
          </w:p>
        </w:tc>
        <w:tc>
          <w:tcPr>
            <w:tcW w:type="dxa" w:w="1234"/>
          </w:tcPr>
          <w:p>
            <w:r>
              <w:t>OBL-2024-0019</w:t>
            </w:r>
          </w:p>
        </w:tc>
        <w:tc>
          <w:tcPr>
            <w:tcW w:type="dxa" w:w="1234"/>
          </w:tcPr>
          <w:p>
            <w:r>
              <w:t>170 IAC 1-6-4</w:t>
            </w:r>
          </w:p>
        </w:tc>
        <w:tc>
          <w:tcPr>
            <w:tcW w:type="dxa" w:w="1234"/>
          </w:tcPr>
          <w:p>
            <w:r>
              <w:t>Prohibited 30-Day Filings</w:t>
            </w:r>
          </w:p>
        </w:tc>
        <w:tc>
          <w:tcPr>
            <w:tcW w:type="dxa" w:w="1234"/>
          </w:tcPr>
          <w:p>
            <w:r>
              <w:t>P09</w:t>
            </w:r>
          </w:p>
        </w:tc>
        <w:tc>
          <w:tcPr>
            <w:tcW w:type="dxa" w:w="1234"/>
          </w:tcPr>
          <w:p>
            <w:r>
              <w:t>RPL-TAR-GRR-012</w:t>
            </w:r>
          </w:p>
        </w:tc>
        <w:tc>
          <w:tcPr>
            <w:tcW w:type="dxa" w:w="1234"/>
          </w:tcPr>
          <w:p>
            <w:r>
              <w:t>compliant</w:t>
            </w:r>
          </w:p>
        </w:tc>
      </w:tr>
      <w:tr>
        <w:tc>
          <w:tcPr>
            <w:tcW w:type="dxa" w:w="1234"/>
          </w:tcPr>
          <w:p>
            <w:r>
              <w:t>18</w:t>
            </w:r>
          </w:p>
        </w:tc>
        <w:tc>
          <w:tcPr>
            <w:tcW w:type="dxa" w:w="1234"/>
          </w:tcPr>
          <w:p>
            <w:r>
              <w:t>OBL-2024-0009</w:t>
            </w:r>
          </w:p>
        </w:tc>
        <w:tc>
          <w:tcPr>
            <w:tcW w:type="dxa" w:w="1234"/>
          </w:tcPr>
          <w:p>
            <w:r>
              <w:t>170 IAC 1-5-2</w:t>
            </w:r>
          </w:p>
        </w:tc>
        <w:tc>
          <w:tcPr>
            <w:tcW w:type="dxa" w:w="1234"/>
          </w:tcPr>
          <w:p>
            <w:r>
              <w:t>General Rate Case Expedited Procedures</w:t>
            </w:r>
          </w:p>
        </w:tc>
        <w:tc>
          <w:tcPr>
            <w:tcW w:type="dxa" w:w="1234"/>
          </w:tcPr>
          <w:p>
            <w:r>
              <w:t>P08</w:t>
            </w:r>
          </w:p>
        </w:tc>
        <w:tc>
          <w:tcPr>
            <w:tcW w:type="dxa" w:w="1234"/>
          </w:tcPr>
          <w:p>
            <w:r>
              <w:t>RPL-TAR-GRR-012</w:t>
            </w:r>
          </w:p>
        </w:tc>
        <w:tc>
          <w:tcPr>
            <w:tcW w:type="dxa" w:w="1234"/>
          </w:tcPr>
          <w:p>
            <w:r>
              <w:t>compliant</w:t>
            </w:r>
          </w:p>
        </w:tc>
      </w:tr>
      <w:tr>
        <w:tc>
          <w:tcPr>
            <w:tcW w:type="dxa" w:w="1234"/>
          </w:tcPr>
          <w:p>
            <w:r>
              <w:t>19</w:t>
            </w:r>
          </w:p>
        </w:tc>
        <w:tc>
          <w:tcPr>
            <w:tcW w:type="dxa" w:w="1234"/>
          </w:tcPr>
          <w:p>
            <w:r>
              <w:t>OBL-2024-0010</w:t>
            </w:r>
          </w:p>
        </w:tc>
        <w:tc>
          <w:tcPr>
            <w:tcW w:type="dxa" w:w="1234"/>
          </w:tcPr>
          <w:p>
            <w:r>
              <w:t>170 IAC 1-5-4</w:t>
            </w:r>
          </w:p>
        </w:tc>
        <w:tc>
          <w:tcPr>
            <w:tcW w:type="dxa" w:w="1234"/>
          </w:tcPr>
          <w:p>
            <w:r>
              <w:t>Case-in-Chief Filing Compliance</w:t>
            </w:r>
          </w:p>
        </w:tc>
        <w:tc>
          <w:tcPr>
            <w:tcW w:type="dxa" w:w="1234"/>
          </w:tcPr>
          <w:p>
            <w:r>
              <w:t>P08</w:t>
            </w:r>
          </w:p>
        </w:tc>
        <w:tc>
          <w:tcPr>
            <w:tcW w:type="dxa" w:w="1234"/>
          </w:tcPr>
          <w:p>
            <w:r>
              <w:t>RPL-TAR-GRR-012</w:t>
            </w:r>
          </w:p>
        </w:tc>
        <w:tc>
          <w:tcPr>
            <w:tcW w:type="dxa" w:w="1234"/>
          </w:tcPr>
          <w:p>
            <w:r>
              <w:t>compliant</w:t>
            </w:r>
          </w:p>
        </w:tc>
      </w:tr>
      <w:tr>
        <w:tc>
          <w:tcPr>
            <w:tcW w:type="dxa" w:w="1234"/>
          </w:tcPr>
          <w:p>
            <w:r>
              <w:t>20</w:t>
            </w:r>
          </w:p>
        </w:tc>
        <w:tc>
          <w:tcPr>
            <w:tcW w:type="dxa" w:w="1234"/>
          </w:tcPr>
          <w:p>
            <w:r>
              <w:t>OBL-2024-0067</w:t>
            </w:r>
          </w:p>
        </w:tc>
        <w:tc>
          <w:tcPr>
            <w:tcW w:type="dxa" w:w="1234"/>
          </w:tcPr>
          <w:p>
            <w:r>
              <w:t>IC 8-1-2-34.5</w:t>
            </w:r>
          </w:p>
        </w:tc>
        <w:tc>
          <w:tcPr>
            <w:tcW w:type="dxa" w:w="1234"/>
          </w:tcPr>
          <w:p>
            <w:r>
              <w:t>IURC Consumer Affairs Jurisdiction</w:t>
            </w:r>
          </w:p>
        </w:tc>
        <w:tc>
          <w:tcPr>
            <w:tcW w:type="dxa" w:w="1234"/>
          </w:tcPr>
          <w:p>
            <w:r>
              <w:t>P08</w:t>
            </w:r>
          </w:p>
        </w:tc>
        <w:tc>
          <w:tcPr>
            <w:tcW w:type="dxa" w:w="1234"/>
          </w:tcPr>
          <w:p>
            <w:r>
              <w:t>—</w:t>
            </w:r>
          </w:p>
        </w:tc>
        <w:tc>
          <w:tcPr>
            <w:tcW w:type="dxa" w:w="1234"/>
          </w:tcPr>
          <w:p>
            <w:r>
              <w:t>compliant</w:t>
            </w:r>
          </w:p>
        </w:tc>
      </w:tr>
    </w:tbl>
    <w:p/>
    <w:p>
      <w:r>
        <w:t>────────────────────────────────────────────────────────────</w:t>
      </w:r>
    </w:p>
    <w:p>
      <w:pPr>
        <w:pStyle w:val="Heading2"/>
      </w:pPr>
      <w:r>
        <w:t>Appendix B — Regulatory Change Log: Q3–Q4 2024</w:t>
      </w:r>
    </w:p>
    <w:p>
      <w:r>
        <w:t>The following table documents regulatory changes monitored during Q3 and Q4 2024 and their impact on RPL's compliance obligations.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Date</w:t>
            </w:r>
          </w:p>
        </w:tc>
        <w:tc>
          <w:tcPr>
            <w:tcW w:type="dxa" w:w="1440"/>
          </w:tcPr>
          <w:p>
            <w:r>
              <w:rPr>
                <w:b/>
              </w:rPr>
              <w:t>Citation</w:t>
            </w:r>
          </w:p>
        </w:tc>
        <w:tc>
          <w:tcPr>
            <w:tcW w:type="dxa" w:w="1440"/>
          </w:tcPr>
          <w:p>
            <w:r>
              <w:rPr>
                <w:b/>
              </w:rPr>
              <w:t>Change Type</w:t>
            </w:r>
          </w:p>
        </w:tc>
        <w:tc>
          <w:tcPr>
            <w:tcW w:type="dxa" w:w="1440"/>
          </w:tcPr>
          <w:p>
            <w:r>
              <w:rPr>
                <w:b/>
              </w:rPr>
              <w:t>Description</w:t>
            </w:r>
          </w:p>
        </w:tc>
        <w:tc>
          <w:tcPr>
            <w:tcW w:type="dxa" w:w="1440"/>
          </w:tcPr>
          <w:p>
            <w:r>
              <w:rPr>
                <w:b/>
              </w:rPr>
              <w:t>Obligations Affected</w:t>
            </w:r>
          </w:p>
        </w:tc>
        <w:tc>
          <w:tcPr>
            <w:tcW w:type="dxa" w:w="1440"/>
          </w:tcPr>
          <w:p>
            <w:r>
              <w:rPr>
                <w:b/>
              </w:rPr>
              <w:t>Impact on RPL</w:t>
            </w:r>
          </w:p>
        </w:tc>
      </w:tr>
      <w:tr>
        <w:tc>
          <w:tcPr>
            <w:tcW w:type="dxa" w:w="1440"/>
          </w:tcPr>
          <w:p>
            <w:r>
              <w:t>2024-07-11</w:t>
            </w:r>
          </w:p>
        </w:tc>
        <w:tc>
          <w:tcPr>
            <w:tcW w:type="dxa" w:w="1440"/>
          </w:tcPr>
          <w:p>
            <w:r>
              <w:t>170 IAC 1-6-2</w:t>
            </w:r>
          </w:p>
        </w:tc>
        <w:tc>
          <w:tcPr>
            <w:tcW w:type="dxa" w:w="1440"/>
          </w:tcPr>
          <w:p>
            <w:r>
              <w:t>Amendment</w:t>
            </w:r>
          </w:p>
        </w:tc>
        <w:tc>
          <w:tcPr>
            <w:tcW w:type="dxa" w:w="1440"/>
          </w:tcPr>
          <w:p>
            <w:r>
              <w:t>Clean energy credit definition added to 30-day filing rule definitions; aligns with 170 IAC 17.1-2-5 definition of clean energy.</w:t>
            </w:r>
          </w:p>
        </w:tc>
        <w:tc>
          <w:tcPr>
            <w:tcW w:type="dxa" w:w="1440"/>
          </w:tcPr>
          <w:p>
            <w:r>
              <w:t>OBL-2024-0018, OBL-2024-0019, OBL-2024-0020</w:t>
            </w:r>
          </w:p>
        </w:tc>
        <w:tc>
          <w:tcPr>
            <w:tcW w:type="dxa" w:w="1440"/>
          </w:tcPr>
          <w:p>
            <w:r>
              <w:t>Obligation descriptions updated in v3.2 to reference clean energy credit rates as an allowable 30-day filing type. No substantive operational change required.</w:t>
            </w:r>
          </w:p>
        </w:tc>
      </w:tr>
      <w:tr>
        <w:tc>
          <w:tcPr>
            <w:tcW w:type="dxa" w:w="1440"/>
          </w:tcPr>
          <w:p>
            <w:r>
              <w:t>2024-07-11</w:t>
            </w:r>
          </w:p>
        </w:tc>
        <w:tc>
          <w:tcPr>
            <w:tcW w:type="dxa" w:w="1440"/>
          </w:tcPr>
          <w:p>
            <w:r>
              <w:t>170 IAC 1-7-1</w:t>
            </w:r>
          </w:p>
        </w:tc>
        <w:tc>
          <w:tcPr>
            <w:tcW w:type="dxa" w:w="1440"/>
          </w:tcPr>
          <w:p>
            <w:r>
              <w:t>Readoption</w:t>
            </w:r>
          </w:p>
        </w:tc>
        <w:tc>
          <w:tcPr>
            <w:tcW w:type="dxa" w:w="1440"/>
          </w:tcPr>
          <w:p>
            <w:r>
              <w:t>Periodic readoption of 170 IAC 1-7 (municipal annexation) — no substantive change to rules.</w:t>
            </w:r>
          </w:p>
        </w:tc>
        <w:tc>
          <w:tcPr>
            <w:tcW w:type="dxa" w:w="1440"/>
          </w:tcPr>
          <w:p>
            <w:r>
              <w:t>OBL-2024-0021</w:t>
            </w:r>
          </w:p>
        </w:tc>
        <w:tc>
          <w:tcPr>
            <w:tcW w:type="dxa" w:w="1440"/>
          </w:tcPr>
          <w:p>
            <w:r>
              <w:t>No change to obligation; confirmed active.</w:t>
            </w:r>
          </w:p>
        </w:tc>
      </w:tr>
      <w:tr>
        <w:tc>
          <w:tcPr>
            <w:tcW w:type="dxa" w:w="1440"/>
          </w:tcPr>
          <w:p>
            <w:r>
              <w:t>2024-10-01</w:t>
            </w:r>
          </w:p>
        </w:tc>
        <w:tc>
          <w:tcPr>
            <w:tcW w:type="dxa" w:w="1440"/>
          </w:tcPr>
          <w:p>
            <w:r>
              <w:t>170 IAC 4-1-3</w:t>
            </w:r>
          </w:p>
        </w:tc>
        <w:tc>
          <w:tcPr>
            <w:tcW w:type="dxa" w:w="1440"/>
          </w:tcPr>
          <w:p>
            <w:r>
              <w:t>Readoption</w:t>
            </w:r>
          </w:p>
        </w:tc>
        <w:tc>
          <w:tcPr>
            <w:tcW w:type="dxa" w:w="1440"/>
          </w:tcPr>
          <w:p>
            <w:r>
              <w:t>IURC readopted records retention provision; no substantive change.</w:t>
            </w:r>
          </w:p>
        </w:tc>
        <w:tc>
          <w:tcPr>
            <w:tcW w:type="dxa" w:w="1440"/>
          </w:tcPr>
          <w:p>
            <w:r>
              <w:t>OBL-2024-0023</w:t>
            </w:r>
          </w:p>
        </w:tc>
        <w:tc>
          <w:tcPr>
            <w:tcW w:type="dxa" w:w="1440"/>
          </w:tcPr>
          <w:p>
            <w:r>
              <w:t>No change to obligation; three-year minimum retention confirmed.</w:t>
            </w:r>
          </w:p>
        </w:tc>
      </w:tr>
      <w:tr>
        <w:tc>
          <w:tcPr>
            <w:tcW w:type="dxa" w:w="1440"/>
          </w:tcPr>
          <w:p>
            <w:r>
              <w:t>2024-10-15</w:t>
            </w:r>
          </w:p>
        </w:tc>
        <w:tc>
          <w:tcPr>
            <w:tcW w:type="dxa" w:w="1440"/>
          </w:tcPr>
          <w:p>
            <w:r>
              <w:t>170 IAC 4-9-7</w:t>
            </w:r>
          </w:p>
        </w:tc>
        <w:tc>
          <w:tcPr>
            <w:tcW w:type="dxa" w:w="1440"/>
          </w:tcPr>
          <w:p>
            <w:r>
              <w:t>Guidance Update</w:t>
            </w:r>
          </w:p>
        </w:tc>
        <w:tc>
          <w:tcPr>
            <w:tcW w:type="dxa" w:w="1440"/>
          </w:tcPr>
          <w:p>
            <w:r>
              <w:t>IURC staff issued informal guidance clarifying that ISA BMP applies alongside ANSI A300 for vegetation management.</w:t>
            </w:r>
          </w:p>
        </w:tc>
        <w:tc>
          <w:tcPr>
            <w:tcW w:type="dxa" w:w="1440"/>
          </w:tcPr>
          <w:p>
            <w:r>
              <w:t>OBL-2024-0054</w:t>
            </w:r>
          </w:p>
        </w:tc>
        <w:tc>
          <w:tcPr>
            <w:tcW w:type="dxa" w:w="1440"/>
          </w:tcPr>
          <w:p>
            <w:r>
              <w:t>Contractor agreements updated to reference both ANSI A300 and ISA BMP explicitly. No rule change; practice already compliant.</w:t>
            </w:r>
          </w:p>
        </w:tc>
      </w:tr>
      <w:tr>
        <w:tc>
          <w:tcPr>
            <w:tcW w:type="dxa" w:w="1440"/>
          </w:tcPr>
          <w:p>
            <w:r>
              <w:t>2024-11-01</w:t>
            </w:r>
          </w:p>
        </w:tc>
        <w:tc>
          <w:tcPr>
            <w:tcW w:type="dxa" w:w="1440"/>
          </w:tcPr>
          <w:p>
            <w:r>
              <w:t>170 IAC 4-1-17</w:t>
            </w:r>
          </w:p>
        </w:tc>
        <w:tc>
          <w:tcPr>
            <w:tcW w:type="dxa" w:w="1440"/>
          </w:tcPr>
          <w:p>
            <w:r>
              <w:t>Historical note</w:t>
            </w:r>
          </w:p>
        </w:tc>
        <w:tc>
          <w:tcPr>
            <w:tcW w:type="dxa" w:w="1440"/>
          </w:tcPr>
          <w:p>
            <w:r>
              <w:t>170 IAC 4-1-17 (Customer Complaints) remains in repealed status; subsumed by 170 IAC 16-1. No action.</w:t>
            </w:r>
          </w:p>
        </w:tc>
        <w:tc>
          <w:tcPr>
            <w:tcW w:type="dxa" w:w="1440"/>
          </w:tcPr>
          <w:p>
            <w:r>
              <w:t>OBL-2024-0061 through 0066</w:t>
            </w:r>
          </w:p>
        </w:tc>
        <w:tc>
          <w:tcPr>
            <w:tcW w:type="dxa" w:w="1440"/>
          </w:tcPr>
          <w:p>
            <w:r>
              <w:t>Confirmed that 170 IAC 16-1 obligations fully cover former 170 IAC 4-1-17 scope.</w:t>
            </w:r>
          </w:p>
        </w:tc>
      </w:tr>
      <w:tr>
        <w:tc>
          <w:tcPr>
            <w:tcW w:type="dxa" w:w="1440"/>
          </w:tcPr>
          <w:p>
            <w:r>
              <w:t>2024-12-01</w:t>
            </w:r>
          </w:p>
        </w:tc>
        <w:tc>
          <w:tcPr>
            <w:tcW w:type="dxa" w:w="1440"/>
          </w:tcPr>
          <w:p>
            <w:r>
              <w:t>170 IAC 1-6-3/4/5</w:t>
            </w:r>
          </w:p>
        </w:tc>
        <w:tc>
          <w:tcPr>
            <w:tcW w:type="dxa" w:w="1440"/>
          </w:tcPr>
          <w:p>
            <w:r>
              <w:t>Pending Amendment</w:t>
            </w:r>
          </w:p>
        </w:tc>
        <w:tc>
          <w:tcPr>
            <w:tcW w:type="dxa" w:w="1440"/>
          </w:tcPr>
          <w:p>
            <w:r>
              <w:t>IURC adopted amendments to 170 IAC 1-6-3, 1-6-4, and 1-6-5 under Snapshot S2; effective date 2025-01-24.</w:t>
            </w:r>
          </w:p>
        </w:tc>
        <w:tc>
          <w:tcPr>
            <w:tcW w:type="dxa" w:w="1440"/>
          </w:tcPr>
          <w:p>
            <w:r>
              <w:t>OBL-2024-0018, OBL-2024-0019, OBL-2024-0020</w:t>
            </w:r>
          </w:p>
        </w:tc>
        <w:tc>
          <w:tcPr>
            <w:tcW w:type="dxa" w:w="1440"/>
          </w:tcPr>
          <w:p>
            <w:r>
              <w:t>Outside scope of this version (Snapshot S1, law as of 2024-12-31). Obligation review and Register update scheduled for Q1 2025. Forward calendar entry created.</w:t>
            </w:r>
          </w:p>
        </w:tc>
      </w:tr>
    </w:tbl>
    <w:p/>
    <w:p>
      <w:r>
        <w:t>────────────────────────────────────────────────────────────</w:t>
      </w:r>
    </w:p>
    <w:p>
      <w:pPr>
        <w:pStyle w:val="Heading2"/>
      </w:pPr>
      <w:r>
        <w:t>Appendix C — Owner Responsibility Matrix</w:t>
      </w:r>
    </w:p>
    <w:p>
      <w:r>
        <w:t>The following matrix shows the accountability structure for compliance with this Register's obligations, cross-referenced to Wave 2 document ownership.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Employee</w:t>
            </w:r>
          </w:p>
        </w:tc>
        <w:tc>
          <w:tcPr>
            <w:tcW w:type="dxa" w:w="1728"/>
          </w:tcPr>
          <w:p>
            <w:r>
              <w:rPr>
                <w:b/>
              </w:rPr>
              <w:t>ID</w:t>
            </w:r>
          </w:p>
        </w:tc>
        <w:tc>
          <w:tcPr>
            <w:tcW w:type="dxa" w:w="1728"/>
          </w:tcPr>
          <w:p>
            <w:r>
              <w:rPr>
                <w:b/>
              </w:rPr>
              <w:t>Obligations Owned</w:t>
            </w:r>
          </w:p>
        </w:tc>
        <w:tc>
          <w:tcPr>
            <w:tcW w:type="dxa" w:w="1728"/>
          </w:tcPr>
          <w:p>
            <w:r>
              <w:rPr>
                <w:b/>
              </w:rPr>
              <w:t>Wave 2 Docs Owned</w:t>
            </w:r>
          </w:p>
        </w:tc>
      </w:tr>
      <w:tr>
        <w:tc>
          <w:tcPr>
            <w:tcW w:type="dxa" w:w="1728"/>
          </w:tcPr>
          <w:p>
            <w:r>
              <w:t>Manager Regulatory Compliance</w:t>
            </w:r>
          </w:p>
        </w:tc>
        <w:tc>
          <w:tcPr>
            <w:tcW w:type="dxa" w:w="1728"/>
          </w:tcPr>
          <w:p>
            <w:r>
              <w:t>Marcus Lee</w:t>
            </w:r>
          </w:p>
        </w:tc>
        <w:tc>
          <w:tcPr>
            <w:tcW w:type="dxa" w:w="1728"/>
          </w:tcPr>
          <w:p>
            <w:r>
              <w:t>P09</w:t>
            </w:r>
          </w:p>
        </w:tc>
        <w:tc>
          <w:tcPr>
            <w:tcW w:type="dxa" w:w="1728"/>
          </w:tcPr>
          <w:p>
            <w:r>
              <w:t>OBL-2024-0001 through 0008; 0018–0030; 0032–0048; 0049–0060; 0061, 0062, 0063, 0064, 0065, 0066 (day-to-day management); 0068, 0070</w:t>
            </w:r>
          </w:p>
        </w:tc>
        <w:tc>
          <w:tcPr>
            <w:tcW w:type="dxa" w:w="1728"/>
          </w:tcPr>
          <w:p>
            <w:r>
              <w:t>Compliance Register (this document); oversight of all department procedures</w:t>
            </w:r>
          </w:p>
        </w:tc>
      </w:tr>
      <w:tr>
        <w:tc>
          <w:tcPr>
            <w:tcW w:type="dxa" w:w="1728"/>
          </w:tcPr>
          <w:p>
            <w:r>
              <w:t>Director Regulatory Affairs</w:t>
            </w:r>
          </w:p>
        </w:tc>
        <w:tc>
          <w:tcPr>
            <w:tcW w:type="dxa" w:w="1728"/>
          </w:tcPr>
          <w:p>
            <w:r>
              <w:t>Elena Vasquez</w:t>
            </w:r>
          </w:p>
        </w:tc>
        <w:tc>
          <w:tcPr>
            <w:tcW w:type="dxa" w:w="1728"/>
          </w:tcPr>
          <w:p>
            <w:r>
              <w:t>P08</w:t>
            </w:r>
          </w:p>
        </w:tc>
        <w:tc>
          <w:tcPr>
            <w:tcW w:type="dxa" w:w="1728"/>
          </w:tcPr>
          <w:p>
            <w:r>
              <w:t>OBL-2024-0009 through 0017; 0031 (escalated); 0067, 0069</w:t>
            </w:r>
          </w:p>
        </w:tc>
        <w:tc>
          <w:tcPr>
            <w:tcW w:type="dxa" w:w="1728"/>
          </w:tcPr>
          <w:p>
            <w:r>
              <w:t>Review authority over all Wave 2 docs affecting regulatory compliance</w:t>
            </w:r>
          </w:p>
        </w:tc>
      </w:tr>
      <w:tr>
        <w:tc>
          <w:tcPr>
            <w:tcW w:type="dxa" w:w="1728"/>
          </w:tcPr>
          <w:p>
            <w:r>
              <w:t>VP Legal &amp; Regulatory</w:t>
            </w:r>
          </w:p>
        </w:tc>
        <w:tc>
          <w:tcPr>
            <w:tcW w:type="dxa" w:w="1728"/>
          </w:tcPr>
          <w:p>
            <w:r>
              <w:t>Jonathan Pierce</w:t>
            </w:r>
          </w:p>
        </w:tc>
        <w:tc>
          <w:tcPr>
            <w:tcW w:type="dxa" w:w="1728"/>
          </w:tcPr>
          <w:p>
            <w:r>
              <w:t>P03</w:t>
            </w:r>
          </w:p>
        </w:tc>
        <w:tc>
          <w:tcPr>
            <w:tcW w:type="dxa" w:w="1728"/>
          </w:tcPr>
          <w:p>
            <w:r>
              <w:t>Approver of this Register; escalation owner for P1 issues; IURC enforcement response</w:t>
            </w:r>
          </w:p>
        </w:tc>
        <w:tc>
          <w:tcPr>
            <w:tcW w:type="dxa" w:w="1728"/>
          </w:tcPr>
          <w:p>
            <w:r>
              <w:t>Approval authority</w:t>
            </w:r>
          </w:p>
        </w:tc>
      </w:tr>
      <w:tr>
        <w:tc>
          <w:tcPr>
            <w:tcW w:type="dxa" w:w="1728"/>
          </w:tcPr>
          <w:p>
            <w:r>
              <w:t>VP Regulatory &amp; Government Affairs</w:t>
            </w:r>
          </w:p>
        </w:tc>
        <w:tc>
          <w:tcPr>
            <w:tcW w:type="dxa" w:w="1728"/>
          </w:tcPr>
          <w:p>
            <w:r>
              <w:t>Thomas Whitfield</w:t>
            </w:r>
          </w:p>
        </w:tc>
        <w:tc>
          <w:tcPr>
            <w:tcW w:type="dxa" w:w="1728"/>
          </w:tcPr>
          <w:p>
            <w:r>
              <w:t>P07</w:t>
            </w:r>
          </w:p>
        </w:tc>
        <w:tc>
          <w:tcPr>
            <w:tcW w:type="dxa" w:w="1728"/>
          </w:tcPr>
          <w:p>
            <w:r>
              <w:t>OBL-2024-0021 (municipal annexation — primary government affairs engagement)</w:t>
            </w:r>
          </w:p>
        </w:tc>
        <w:tc>
          <w:tcPr>
            <w:tcW w:type="dxa" w:w="1728"/>
          </w:tcPr>
          <w:p>
            <w:r>
              <w:t>Government affairs coordination</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Wave 2 Document</w:t>
            </w:r>
          </w:p>
        </w:tc>
        <w:tc>
          <w:tcPr>
            <w:tcW w:type="dxa" w:w="2880"/>
          </w:tcPr>
          <w:p>
            <w:r>
              <w:rPr>
                <w:b/>
              </w:rPr>
              <w:t>Document Owner Role</w:t>
            </w:r>
          </w:p>
        </w:tc>
        <w:tc>
          <w:tcPr>
            <w:tcW w:type="dxa" w:w="2880"/>
          </w:tcPr>
          <w:p>
            <w:r>
              <w:rPr>
                <w:b/>
              </w:rPr>
              <w:t>Primary IAC Obligations</w:t>
            </w:r>
          </w:p>
        </w:tc>
      </w:tr>
      <w:tr>
        <w:tc>
          <w:tcPr>
            <w:tcW w:type="dxa" w:w="2880"/>
          </w:tcPr>
          <w:p>
            <w:r>
              <w:t>RPL-TAR-GRR-012</w:t>
            </w:r>
          </w:p>
        </w:tc>
        <w:tc>
          <w:tcPr>
            <w:tcW w:type="dxa" w:w="2880"/>
          </w:tcPr>
          <w:p>
            <w:r>
              <w:t>Director Regulatory Affairs (P08)</w:t>
            </w:r>
          </w:p>
        </w:tc>
        <w:tc>
          <w:tcPr>
            <w:tcW w:type="dxa" w:w="2880"/>
          </w:tcPr>
          <w:p>
            <w:r>
              <w:t>OBL-2024-0001–0020; 0046–0048; 0068, 0069</w:t>
            </w:r>
          </w:p>
        </w:tc>
      </w:tr>
      <w:tr>
        <w:tc>
          <w:tcPr>
            <w:tcW w:type="dxa" w:w="2880"/>
          </w:tcPr>
          <w:p>
            <w:r>
              <w:t>RPL-CS-PRO-004</w:t>
            </w:r>
          </w:p>
        </w:tc>
        <w:tc>
          <w:tcPr>
            <w:tcW w:type="dxa" w:w="2880"/>
          </w:tcPr>
          <w:p>
            <w:r>
              <w:t>Manager Customer Service</w:t>
            </w:r>
          </w:p>
        </w:tc>
        <w:tc>
          <w:tcPr>
            <w:tcW w:type="dxa" w:w="2880"/>
          </w:tcPr>
          <w:p>
            <w:r>
              <w:t>OBL-2024-0031–0036</w:t>
            </w:r>
          </w:p>
        </w:tc>
      </w:tr>
      <w:tr>
        <w:tc>
          <w:tcPr>
            <w:tcW w:type="dxa" w:w="2880"/>
          </w:tcPr>
          <w:p>
            <w:r>
              <w:t>RPL-CS-PRO-007</w:t>
            </w:r>
          </w:p>
        </w:tc>
        <w:tc>
          <w:tcPr>
            <w:tcW w:type="dxa" w:w="2880"/>
          </w:tcPr>
          <w:p>
            <w:r>
              <w:t>Manager Customer Service</w:t>
            </w:r>
          </w:p>
        </w:tc>
        <w:tc>
          <w:tcPr>
            <w:tcW w:type="dxa" w:w="2880"/>
          </w:tcPr>
          <w:p>
            <w:r>
              <w:t>OBL-2024-0037</w:t>
            </w:r>
          </w:p>
        </w:tc>
      </w:tr>
      <w:tr>
        <w:tc>
          <w:tcPr>
            <w:tcW w:type="dxa" w:w="2880"/>
          </w:tcPr>
          <w:p>
            <w:r>
              <w:t>RPL-CS-PRO-011</w:t>
            </w:r>
          </w:p>
        </w:tc>
        <w:tc>
          <w:tcPr>
            <w:tcW w:type="dxa" w:w="2880"/>
          </w:tcPr>
          <w:p>
            <w:r>
              <w:t>Manager Customer Service</w:t>
            </w:r>
          </w:p>
        </w:tc>
        <w:tc>
          <w:tcPr>
            <w:tcW w:type="dxa" w:w="2880"/>
          </w:tcPr>
          <w:p>
            <w:r>
              <w:t>OBL-2024-0061–0066</w:t>
            </w:r>
          </w:p>
        </w:tc>
      </w:tr>
      <w:tr>
        <w:tc>
          <w:tcPr>
            <w:tcW w:type="dxa" w:w="2880"/>
          </w:tcPr>
          <w:p>
            <w:r>
              <w:t>RPL-DO-PLN-002</w:t>
            </w:r>
          </w:p>
        </w:tc>
        <w:tc>
          <w:tcPr>
            <w:tcW w:type="dxa" w:w="2880"/>
          </w:tcPr>
          <w:p>
            <w:r>
              <w:t>Manager Distribution Operations</w:t>
            </w:r>
          </w:p>
        </w:tc>
        <w:tc>
          <w:tcPr>
            <w:tcW w:type="dxa" w:w="2880"/>
          </w:tcPr>
          <w:p>
            <w:r>
              <w:t>OBL-2024-0023; 0038–0041; 0044, 0045</w:t>
            </w:r>
          </w:p>
        </w:tc>
      </w:tr>
      <w:tr>
        <w:tc>
          <w:tcPr>
            <w:tcW w:type="dxa" w:w="2880"/>
          </w:tcPr>
          <w:p>
            <w:r>
              <w:t>RPL-MTR-PGM-001</w:t>
            </w:r>
          </w:p>
        </w:tc>
        <w:tc>
          <w:tcPr>
            <w:tcW w:type="dxa" w:w="2880"/>
          </w:tcPr>
          <w:p>
            <w:r>
              <w:t>Manager Metering Services</w:t>
            </w:r>
          </w:p>
        </w:tc>
        <w:tc>
          <w:tcPr>
            <w:tcW w:type="dxa" w:w="2880"/>
          </w:tcPr>
          <w:p>
            <w:r>
              <w:t>OBL-2024-0024–0030</w:t>
            </w:r>
          </w:p>
        </w:tc>
      </w:tr>
      <w:tr>
        <w:tc>
          <w:tcPr>
            <w:tcW w:type="dxa" w:w="2880"/>
          </w:tcPr>
          <w:p>
            <w:r>
              <w:t>RPL-DCC-PRO-003</w:t>
            </w:r>
          </w:p>
        </w:tc>
        <w:tc>
          <w:tcPr>
            <w:tcW w:type="dxa" w:w="2880"/>
          </w:tcPr>
          <w:p>
            <w:r>
              <w:t>Manager Distribution Control Center</w:t>
            </w:r>
          </w:p>
        </w:tc>
        <w:tc>
          <w:tcPr>
            <w:tcW w:type="dxa" w:w="2880"/>
          </w:tcPr>
          <w:p>
            <w:r>
              <w:t>OBL-2024-0042–0043</w:t>
            </w:r>
          </w:p>
        </w:tc>
      </w:tr>
      <w:tr>
        <w:tc>
          <w:tcPr>
            <w:tcW w:type="dxa" w:w="2880"/>
          </w:tcPr>
          <w:p>
            <w:r>
              <w:t>RPL-ENV-PRO-005</w:t>
            </w:r>
          </w:p>
        </w:tc>
        <w:tc>
          <w:tcPr>
            <w:tcW w:type="dxa" w:w="2880"/>
          </w:tcPr>
          <w:p>
            <w:r>
              <w:t>Manager Environmental Affairs</w:t>
            </w:r>
          </w:p>
        </w:tc>
        <w:tc>
          <w:tcPr>
            <w:tcW w:type="dxa" w:w="2880"/>
          </w:tcPr>
          <w:p>
            <w:r>
              <w:t>OBL-2024-0049–0060</w:t>
            </w:r>
          </w:p>
        </w:tc>
      </w:tr>
      <w:tr>
        <w:tc>
          <w:tcPr>
            <w:tcW w:type="dxa" w:w="2880"/>
          </w:tcPr>
          <w:p>
            <w:r>
              <w:t>RPL-SAF-PRO-009</w:t>
            </w:r>
          </w:p>
        </w:tc>
        <w:tc>
          <w:tcPr>
            <w:tcW w:type="dxa" w:w="2880"/>
          </w:tcPr>
          <w:p>
            <w:r>
              <w:t>Manager Safety</w:t>
            </w:r>
          </w:p>
        </w:tc>
        <w:tc>
          <w:tcPr>
            <w:tcW w:type="dxa" w:w="2880"/>
          </w:tcPr>
          <w:p>
            <w:r>
              <w:t>OBL-2024-0043; 0070</w:t>
            </w:r>
          </w:p>
        </w:tc>
      </w:tr>
    </w:tbl>
    <w:p/>
    <w:p>
      <w:r>
        <w:t>*This Register is issued by the Regulatory Compliance Department of Rockridge Power &amp; Light Company, 400 Wabash Commons Drive, Lafayette, IN 47901. Questions regarding this document should be directed to Marcus Lee (P09) at mlee@rockridge-pl.example.*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*IURC Contact: PNC Center, 101 W. Washington St, Suite 1500E, Indianapolis, IN 46204</w:t>
            </w:r>
          </w:p>
        </w:tc>
        <w:tc>
          <w:tcPr>
            <w:tcW w:type="dxa" w:w="2160"/>
          </w:tcPr>
          <w:p>
            <w:r>
              <w:rPr>
                <w:b/>
              </w:rPr>
              <w:t>317-232-2712</w:t>
            </w:r>
          </w:p>
        </w:tc>
        <w:tc>
          <w:tcPr>
            <w:tcW w:type="dxa" w:w="2160"/>
          </w:tcPr>
          <w:p>
            <w:r>
              <w:rPr>
                <w:b/>
              </w:rPr>
              <w:t>1-800-851-4268</w:t>
            </w:r>
          </w:p>
        </w:tc>
        <w:tc>
          <w:tcPr>
            <w:tcW w:type="dxa" w:w="2160"/>
          </w:tcPr>
          <w:p>
            <w:r>
              <w:rPr>
                <w:b/>
              </w:rPr>
              <w:t>iurc.portal.in.gov*</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