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2"/>
        </w:rPr>
        <w:t>ROCKRIDGE POWER &amp; LIGHT COMPANY</w:t>
      </w:r>
    </w:p>
    <w:p>
      <w:pPr>
        <w:jc w:val="center"/>
      </w:pPr>
      <w:r>
        <w:rPr>
          <w:color w:val="444444"/>
          <w:sz w:val="24"/>
        </w:rPr>
        <w:t>Distribution Control Center</w:t>
      </w:r>
    </w:p>
    <w:p/>
    <w:p>
      <w:pPr>
        <w:jc w:val="center"/>
      </w:pPr>
      <w:r>
        <w:rPr>
          <w:b/>
          <w:color w:val="1F3864"/>
          <w:sz w:val="36"/>
        </w:rPr>
        <w:t>Service Interruption Reporting Procedure</w:t>
      </w:r>
    </w:p>
    <w:p/>
    <w:p>
      <w:pPr>
        <w:jc w:val="center"/>
      </w:pPr>
      <w:r>
        <w:rPr>
          <w:b/>
          <w:sz w:val="28"/>
        </w:rPr>
        <w:t>RPL-DCC-PRO-003  |  Version 4.2</w:t>
      </w:r>
    </w:p>
    <w:p/>
    <w:tbl>
      <w:tblPr>
        <w:tblStyle w:val="TableGrid"/>
        <w:tblW w:type="auto" w:w="0"/>
        <w:tblLook w:firstColumn="1" w:firstRow="1" w:lastColumn="0" w:lastRow="0" w:noHBand="0" w:noVBand="1" w:val="04A0"/>
      </w:tblPr>
      <w:tblGrid>
        <w:gridCol w:w="4513"/>
        <w:gridCol w:w="4513"/>
      </w:tblGrid>
      <w:tr>
        <w:tc>
          <w:tcPr>
            <w:tcW w:type="dxa" w:w="4513"/>
            <w:shd w:val="clear" w:color="auto" w:fill="1F3864"/>
          </w:tcPr>
          <w:p>
            <w:r>
              <w:rPr>
                <w:b/>
                <w:color w:val="FFFFFF"/>
                <w:sz w:val="20"/>
              </w:rPr>
              <w:t>Field</w:t>
            </w:r>
          </w:p>
        </w:tc>
        <w:tc>
          <w:tcPr>
            <w:tcW w:type="dxa" w:w="4513"/>
            <w:shd w:val="clear" w:color="auto" w:fill="1F3864"/>
          </w:tcPr>
          <w:p>
            <w:r>
              <w:rPr>
                <w:b/>
                <w:color w:val="FFFFFF"/>
                <w:sz w:val="20"/>
              </w:rPr>
              <w:t>Value</w:t>
            </w:r>
          </w:p>
        </w:tc>
      </w:tr>
      <w:tr>
        <w:tc>
          <w:tcPr>
            <w:tcW w:type="dxa" w:w="4513"/>
            <w:shd w:val="clear" w:color="auto" w:fill="D9E1F2"/>
          </w:tcPr>
          <w:p>
            <w:r>
              <w:rPr>
                <w:b/>
                <w:sz w:val="20"/>
              </w:rPr>
              <w:t>Document ID</w:t>
            </w:r>
          </w:p>
        </w:tc>
        <w:tc>
          <w:tcPr>
            <w:tcW w:type="dxa" w:w="4513"/>
          </w:tcPr>
          <w:p>
            <w:r>
              <w:rPr>
                <w:sz w:val="20"/>
              </w:rPr>
              <w:t>RPL-DCC-PRO-003</w:t>
            </w:r>
          </w:p>
        </w:tc>
      </w:tr>
      <w:tr>
        <w:tc>
          <w:tcPr>
            <w:tcW w:type="dxa" w:w="4513"/>
            <w:shd w:val="clear" w:color="auto" w:fill="D9E1F2"/>
          </w:tcPr>
          <w:p>
            <w:r>
              <w:rPr>
                <w:b/>
                <w:sz w:val="20"/>
              </w:rPr>
              <w:t>Title</w:t>
            </w:r>
          </w:p>
        </w:tc>
        <w:tc>
          <w:tcPr>
            <w:tcW w:type="dxa" w:w="4513"/>
          </w:tcPr>
          <w:p>
            <w:r>
              <w:rPr>
                <w:sz w:val="20"/>
              </w:rPr>
              <w:t>Service Interruption Reporting Procedure</w:t>
            </w:r>
          </w:p>
        </w:tc>
      </w:tr>
      <w:tr>
        <w:tc>
          <w:tcPr>
            <w:tcW w:type="dxa" w:w="4513"/>
            <w:shd w:val="clear" w:color="auto" w:fill="D9E1F2"/>
          </w:tcPr>
          <w:p>
            <w:r>
              <w:rPr>
                <w:b/>
                <w:sz w:val="20"/>
              </w:rPr>
              <w:t>Version</w:t>
            </w:r>
          </w:p>
        </w:tc>
        <w:tc>
          <w:tcPr>
            <w:tcW w:type="dxa" w:w="4513"/>
          </w:tcPr>
          <w:p>
            <w:r>
              <w:rPr>
                <w:sz w:val="20"/>
              </w:rPr>
              <w:t>4.2</w:t>
            </w:r>
          </w:p>
        </w:tc>
      </w:tr>
      <w:tr>
        <w:tc>
          <w:tcPr>
            <w:tcW w:type="dxa" w:w="4513"/>
            <w:shd w:val="clear" w:color="auto" w:fill="D9E1F2"/>
          </w:tcPr>
          <w:p>
            <w:r>
              <w:rPr>
                <w:b/>
                <w:sz w:val="20"/>
              </w:rPr>
              <w:t>Effective Date</w:t>
            </w:r>
          </w:p>
        </w:tc>
        <w:tc>
          <w:tcPr>
            <w:tcW w:type="dxa" w:w="4513"/>
          </w:tcPr>
          <w:p>
            <w:r>
              <w:rPr>
                <w:sz w:val="20"/>
              </w:rPr>
              <w:t>2025-02-24</w:t>
            </w:r>
          </w:p>
        </w:tc>
      </w:tr>
      <w:tr>
        <w:tc>
          <w:tcPr>
            <w:tcW w:type="dxa" w:w="4513"/>
            <w:shd w:val="clear" w:color="auto" w:fill="D9E1F2"/>
          </w:tcPr>
          <w:p>
            <w:r>
              <w:rPr>
                <w:b/>
                <w:sz w:val="20"/>
              </w:rPr>
              <w:t>Approved Date</w:t>
            </w:r>
          </w:p>
        </w:tc>
        <w:tc>
          <w:tcPr>
            <w:tcW w:type="dxa" w:w="4513"/>
          </w:tcPr>
          <w:p>
            <w:r>
              <w:rPr>
                <w:sz w:val="20"/>
              </w:rPr>
              <w:t>2025-02-19</w:t>
            </w:r>
          </w:p>
        </w:tc>
      </w:tr>
      <w:tr>
        <w:tc>
          <w:tcPr>
            <w:tcW w:type="dxa" w:w="4513"/>
            <w:shd w:val="clear" w:color="auto" w:fill="D9E1F2"/>
          </w:tcPr>
          <w:p>
            <w:r>
              <w:rPr>
                <w:b/>
                <w:sz w:val="20"/>
              </w:rPr>
              <w:t>Owner</w:t>
            </w:r>
          </w:p>
        </w:tc>
        <w:tc>
          <w:tcPr>
            <w:tcW w:type="dxa" w:w="4513"/>
          </w:tcPr>
          <w:p>
            <w:r>
              <w:rPr>
                <w:sz w:val="20"/>
              </w:rPr>
              <w:t>Kevin Adeyemi (P23), Manager, Distribution Control Center</w:t>
            </w:r>
          </w:p>
        </w:tc>
      </w:tr>
      <w:tr>
        <w:tc>
          <w:tcPr>
            <w:tcW w:type="dxa" w:w="4513"/>
            <w:shd w:val="clear" w:color="auto" w:fill="D9E1F2"/>
          </w:tcPr>
          <w:p>
            <w:r>
              <w:rPr>
                <w:b/>
                <w:sz w:val="20"/>
              </w:rPr>
              <w:t>Reviewer</w:t>
            </w:r>
          </w:p>
        </w:tc>
        <w:tc>
          <w:tcPr>
            <w:tcW w:type="dxa" w:w="4513"/>
          </w:tcPr>
          <w:p>
            <w:r>
              <w:rPr>
                <w:sz w:val="20"/>
              </w:rPr>
              <w:t>Patrick O'Neill (P21), Director, Distribution Operations</w:t>
            </w:r>
          </w:p>
        </w:tc>
      </w:tr>
      <w:tr>
        <w:tc>
          <w:tcPr>
            <w:tcW w:type="dxa" w:w="4513"/>
            <w:shd w:val="clear" w:color="auto" w:fill="D9E1F2"/>
          </w:tcPr>
          <w:p>
            <w:r>
              <w:rPr>
                <w:b/>
                <w:sz w:val="20"/>
              </w:rPr>
              <w:t>Approver</w:t>
            </w:r>
          </w:p>
        </w:tc>
        <w:tc>
          <w:tcPr>
            <w:tcW w:type="dxa" w:w="4513"/>
          </w:tcPr>
          <w:p>
            <w:r>
              <w:rPr>
                <w:sz w:val="20"/>
              </w:rPr>
              <w:t>Elena Vasquez (P08), Manager, Regulatory Affairs</w:t>
            </w:r>
          </w:p>
        </w:tc>
      </w:tr>
      <w:tr>
        <w:tc>
          <w:tcPr>
            <w:tcW w:type="dxa" w:w="4513"/>
            <w:shd w:val="clear" w:color="auto" w:fill="D9E1F2"/>
          </w:tcPr>
          <w:p>
            <w:r>
              <w:rPr>
                <w:b/>
                <w:sz w:val="20"/>
              </w:rPr>
              <w:t>Supersedes</w:t>
            </w:r>
          </w:p>
        </w:tc>
        <w:tc>
          <w:tcPr>
            <w:tcW w:type="dxa" w:w="4513"/>
          </w:tcPr>
          <w:p>
            <w:r>
              <w:rPr>
                <w:sz w:val="20"/>
              </w:rPr>
              <w:t>4.1 (2024-04-22)</w:t>
            </w:r>
          </w:p>
        </w:tc>
      </w:tr>
      <w:tr>
        <w:tc>
          <w:tcPr>
            <w:tcW w:type="dxa" w:w="4513"/>
            <w:shd w:val="clear" w:color="auto" w:fill="D9E1F2"/>
          </w:tcPr>
          <w:p>
            <w:r>
              <w:rPr>
                <w:b/>
                <w:sz w:val="20"/>
              </w:rPr>
              <w:t>Classification</w:t>
            </w:r>
          </w:p>
        </w:tc>
        <w:tc>
          <w:tcPr>
            <w:tcW w:type="dxa" w:w="4513"/>
          </w:tcPr>
          <w:p>
            <w:r>
              <w:rPr>
                <w:sz w:val="20"/>
              </w:rPr>
              <w:t>Internal</w:t>
            </w:r>
          </w:p>
        </w:tc>
      </w:tr>
      <w:tr>
        <w:tc>
          <w:tcPr>
            <w:tcW w:type="dxa" w:w="4513"/>
            <w:shd w:val="clear" w:color="auto" w:fill="D9E1F2"/>
          </w:tcPr>
          <w:p>
            <w:r>
              <w:rPr>
                <w:b/>
                <w:sz w:val="20"/>
              </w:rPr>
              <w:t>Next Review</w:t>
            </w:r>
          </w:p>
        </w:tc>
        <w:tc>
          <w:tcPr>
            <w:tcW w:type="dxa" w:w="4513"/>
          </w:tcPr>
          <w:p>
            <w:r>
              <w:rPr>
                <w:sz w:val="20"/>
              </w:rPr>
              <w:t>2026-02-24</w:t>
            </w:r>
          </w:p>
        </w:tc>
      </w:tr>
    </w:tbl>
    <w:p/>
    <w:p>
      <w:pPr>
        <w:jc w:val="center"/>
      </w:pPr>
      <w:r>
        <w:rPr>
          <w:i/>
          <w:color w:val="880000"/>
          <w:sz w:val="18"/>
        </w:rPr>
        <w:t>Uncontrolled when printed — verify the current version in DCS before use.</w:t>
      </w:r>
    </w:p>
    <w:p>
      <w:r>
        <w:br w:type="page"/>
      </w:r>
    </w:p>
    <w:tbl>
      <w:tblPr>
        <w:tblStyle w:val="TableGrid"/>
        <w:tblW w:type="auto" w:w="0"/>
        <w:tblLook w:firstColumn="1" w:firstRow="1" w:lastColumn="0" w:lastRow="0" w:noHBand="0" w:noVBand="1" w:val="04A0"/>
      </w:tblPr>
      <w:tblGrid>
        <w:gridCol w:w="4513"/>
        <w:gridCol w:w="4513"/>
      </w:tblGrid>
      <w:tr>
        <w:tc>
          <w:tcPr>
            <w:tcW w:type="dxa" w:w="4513"/>
            <w:vAlign w:val="center"/>
            <w:shd w:val="clear" w:color="auto" w:fill="D9E1F2"/>
          </w:tcPr>
          <w:p>
            <w:r>
              <w:rPr>
                <w:b/>
                <w:sz w:val="18"/>
              </w:rPr>
              <w:t>Field</w:t>
            </w:r>
          </w:p>
        </w:tc>
        <w:tc>
          <w:tcPr>
            <w:tcW w:type="dxa" w:w="4513"/>
            <w:vAlign w:val="center"/>
            <w:shd w:val="clear" w:color="auto" w:fill="D9E1F2"/>
          </w:tcPr>
          <w:p>
            <w:r>
              <w:rPr>
                <w:b/>
                <w:sz w:val="18"/>
              </w:rPr>
              <w:t>Value</w:t>
            </w:r>
          </w:p>
        </w:tc>
      </w:tr>
      <w:tr>
        <w:tc>
          <w:tcPr>
            <w:tcW w:type="dxa" w:w="4513"/>
            <w:vAlign w:val="center"/>
          </w:tcPr>
          <w:p>
            <w:r>
              <w:rPr>
                <w:sz w:val="18"/>
              </w:rPr>
              <w:t>Document ID</w:t>
            </w:r>
          </w:p>
        </w:tc>
        <w:tc>
          <w:tcPr>
            <w:tcW w:type="dxa" w:w="4513"/>
            <w:vAlign w:val="center"/>
          </w:tcPr>
          <w:p>
            <w:r>
              <w:rPr>
                <w:sz w:val="18"/>
              </w:rPr>
              <w:t>RPL-DCC-PRO-003</w:t>
            </w:r>
          </w:p>
        </w:tc>
      </w:tr>
      <w:tr>
        <w:tc>
          <w:tcPr>
            <w:tcW w:type="dxa" w:w="4513"/>
            <w:vAlign w:val="center"/>
          </w:tcPr>
          <w:p>
            <w:r>
              <w:rPr>
                <w:sz w:val="18"/>
              </w:rPr>
              <w:t>Title</w:t>
            </w:r>
          </w:p>
        </w:tc>
        <w:tc>
          <w:tcPr>
            <w:tcW w:type="dxa" w:w="4513"/>
            <w:vAlign w:val="center"/>
          </w:tcPr>
          <w:p>
            <w:r>
              <w:rPr>
                <w:sz w:val="18"/>
              </w:rPr>
              <w:t>Service Interruption Reporting Procedure</w:t>
            </w:r>
          </w:p>
        </w:tc>
      </w:tr>
      <w:tr>
        <w:tc>
          <w:tcPr>
            <w:tcW w:type="dxa" w:w="4513"/>
            <w:vAlign w:val="center"/>
          </w:tcPr>
          <w:p>
            <w:r>
              <w:rPr>
                <w:sz w:val="18"/>
              </w:rPr>
              <w:t>Version</w:t>
            </w:r>
          </w:p>
        </w:tc>
        <w:tc>
          <w:tcPr>
            <w:tcW w:type="dxa" w:w="4513"/>
            <w:vAlign w:val="center"/>
          </w:tcPr>
          <w:p>
            <w:r>
              <w:rPr>
                <w:sz w:val="18"/>
              </w:rPr>
              <w:t>4.2</w:t>
            </w:r>
          </w:p>
        </w:tc>
      </w:tr>
      <w:tr>
        <w:tc>
          <w:tcPr>
            <w:tcW w:type="dxa" w:w="4513"/>
            <w:vAlign w:val="center"/>
          </w:tcPr>
          <w:p>
            <w:r>
              <w:rPr>
                <w:sz w:val="18"/>
              </w:rPr>
              <w:t>Effective Date</w:t>
            </w:r>
          </w:p>
        </w:tc>
        <w:tc>
          <w:tcPr>
            <w:tcW w:type="dxa" w:w="4513"/>
            <w:vAlign w:val="center"/>
          </w:tcPr>
          <w:p>
            <w:r>
              <w:rPr>
                <w:sz w:val="18"/>
              </w:rPr>
              <w:t>2025-02-24</w:t>
            </w:r>
          </w:p>
        </w:tc>
      </w:tr>
      <w:tr>
        <w:tc>
          <w:tcPr>
            <w:tcW w:type="dxa" w:w="4513"/>
            <w:vAlign w:val="center"/>
          </w:tcPr>
          <w:p>
            <w:r>
              <w:rPr>
                <w:sz w:val="18"/>
              </w:rPr>
              <w:t>Approved Date</w:t>
            </w:r>
          </w:p>
        </w:tc>
        <w:tc>
          <w:tcPr>
            <w:tcW w:type="dxa" w:w="4513"/>
            <w:vAlign w:val="center"/>
          </w:tcPr>
          <w:p>
            <w:r>
              <w:rPr>
                <w:sz w:val="18"/>
              </w:rPr>
              <w:t>2025-02-19</w:t>
            </w:r>
          </w:p>
        </w:tc>
      </w:tr>
      <w:tr>
        <w:tc>
          <w:tcPr>
            <w:tcW w:type="dxa" w:w="4513"/>
            <w:vAlign w:val="center"/>
          </w:tcPr>
          <w:p>
            <w:r>
              <w:rPr>
                <w:sz w:val="18"/>
              </w:rPr>
              <w:t>Law As-Of</w:t>
            </w:r>
          </w:p>
        </w:tc>
        <w:tc>
          <w:tcPr>
            <w:tcW w:type="dxa" w:w="4513"/>
            <w:vAlign w:val="center"/>
          </w:tcPr>
          <w:p>
            <w:r>
              <w:rPr>
                <w:sz w:val="18"/>
              </w:rPr>
              <w:t>2024-12-31</w:t>
            </w:r>
          </w:p>
        </w:tc>
      </w:tr>
      <w:tr>
        <w:tc>
          <w:tcPr>
            <w:tcW w:type="dxa" w:w="4513"/>
            <w:vAlign w:val="center"/>
          </w:tcPr>
          <w:p>
            <w:r>
              <w:rPr>
                <w:sz w:val="18"/>
              </w:rPr>
              <w:t>Owner</w:t>
            </w:r>
          </w:p>
        </w:tc>
        <w:tc>
          <w:tcPr>
            <w:tcW w:type="dxa" w:w="4513"/>
            <w:vAlign w:val="center"/>
          </w:tcPr>
          <w:p>
            <w:r>
              <w:rPr>
                <w:sz w:val="18"/>
              </w:rPr>
              <w:t>Kevin Adeyemi (P23), Manager, Distribution Control Center</w:t>
            </w:r>
          </w:p>
        </w:tc>
      </w:tr>
      <w:tr>
        <w:tc>
          <w:tcPr>
            <w:tcW w:type="dxa" w:w="4513"/>
            <w:vAlign w:val="center"/>
          </w:tcPr>
          <w:p>
            <w:r>
              <w:rPr>
                <w:sz w:val="18"/>
              </w:rPr>
              <w:t>Reviewer</w:t>
            </w:r>
          </w:p>
        </w:tc>
        <w:tc>
          <w:tcPr>
            <w:tcW w:type="dxa" w:w="4513"/>
            <w:vAlign w:val="center"/>
          </w:tcPr>
          <w:p>
            <w:r>
              <w:rPr>
                <w:sz w:val="18"/>
              </w:rPr>
              <w:t>Patrick O'Neill (P21), Director, Distribution Operations</w:t>
            </w:r>
          </w:p>
        </w:tc>
      </w:tr>
      <w:tr>
        <w:tc>
          <w:tcPr>
            <w:tcW w:type="dxa" w:w="4513"/>
            <w:vAlign w:val="center"/>
          </w:tcPr>
          <w:p>
            <w:r>
              <w:rPr>
                <w:sz w:val="18"/>
              </w:rPr>
              <w:t>Approver</w:t>
            </w:r>
          </w:p>
        </w:tc>
        <w:tc>
          <w:tcPr>
            <w:tcW w:type="dxa" w:w="4513"/>
            <w:vAlign w:val="center"/>
          </w:tcPr>
          <w:p>
            <w:r>
              <w:rPr>
                <w:sz w:val="18"/>
              </w:rPr>
              <w:t>Elena Vasquez (P08), Manager, Regulatory Affairs</w:t>
            </w:r>
          </w:p>
        </w:tc>
      </w:tr>
      <w:tr>
        <w:tc>
          <w:tcPr>
            <w:tcW w:type="dxa" w:w="4513"/>
            <w:vAlign w:val="center"/>
          </w:tcPr>
          <w:p>
            <w:r>
              <w:rPr>
                <w:sz w:val="18"/>
              </w:rPr>
              <w:t>Classification</w:t>
            </w:r>
          </w:p>
        </w:tc>
        <w:tc>
          <w:tcPr>
            <w:tcW w:type="dxa" w:w="4513"/>
            <w:vAlign w:val="center"/>
          </w:tcPr>
          <w:p>
            <w:r>
              <w:rPr>
                <w:sz w:val="18"/>
              </w:rPr>
              <w:t>Internal</w:t>
            </w:r>
          </w:p>
        </w:tc>
      </w:tr>
      <w:tr>
        <w:tc>
          <w:tcPr>
            <w:tcW w:type="dxa" w:w="4513"/>
            <w:vAlign w:val="center"/>
          </w:tcPr>
          <w:p>
            <w:r>
              <w:rPr>
                <w:sz w:val="18"/>
              </w:rPr>
              <w:t>Review Cycle</w:t>
            </w:r>
          </w:p>
        </w:tc>
        <w:tc>
          <w:tcPr>
            <w:tcW w:type="dxa" w:w="4513"/>
            <w:vAlign w:val="center"/>
          </w:tcPr>
          <w:p>
            <w:r>
              <w:rPr>
                <w:sz w:val="18"/>
              </w:rPr>
              <w:t>Annual</w:t>
            </w:r>
          </w:p>
        </w:tc>
      </w:tr>
      <w:tr>
        <w:tc>
          <w:tcPr>
            <w:tcW w:type="dxa" w:w="4513"/>
            <w:vAlign w:val="center"/>
          </w:tcPr>
          <w:p>
            <w:r>
              <w:rPr>
                <w:sz w:val="18"/>
              </w:rPr>
              <w:t>Supersedes</w:t>
            </w:r>
          </w:p>
        </w:tc>
        <w:tc>
          <w:tcPr>
            <w:tcW w:type="dxa" w:w="4513"/>
            <w:vAlign w:val="center"/>
          </w:tcPr>
          <w:p>
            <w:r>
              <w:rPr>
                <w:sz w:val="18"/>
              </w:rPr>
              <w:t>4.1 (2024-04-22)</w:t>
            </w:r>
          </w:p>
        </w:tc>
      </w:tr>
      <w:tr>
        <w:tc>
          <w:tcPr>
            <w:tcW w:type="dxa" w:w="4513"/>
            <w:vAlign w:val="center"/>
          </w:tcPr>
          <w:p>
            <w:r>
              <w:rPr>
                <w:sz w:val="18"/>
              </w:rPr>
              <w:t>Stored In</w:t>
            </w:r>
          </w:p>
        </w:tc>
        <w:tc>
          <w:tcPr>
            <w:tcW w:type="dxa" w:w="4513"/>
            <w:vAlign w:val="center"/>
          </w:tcPr>
          <w:p>
            <w:r>
              <w:rPr>
                <w:sz w:val="18"/>
              </w:rPr>
              <w:t>Document Control System (DCS)</w:t>
            </w:r>
          </w:p>
        </w:tc>
      </w:tr>
    </w:tbl>
    <w:p>
      <w:pPr>
        <w:ind w:left="720"/>
      </w:pPr>
      <w:r>
        <w:rPr>
          <w:i/>
          <w:sz w:val="20"/>
        </w:rPr>
      </w:r>
      <w:r>
        <w:rPr>
          <w:b/>
          <w:i/>
          <w:sz w:val="20"/>
        </w:rPr>
        <w:t>Uncontrolled when printed — verify the current version in DCS before use.</w:t>
      </w:r>
      <w:r>
        <w:rPr>
          <w:i/>
          <w:sz w:val="20"/>
        </w:rPr>
      </w:r>
    </w:p>
    <w:p>
      <w:pPr>
        <w:spacing w:before="120" w:after="120"/>
        <w:pBdr>
          <w:bottom w:val="single" w:sz="6" w:space="1" w:color="AAAAAA"/>
        </w:pBdr>
      </w:pPr>
    </w:p>
    <w:p>
      <w:pPr>
        <w:pStyle w:val="Heading2"/>
      </w:pPr>
      <w:r>
        <w:rPr>
          <w:color w:val="1F3864"/>
          <w:sz w:val="32"/>
        </w:rPr>
        <w:t>Table of Contents</w:t>
      </w:r>
    </w:p>
    <w:p>
      <w:pPr>
        <w:pStyle w:val="ListNumber"/>
      </w:pPr>
      <w:r>
        <w:rPr>
          <w:sz w:val="20"/>
        </w:rPr>
        <w:t>Purpose</w:t>
      </w:r>
    </w:p>
    <w:p>
      <w:pPr>
        <w:pStyle w:val="ListNumber"/>
      </w:pPr>
      <w:r>
        <w:rPr>
          <w:sz w:val="20"/>
        </w:rPr>
        <w:t>Scope</w:t>
      </w:r>
    </w:p>
    <w:p>
      <w:pPr>
        <w:pStyle w:val="ListNumber"/>
      </w:pPr>
      <w:r>
        <w:rPr>
          <w:sz w:val="20"/>
        </w:rPr>
        <w:t>Definitions</w:t>
      </w:r>
    </w:p>
    <w:p>
      <w:pPr>
        <w:pStyle w:val="ListNumber"/>
      </w:pPr>
      <w:r>
        <w:rPr>
          <w:sz w:val="20"/>
        </w:rPr>
        <w:t>Regulatory Basis</w:t>
      </w:r>
    </w:p>
    <w:p>
      <w:pPr>
        <w:pStyle w:val="ListNumber"/>
      </w:pPr>
      <w:r>
        <w:rPr>
          <w:sz w:val="20"/>
        </w:rPr>
        <w:t>Roles and Responsibilities</w:t>
      </w:r>
    </w:p>
    <w:p>
      <w:pPr>
        <w:pStyle w:val="ListNumber"/>
      </w:pPr>
      <w:r>
        <w:rPr>
          <w:sz w:val="20"/>
        </w:rPr>
        <w:t>Outage Data Capture in OMS</w:t>
      </w:r>
    </w:p>
    <w:p>
      <w:pPr>
        <w:pStyle w:val="ListNumber"/>
      </w:pPr>
      <w:r>
        <w:rPr>
          <w:sz w:val="20"/>
        </w:rPr>
        <w:t>Reportability Determination</w:t>
      </w:r>
    </w:p>
    <w:p>
      <w:pPr>
        <w:pStyle w:val="ListNumber"/>
      </w:pPr>
      <w:r>
        <w:rPr>
          <w:sz w:val="20"/>
        </w:rPr>
        <w:t>Initial Report</w:t>
      </w:r>
    </w:p>
    <w:p>
      <w:pPr>
        <w:pStyle w:val="ListNumber"/>
      </w:pPr>
      <w:r>
        <w:rPr>
          <w:sz w:val="20"/>
        </w:rPr>
        <w:t>Update Reports</w:t>
      </w:r>
    </w:p>
    <w:p>
      <w:pPr>
        <w:pStyle w:val="ListNumber"/>
      </w:pPr>
      <w:r>
        <w:rPr>
          <w:sz w:val="20"/>
        </w:rPr>
        <w:t>Final Report</w:t>
      </w:r>
    </w:p>
    <w:p>
      <w:pPr>
        <w:pStyle w:val="ListNumber"/>
      </w:pPr>
      <w:r>
        <w:rPr>
          <w:sz w:val="20"/>
        </w:rPr>
        <w:t>Restoration Priorities</w:t>
      </w:r>
    </w:p>
    <w:p>
      <w:pPr>
        <w:pStyle w:val="ListNumber"/>
      </w:pPr>
      <w:r>
        <w:rPr>
          <w:sz w:val="20"/>
        </w:rPr>
        <w:t>Planned (Intentional) Interruptions</w:t>
      </w:r>
    </w:p>
    <w:p>
      <w:pPr>
        <w:pStyle w:val="ListNumber"/>
      </w:pPr>
      <w:r>
        <w:rPr>
          <w:sz w:val="20"/>
        </w:rPr>
        <w:t>Storm Mode</w:t>
      </w:r>
    </w:p>
    <w:p>
      <w:pPr>
        <w:pStyle w:val="ListNumber"/>
      </w:pPr>
      <w:r>
        <w:rPr>
          <w:sz w:val="20"/>
        </w:rPr>
        <w:t>Interruption Records</w:t>
      </w:r>
    </w:p>
    <w:p>
      <w:pPr>
        <w:pStyle w:val="ListNumber"/>
      </w:pPr>
      <w:r>
        <w:rPr>
          <w:sz w:val="20"/>
        </w:rPr>
        <w:t>Annual Reliability Indices</w:t>
      </w:r>
    </w:p>
    <w:p>
      <w:pPr>
        <w:pStyle w:val="ListNumber"/>
      </w:pPr>
      <w:r>
        <w:rPr>
          <w:sz w:val="20"/>
        </w:rPr>
        <w:t>Worst-Performing Circuits Review</w:t>
      </w:r>
    </w:p>
    <w:p>
      <w:pPr>
        <w:pStyle w:val="ListNumber"/>
      </w:pPr>
      <w:r>
        <w:rPr>
          <w:sz w:val="20"/>
        </w:rPr>
        <w:t>Tree-Related Outage Data Handoff</w:t>
      </w:r>
    </w:p>
    <w:p>
      <w:pPr>
        <w:pStyle w:val="ListNumber"/>
      </w:pPr>
      <w:r>
        <w:rPr>
          <w:sz w:val="20"/>
        </w:rPr>
        <w:t>2024 Performance Summary (Preliminary)</w:t>
      </w:r>
    </w:p>
    <w:p>
      <w:pPr>
        <w:pStyle w:val="ListNumber"/>
      </w:pPr>
      <w:r>
        <w:rPr>
          <w:sz w:val="20"/>
        </w:rPr>
        <w:t>Training and Drills</w:t>
      </w:r>
    </w:p>
    <w:p>
      <w:pPr>
        <w:pStyle w:val="ListNumber"/>
      </w:pPr>
      <w:r>
        <w:rPr>
          <w:sz w:val="20"/>
        </w:rPr>
        <w:t>Related Documents</w:t>
      </w:r>
    </w:p>
    <w:p>
      <w:pPr>
        <w:pStyle w:val="ListNumber"/>
      </w:pPr>
      <w:r>
        <w:rPr>
          <w:sz w:val="20"/>
        </w:rPr>
        <w:t>Revision History</w:t>
      </w:r>
    </w:p>
    <w:p>
      <w:pPr>
        <w:pStyle w:val="ListNumber"/>
      </w:pPr>
      <w:r>
        <w:rPr>
          <w:sz w:val="20"/>
        </w:rPr>
        <w:t>Approval Block</w:t>
      </w:r>
    </w:p>
    <w:p>
      <w:r>
        <w:rPr>
          <w:sz w:val="20"/>
        </w:rPr>
      </w:r>
      <w:r>
        <w:rPr>
          <w:b/>
          <w:sz w:val="20"/>
        </w:rPr>
        <w:t>Appendices:</w:t>
      </w:r>
      <w:r>
        <w:rPr>
          <w:sz w:val="20"/>
        </w:rPr>
      </w:r>
    </w:p>
    <w:p>
      <w:r>
        <w:rPr>
          <w:sz w:val="20"/>
        </w:rPr>
        <w:t>App-A — Completed State Form 54646 Example</w:t>
      </w:r>
    </w:p>
    <w:p>
      <w:r>
        <w:rPr>
          <w:sz w:val="20"/>
        </w:rPr>
        <w:t>App-B — DCC Reporting Checklist</w:t>
      </w:r>
    </w:p>
    <w:p>
      <w:r>
        <w:rPr>
          <w:sz w:val="20"/>
        </w:rPr>
        <w:t>App-C — Notification Contact Sheet</w:t>
      </w:r>
    </w:p>
    <w:p>
      <w:r>
        <w:rPr>
          <w:sz w:val="20"/>
        </w:rPr>
        <w:t>App-D — OMS Cause-Code Table</w:t>
      </w:r>
    </w:p>
    <w:p>
      <w:r>
        <w:rPr>
          <w:sz w:val="20"/>
        </w:rPr>
        <w:t>App-E — Data Dictionary</w:t>
      </w:r>
    </w:p>
    <w:p>
      <w:pPr>
        <w:spacing w:before="120" w:after="120"/>
        <w:pBdr>
          <w:bottom w:val="single" w:sz="6" w:space="1" w:color="AAAAAA"/>
        </w:pBdr>
      </w:pPr>
    </w:p>
    <w:p>
      <w:pPr>
        <w:pStyle w:val="Heading2"/>
      </w:pPr>
      <w:r>
        <w:rPr>
          <w:color w:val="1F3864"/>
          <w:sz w:val="32"/>
        </w:rPr>
        <w:t>1. Purpose</w:t>
      </w:r>
    </w:p>
    <w:p>
      <w:r>
        <w:rPr>
          <w:sz w:val="20"/>
        </w:rPr>
        <w:t>This procedure establishes the Distribution Control Center's (DCC) requirements for detecting, classifying, recording, and reporting service interruptions to the Indiana Utility Regulatory Commission (IURC); for compiling and filing annual reliability indices; for issuing advance notice of planned interruptions; and for handing off tree-related outage data to the Vegetation Management Program. It also documents RPL's restoration priorities and the records required to support regulatory compliance.</w:t>
      </w:r>
    </w:p>
    <w:p>
      <w:r>
        <w:rPr>
          <w:sz w:val="20"/>
        </w:rPr>
        <w:t>The DCC operates 24 hours per day, 7 days per week from RPL's headquarters at 400 Wabash Commons Drive, Lafayette, Indiana 47901.</w:t>
      </w:r>
    </w:p>
    <w:p>
      <w:pPr>
        <w:spacing w:before="120" w:after="120"/>
        <w:pBdr>
          <w:bottom w:val="single" w:sz="6" w:space="1" w:color="AAAAAA"/>
        </w:pBdr>
      </w:pPr>
    </w:p>
    <w:p>
      <w:pPr>
        <w:pStyle w:val="Heading2"/>
      </w:pPr>
      <w:r>
        <w:rPr>
          <w:color w:val="1F3864"/>
          <w:sz w:val="32"/>
        </w:rPr>
        <w:t>2. Scope</w:t>
      </w:r>
    </w:p>
    <w:p>
      <w:pPr>
        <w:pStyle w:val="Heading3"/>
      </w:pPr>
      <w:r>
        <w:rPr>
          <w:sz w:val="28"/>
        </w:rPr>
        <w:t>2.1 In Scope</w:t>
      </w:r>
    </w:p>
    <w:p>
      <w:r>
        <w:rPr>
          <w:sz w:val="20"/>
        </w:rPr>
        <w:t>This procedure applies to:</w:t>
      </w:r>
    </w:p>
    <w:p>
      <w:pPr>
        <w:pStyle w:val="ListBullet"/>
      </w:pPr>
      <w:r>
        <w:rPr>
          <w:sz w:val="20"/>
        </w:rPr>
        <w:t>All sustained service interruptions on RPL's 12.47 kV and 34.5 kV distribution system and 69 kV subtransmission system affecting metered customers;</w:t>
      </w:r>
    </w:p>
    <w:p>
      <w:pPr>
        <w:pStyle w:val="ListBullet"/>
      </w:pPr>
      <w:r>
        <w:rPr>
          <w:sz w:val="20"/>
        </w:rPr>
        <w:t>Planned interruptions for maintenance, construction, or emergency switching;</w:t>
      </w:r>
    </w:p>
    <w:p>
      <w:pPr>
        <w:pStyle w:val="ListBullet"/>
      </w:pPr>
      <w:r>
        <w:rPr>
          <w:sz w:val="20"/>
        </w:rPr>
        <w:t>The annual reliability indices report filed with the IURC under 170 IAC 4-1-23(e);</w:t>
      </w:r>
    </w:p>
    <w:p>
      <w:pPr>
        <w:pStyle w:val="ListBullet"/>
      </w:pPr>
      <w:r>
        <w:rPr>
          <w:sz w:val="20"/>
        </w:rPr>
        <w:t>DCC operators, the DCC Manager (P23), the Director of Distribution Operations (P21), and the Regulatory Affairs team (P08, P09) in their reporting roles.</w:t>
      </w:r>
    </w:p>
    <w:p>
      <w:pPr>
        <w:pStyle w:val="Heading3"/>
      </w:pPr>
      <w:r>
        <w:rPr>
          <w:sz w:val="28"/>
        </w:rPr>
        <w:t>2.2 Out of Scope</w:t>
      </w:r>
    </w:p>
    <w:p>
      <w:pPr>
        <w:pStyle w:val="ListBullet"/>
      </w:pPr>
      <w:r>
        <w:rPr>
          <w:sz w:val="20"/>
        </w:rPr>
        <w:t>Momentary interruptions (restorations within 5 minutes or the RPL-defined threshold — see §3.9);</w:t>
      </w:r>
    </w:p>
    <w:p>
      <w:pPr>
        <w:pStyle w:val="ListBullet"/>
      </w:pPr>
      <w:r>
        <w:rPr>
          <w:sz w:val="20"/>
        </w:rPr>
        <w:t>Voltage deviations or power quality events that do not result in service interruption;</w:t>
      </w:r>
    </w:p>
    <w:p>
      <w:pPr>
        <w:pStyle w:val="ListBullet"/>
      </w:pPr>
      <w:r>
        <w:rPr>
          <w:sz w:val="20"/>
        </w:rPr>
        <w:t>Curtailments under interruptible rate schedules when occurring pursuant to the customer's service agreement (170 IAC 4-1-23(b)(6));</w:t>
      </w:r>
    </w:p>
    <w:p>
      <w:pPr>
        <w:pStyle w:val="ListBullet"/>
      </w:pPr>
      <w:r>
        <w:rPr>
          <w:sz w:val="20"/>
        </w:rPr>
        <w:t>Accident reporting (RPL-SAF-PRO-009);</w:t>
      </w:r>
    </w:p>
    <w:p>
      <w:pPr>
        <w:pStyle w:val="ListBullet"/>
      </w:pPr>
      <w:r>
        <w:rPr>
          <w:sz w:val="20"/>
        </w:rPr>
        <w:t>FERC/MISO transmission-level events beyond RPL's operated facilities.</w:t>
      </w:r>
    </w:p>
    <w:p>
      <w:pPr>
        <w:spacing w:before="120" w:after="120"/>
        <w:pBdr>
          <w:bottom w:val="single" w:sz="6" w:space="1" w:color="AAAAAA"/>
        </w:pBdr>
      </w:pPr>
    </w:p>
    <w:p>
      <w:pPr>
        <w:pStyle w:val="Heading2"/>
      </w:pPr>
      <w:r>
        <w:rPr>
          <w:color w:val="1F3864"/>
          <w:sz w:val="32"/>
        </w:rPr>
        <w:t>3. Definitions</w:t>
      </w:r>
    </w:p>
    <w:p>
      <w:r>
        <w:rPr>
          <w:sz w:val="20"/>
        </w:rPr>
      </w:r>
      <w:r>
        <w:rPr>
          <w:b/>
          <w:sz w:val="20"/>
        </w:rPr>
        <w:t>3.1 Business days</w:t>
      </w:r>
      <w:r>
        <w:rPr>
          <w:sz w:val="20"/>
        </w:rPr>
        <w:t xml:space="preserve"> — All days other than (A) Saturday, (B) Sunday, or (C) a legal holiday observed by the state of Indiana. (170 IAC 4-1-23(a)(1))</w:t>
      </w:r>
    </w:p>
    <w:p>
      <w:r>
        <w:rPr>
          <w:sz w:val="20"/>
        </w:rPr>
      </w:r>
      <w:r>
        <w:rPr>
          <w:b/>
          <w:sz w:val="20"/>
        </w:rPr>
        <w:t>3.2 Nonbusiness days</w:t>
      </w:r>
      <w:r>
        <w:rPr>
          <w:sz w:val="20"/>
        </w:rPr>
        <w:t xml:space="preserve"> — Saturday, Sunday, or a legal holiday observed by the state of Indiana. (170 IAC 4-1-23(a)(7))</w:t>
      </w:r>
    </w:p>
    <w:p>
      <w:r>
        <w:rPr>
          <w:sz w:val="20"/>
        </w:rPr>
      </w:r>
      <w:r>
        <w:rPr>
          <w:b/>
          <w:sz w:val="20"/>
        </w:rPr>
        <w:t>3.3 Customer</w:t>
      </w:r>
      <w:r>
        <w:rPr>
          <w:sz w:val="20"/>
        </w:rPr>
        <w:t xml:space="preserve"> — For reliability reporting purposes, a metered electrical service point for which an active bill account is established at a specific location. (170 IAC 4-1-23(a)(2))</w:t>
      </w:r>
    </w:p>
    <w:p>
      <w:r>
        <w:rPr>
          <w:sz w:val="20"/>
        </w:rPr>
      </w:r>
      <w:r>
        <w:rPr>
          <w:b/>
          <w:sz w:val="20"/>
        </w:rPr>
        <w:t>3.4 Customer of record</w:t>
      </w:r>
      <w:r>
        <w:rPr>
          <w:sz w:val="20"/>
        </w:rPr>
        <w:t xml:space="preserve"> — Any person, firm, corporation, municipality, or other government agency that has agreed, orally or otherwise, to pay for electric service received from RPL. (170 IAC 4-1-23(a)(4)) For planned interruption notice purposes, RPL uses "customer of record" to identify the party to be notified.</w:t>
      </w:r>
    </w:p>
    <w:p>
      <w:r>
        <w:rPr>
          <w:sz w:val="20"/>
        </w:rPr>
      </w:r>
      <w:r>
        <w:rPr>
          <w:b/>
          <w:sz w:val="20"/>
        </w:rPr>
        <w:t>3.5 Interruption</w:t>
      </w:r>
      <w:r>
        <w:rPr>
          <w:sz w:val="20"/>
        </w:rPr>
        <w:t xml:space="preserve"> — The loss of electrical service to one (1) or more customers connected to the distribution portion of the system. (170 IAC 4-1-23(a)(5))</w:t>
      </w:r>
    </w:p>
    <w:p>
      <w:r>
        <w:rPr>
          <w:sz w:val="20"/>
        </w:rPr>
      </w:r>
      <w:r>
        <w:rPr>
          <w:b/>
          <w:sz w:val="20"/>
        </w:rPr>
        <w:t>3.6 Sustained service interruption</w:t>
      </w:r>
      <w:r>
        <w:rPr>
          <w:sz w:val="20"/>
        </w:rPr>
        <w:t xml:space="preserve"> — A service interruption that is greater than or equal to five (5) minutes unless defined as five (5) minutes or less by the individual utility. (170 IAC 4-1-23(a)(10))</w:t>
      </w:r>
    </w:p>
    <w:p>
      <w:r>
        <w:rPr>
          <w:sz w:val="20"/>
        </w:rPr>
        <w:t>Company practice: RPL applies the statutory five-minute threshold. Interruptions restored within five minutes are classified as momentary and are not counted in SAIFI or SAIDI but are tracked separately.</w:t>
      </w:r>
    </w:p>
    <w:p>
      <w:r>
        <w:rPr>
          <w:sz w:val="20"/>
        </w:rPr>
      </w:r>
      <w:r>
        <w:rPr>
          <w:b/>
          <w:sz w:val="20"/>
        </w:rPr>
        <w:t>3.7 Momentary interruption</w:t>
      </w:r>
      <w:r>
        <w:rPr>
          <w:sz w:val="20"/>
        </w:rPr>
        <w:t xml:space="preserve"> — Company practice: a service interruption that is restored within five (5) minutes of its start. Momentary interruptions are counted in the Momentary Average Interruption Frequency Index (MAIFI) and are not included in SAIFI or SAIDI calculations.</w:t>
      </w:r>
    </w:p>
    <w:p>
      <w:r>
        <w:rPr>
          <w:sz w:val="20"/>
        </w:rPr>
      </w:r>
      <w:r>
        <w:rPr>
          <w:b/>
          <w:sz w:val="20"/>
        </w:rPr>
        <w:t>3.8 Planned service interruption (intentional interruption)</w:t>
      </w:r>
      <w:r>
        <w:rPr>
          <w:sz w:val="20"/>
        </w:rPr>
        <w:t xml:space="preserve"> — A service interruption initiated by RPL to perform scheduled activities, including but not limited to: (A) maintenance; (B) infrastructure improvements; and (C) new construction due to customer growth. Customers of record are typically notified in advance of such events. (170 IAC 4-1-23(a)(8))</w:t>
      </w:r>
    </w:p>
    <w:p>
      <w:r>
        <w:rPr>
          <w:sz w:val="20"/>
        </w:rPr>
      </w:r>
      <w:r>
        <w:rPr>
          <w:b/>
          <w:sz w:val="20"/>
        </w:rPr>
        <w:t>3.9 Outage incident</w:t>
      </w:r>
      <w:r>
        <w:rPr>
          <w:sz w:val="20"/>
        </w:rPr>
        <w:t xml:space="preserve"> — Company practice: a grouping of one or more related outage events occurring on the same circuit or set of adjacent circuits, resulting from the same initiating cause, and managed as a single restoration effort. An incident may include multiple sequential restoration steps, each of which is recorded as a separate event in the OMS.</w:t>
      </w:r>
    </w:p>
    <w:p>
      <w:r>
        <w:rPr>
          <w:sz w:val="20"/>
        </w:rPr>
      </w:r>
      <w:r>
        <w:rPr>
          <w:b/>
          <w:sz w:val="20"/>
        </w:rPr>
        <w:t>3.10 Outage event</w:t>
      </w:r>
      <w:r>
        <w:rPr>
          <w:sz w:val="20"/>
        </w:rPr>
        <w:t xml:space="preserve"> — Company practice: a single device operation resulting in the loss of service to customers. One incident typically comprises multiple events (e.g., a feeder breaker trip followed by sectionalizer isolations and lateral restorations).</w:t>
      </w:r>
    </w:p>
    <w:p>
      <w:r>
        <w:rPr>
          <w:sz w:val="20"/>
        </w:rPr>
      </w:r>
      <w:r>
        <w:rPr>
          <w:b/>
          <w:sz w:val="20"/>
        </w:rPr>
        <w:t>3.11 Customer minutes of interruption (CMI)</w:t>
      </w:r>
      <w:r>
        <w:rPr>
          <w:sz w:val="20"/>
        </w:rPr>
        <w:t xml:space="preserve"> — Company practice: the sum, across all customers affected, of each customer's interruption duration in minutes. For step-restoration incidents, CMI = Σ (customers restored in step × minutes from event start to that step's restoration time).</w:t>
      </w:r>
    </w:p>
    <w:p>
      <w:r>
        <w:rPr>
          <w:sz w:val="20"/>
        </w:rPr>
      </w:r>
      <w:r>
        <w:rPr>
          <w:b/>
          <w:sz w:val="20"/>
        </w:rPr>
        <w:t>3.12 SAIFI (System Average Interruption Frequency Index)</w:t>
      </w:r>
      <w:r>
        <w:rPr>
          <w:sz w:val="20"/>
        </w:rPr>
        <w:t xml:space="preserve"> — Calculated by dividing the summation of customers that experienced sustained service interruptions over a specified period of time by the total number of customers served. This index indicates how many sustained service interruptions a customer experiences over a specified period of time. (170 IAC 4-1-23(a)(12))</w:t>
      </w:r>
    </w:p>
    <w:p>
      <w:r>
        <w:rPr>
          <w:sz w:val="20"/>
        </w:rPr>
      </w:r>
      <w:r>
        <w:rPr>
          <w:b/>
          <w:sz w:val="20"/>
        </w:rPr>
        <w:t>3.13 SAIDI (System Average Interruption Duration Index)</w:t>
      </w:r>
      <w:r>
        <w:rPr>
          <w:sz w:val="20"/>
        </w:rPr>
        <w:t xml:space="preserve"> — Calculated by dividing the summation of sustained service interruption durations for a specified period of time by the total number of customers served. This index indicates the total duration of a sustained service interruption for the average customer during a specified period of time. (170 IAC 4-1-23(a)(11))</w:t>
      </w:r>
    </w:p>
    <w:p>
      <w:r>
        <w:rPr>
          <w:sz w:val="20"/>
        </w:rPr>
      </w:r>
      <w:r>
        <w:rPr>
          <w:b/>
          <w:sz w:val="20"/>
        </w:rPr>
        <w:t>3.14 CAIDI (Customer Average Interruption Duration Index)</w:t>
      </w:r>
      <w:r>
        <w:rPr>
          <w:sz w:val="20"/>
        </w:rPr>
        <w:t xml:space="preserve"> — Calculated by dividing the summation of sustained service interruption durations for a specified period of time by the total number of customers interrupted. This index indicates the average time required to restore a sustained service interruption. (170 IAC 4-1-23(a)(3)) CAIDI = SAIDI / SAIFI.</w:t>
      </w:r>
    </w:p>
    <w:p>
      <w:r>
        <w:rPr>
          <w:sz w:val="20"/>
        </w:rPr>
      </w:r>
      <w:r>
        <w:rPr>
          <w:b/>
          <w:sz w:val="20"/>
        </w:rPr>
        <w:t>3.15 Major event (MED — Major Event Day)</w:t>
      </w:r>
      <w:r>
        <w:rPr>
          <w:sz w:val="20"/>
        </w:rPr>
        <w:t xml:space="preserve"> — Company practice: a calendar day on which the system-level daily SAIDI exceeds the Major Event Day threshold (TMED). TMED is computed from five years of daily SAIDI data using the IEEE Std 1366™-2012 §2.5β method. Events beginning on a MED are excluded from ex-MED index calculations; all customer-minutes from those events accrue to the start date (begin-date convention). The definition of major event used for reporting purposes is stated in the annual reliability indices report per 170 IAC 4-1-23(e)(2).</w:t>
      </w:r>
    </w:p>
    <w:p>
      <w:r>
        <w:rPr>
          <w:sz w:val="20"/>
        </w:rPr>
      </w:r>
      <w:r>
        <w:rPr>
          <w:b/>
          <w:sz w:val="20"/>
        </w:rPr>
        <w:t>3.16 TMED (Major Event Day threshold)</w:t>
      </w:r>
      <w:r>
        <w:rPr>
          <w:sz w:val="20"/>
        </w:rPr>
        <w:t xml:space="preserve"> — The daily SAIDI threshold separating routine days from major event days. For 2024 reporting, TMED = 137.19 customer-minutes per customer per day, computed from 2019–2023 daily SAIDI data using the IEEE 1366 §2.5β algorithm. See §15.3 for the worked derivation.</w:t>
      </w:r>
    </w:p>
    <w:p>
      <w:r>
        <w:rPr>
          <w:sz w:val="20"/>
        </w:rPr>
      </w:r>
      <w:r>
        <w:rPr>
          <w:b/>
          <w:sz w:val="20"/>
        </w:rPr>
        <w:t>3.17 Investor-owned utility</w:t>
      </w:r>
      <w:r>
        <w:rPr>
          <w:sz w:val="20"/>
        </w:rPr>
        <w:t xml:space="preserve"> — Any utility that is financed by the sale of securities and whose business operations are overseen by a board representing their shareholders. (170 IAC 4-1-23(a)(6)) RPL is an investor-owned utility under this definition.</w:t>
      </w:r>
    </w:p>
    <w:p>
      <w:r>
        <w:rPr>
          <w:sz w:val="20"/>
        </w:rPr>
      </w:r>
      <w:r>
        <w:rPr>
          <w:b/>
          <w:sz w:val="20"/>
        </w:rPr>
        <w:t>3.18 REMC</w:t>
      </w:r>
      <w:r>
        <w:rPr>
          <w:sz w:val="20"/>
        </w:rPr>
        <w:t xml:space="preserve"> — An electric utility formed under IC 8-1-13. (170 IAC 4-1-23(a)(9)) REMC-specific thresholds in 170 IAC 4-1-23(b)(1)(B) do not apply to RPL.</w:t>
      </w:r>
    </w:p>
    <w:p>
      <w:r>
        <w:rPr>
          <w:sz w:val="20"/>
        </w:rPr>
      </w:r>
      <w:r>
        <w:rPr>
          <w:b/>
          <w:sz w:val="20"/>
        </w:rPr>
        <w:t>3.19 State Form 54646</w:t>
      </w:r>
      <w:r>
        <w:rPr>
          <w:sz w:val="20"/>
        </w:rPr>
        <w:t xml:space="preserve"> — The IURC-prescribed form "Report of Outage" used to submit initial, update, and final interruption reports. The form captures: utility contact, customers affected and still out, interruption start time, estimated restoration time, location (county/city), cause, and report type.</w:t>
      </w:r>
    </w:p>
    <w:p>
      <w:r>
        <w:rPr>
          <w:sz w:val="20"/>
        </w:rPr>
      </w:r>
      <w:r>
        <w:rPr>
          <w:b/>
          <w:sz w:val="20"/>
        </w:rPr>
        <w:t>3.20 Restoration step</w:t>
      </w:r>
      <w:r>
        <w:rPr>
          <w:sz w:val="20"/>
        </w:rPr>
        <w:t xml:space="preserve"> — Company practice: a documented crew action that restores service to a group of customers. Each step is logged in OMS with the timestamp, customers restored, and the crew lead identifier.</w:t>
      </w:r>
    </w:p>
    <w:p>
      <w:pPr>
        <w:spacing w:before="120" w:after="120"/>
        <w:pBdr>
          <w:bottom w:val="single" w:sz="6" w:space="1" w:color="AAAAAA"/>
        </w:pBdr>
      </w:pPr>
    </w:p>
    <w:p>
      <w:pPr>
        <w:pStyle w:val="Heading2"/>
      </w:pPr>
      <w:r>
        <w:rPr>
          <w:color w:val="1F3864"/>
          <w:sz w:val="32"/>
        </w:rPr>
        <w:t>4. Regulatory Basis</w:t>
      </w:r>
    </w:p>
    <w:tbl>
      <w:tblPr>
        <w:tblStyle w:val="TableGrid"/>
        <w:tblW w:type="auto" w:w="0"/>
        <w:tblLook w:firstColumn="1" w:firstRow="1" w:lastColumn="0" w:lastRow="0" w:noHBand="0" w:noVBand="1" w:val="04A0"/>
      </w:tblPr>
      <w:tblGrid>
        <w:gridCol w:w="2256"/>
        <w:gridCol w:w="2256"/>
        <w:gridCol w:w="2256"/>
        <w:gridCol w:w="2256"/>
      </w:tblGrid>
      <w:tr>
        <w:tc>
          <w:tcPr>
            <w:tcW w:type="dxa" w:w="2256"/>
            <w:vAlign w:val="center"/>
            <w:shd w:val="clear" w:color="auto" w:fill="D9E1F2"/>
          </w:tcPr>
          <w:p>
            <w:r>
              <w:rPr>
                <w:b/>
                <w:sz w:val="18"/>
              </w:rPr>
              <w:t>ID</w:t>
            </w:r>
          </w:p>
        </w:tc>
        <w:tc>
          <w:tcPr>
            <w:tcW w:type="dxa" w:w="2256"/>
            <w:vAlign w:val="center"/>
            <w:shd w:val="clear" w:color="auto" w:fill="D9E1F2"/>
          </w:tcPr>
          <w:p>
            <w:r>
              <w:rPr>
                <w:b/>
                <w:sz w:val="18"/>
              </w:rPr>
              <w:t>Citation</w:t>
            </w:r>
          </w:p>
        </w:tc>
        <w:tc>
          <w:tcPr>
            <w:tcW w:type="dxa" w:w="2256"/>
            <w:vAlign w:val="center"/>
            <w:shd w:val="clear" w:color="auto" w:fill="D9E1F2"/>
          </w:tcPr>
          <w:p>
            <w:r>
              <w:rPr>
                <w:b/>
                <w:sz w:val="18"/>
              </w:rPr>
              <w:t>Heading</w:t>
            </w:r>
          </w:p>
        </w:tc>
        <w:tc>
          <w:tcPr>
            <w:tcW w:type="dxa" w:w="2256"/>
            <w:vAlign w:val="center"/>
            <w:shd w:val="clear" w:color="auto" w:fill="D9E1F2"/>
          </w:tcPr>
          <w:p>
            <w:r>
              <w:rPr>
                <w:b/>
                <w:sz w:val="18"/>
              </w:rPr>
              <w:t>What It Governs in This Procedure</w:t>
            </w:r>
          </w:p>
        </w:tc>
      </w:tr>
      <w:tr>
        <w:tc>
          <w:tcPr>
            <w:tcW w:type="dxa" w:w="2256"/>
            <w:vAlign w:val="center"/>
          </w:tcPr>
          <w:p>
            <w:r>
              <w:rPr>
                <w:sz w:val="18"/>
              </w:rPr>
              <w:t>T4-1</w:t>
            </w:r>
          </w:p>
        </w:tc>
        <w:tc>
          <w:tcPr>
            <w:tcW w:type="dxa" w:w="2256"/>
            <w:vAlign w:val="center"/>
          </w:tcPr>
          <w:p>
            <w:r>
              <w:rPr>
                <w:sz w:val="18"/>
              </w:rPr>
              <w:t>170 IAC 4-1-1</w:t>
            </w:r>
          </w:p>
        </w:tc>
        <w:tc>
          <w:tcPr>
            <w:tcW w:type="dxa" w:w="2256"/>
            <w:vAlign w:val="center"/>
          </w:tcPr>
          <w:p>
            <w:r>
              <w:rPr>
                <w:sz w:val="18"/>
              </w:rPr>
              <w:t>Definitions</w:t>
            </w:r>
          </w:p>
        </w:tc>
        <w:tc>
          <w:tcPr>
            <w:tcW w:type="dxa" w:w="2256"/>
            <w:vAlign w:val="center"/>
          </w:tcPr>
          <w:p>
            <w:r>
              <w:rPr>
                <w:sz w:val="18"/>
              </w:rPr>
              <w:t>Context definitions for "customer" and "disconnection"</w:t>
            </w:r>
          </w:p>
        </w:tc>
      </w:tr>
      <w:tr>
        <w:tc>
          <w:tcPr>
            <w:tcW w:type="dxa" w:w="2256"/>
            <w:vAlign w:val="center"/>
          </w:tcPr>
          <w:p>
            <w:r>
              <w:rPr>
                <w:sz w:val="18"/>
              </w:rPr>
              <w:t>T4-2</w:t>
            </w:r>
          </w:p>
        </w:tc>
        <w:tc>
          <w:tcPr>
            <w:tcW w:type="dxa" w:w="2256"/>
            <w:vAlign w:val="center"/>
          </w:tcPr>
          <w:p>
            <w:r>
              <w:rPr>
                <w:sz w:val="18"/>
              </w:rPr>
              <w:t>170 IAC 4-1-2</w:t>
            </w:r>
          </w:p>
        </w:tc>
        <w:tc>
          <w:tcPr>
            <w:tcW w:type="dxa" w:w="2256"/>
            <w:vAlign w:val="center"/>
          </w:tcPr>
          <w:p>
            <w:r>
              <w:rPr>
                <w:sz w:val="18"/>
              </w:rPr>
              <w:t>Applicability of rules</w:t>
            </w:r>
          </w:p>
        </w:tc>
        <w:tc>
          <w:tcPr>
            <w:tcW w:type="dxa" w:w="2256"/>
            <w:vAlign w:val="center"/>
          </w:tcPr>
          <w:p>
            <w:r>
              <w:rPr>
                <w:sz w:val="18"/>
              </w:rPr>
              <w:t>Confirms RPL is subject to this article as an IOU</w:t>
            </w:r>
          </w:p>
        </w:tc>
      </w:tr>
      <w:tr>
        <w:tc>
          <w:tcPr>
            <w:tcW w:type="dxa" w:w="2256"/>
            <w:vAlign w:val="center"/>
          </w:tcPr>
          <w:p>
            <w:r>
              <w:rPr>
                <w:sz w:val="18"/>
              </w:rPr>
              <w:t>T4-3</w:t>
            </w:r>
          </w:p>
        </w:tc>
        <w:tc>
          <w:tcPr>
            <w:tcW w:type="dxa" w:w="2256"/>
            <w:vAlign w:val="center"/>
          </w:tcPr>
          <w:p>
            <w:r>
              <w:rPr>
                <w:sz w:val="18"/>
              </w:rPr>
              <w:t>170 IAC 4-1-3</w:t>
            </w:r>
          </w:p>
        </w:tc>
        <w:tc>
          <w:tcPr>
            <w:tcW w:type="dxa" w:w="2256"/>
            <w:vAlign w:val="center"/>
          </w:tcPr>
          <w:p>
            <w:r>
              <w:rPr>
                <w:sz w:val="18"/>
              </w:rPr>
              <w:t>Retention of records</w:t>
            </w:r>
          </w:p>
        </w:tc>
        <w:tc>
          <w:tcPr>
            <w:tcW w:type="dxa" w:w="2256"/>
            <w:vAlign w:val="center"/>
          </w:tcPr>
          <w:p>
            <w:r>
              <w:rPr>
                <w:sz w:val="18"/>
              </w:rPr>
              <w:t>Minimum record retention: at least 3 years for all required records</w:t>
            </w:r>
          </w:p>
        </w:tc>
      </w:tr>
      <w:tr>
        <w:tc>
          <w:tcPr>
            <w:tcW w:type="dxa" w:w="2256"/>
            <w:vAlign w:val="center"/>
          </w:tcPr>
          <w:p>
            <w:r>
              <w:rPr>
                <w:sz w:val="18"/>
              </w:rPr>
              <w:t>T4-4</w:t>
            </w:r>
          </w:p>
        </w:tc>
        <w:tc>
          <w:tcPr>
            <w:tcW w:type="dxa" w:w="2256"/>
            <w:vAlign w:val="center"/>
          </w:tcPr>
          <w:p>
            <w:r>
              <w:rPr>
                <w:sz w:val="18"/>
              </w:rPr>
              <w:t>170 IAC 4-1-23(a)</w:t>
            </w:r>
          </w:p>
        </w:tc>
        <w:tc>
          <w:tcPr>
            <w:tcW w:type="dxa" w:w="2256"/>
            <w:vAlign w:val="center"/>
          </w:tcPr>
          <w:p>
            <w:r>
              <w:rPr>
                <w:sz w:val="18"/>
              </w:rPr>
              <w:t>Interruption definitions</w:t>
            </w:r>
          </w:p>
        </w:tc>
        <w:tc>
          <w:tcPr>
            <w:tcW w:type="dxa" w:w="2256"/>
            <w:vAlign w:val="center"/>
          </w:tcPr>
          <w:p>
            <w:r>
              <w:rPr>
                <w:sz w:val="18"/>
              </w:rPr>
              <w:t>SAIFI, SAIDI, CAIDI, sustained/planned interruption, business/nonbusiness days</w:t>
            </w:r>
          </w:p>
        </w:tc>
      </w:tr>
      <w:tr>
        <w:tc>
          <w:tcPr>
            <w:tcW w:type="dxa" w:w="2256"/>
            <w:vAlign w:val="center"/>
          </w:tcPr>
          <w:p>
            <w:r>
              <w:rPr>
                <w:sz w:val="18"/>
              </w:rPr>
              <w:t>T4-5</w:t>
            </w:r>
          </w:p>
        </w:tc>
        <w:tc>
          <w:tcPr>
            <w:tcW w:type="dxa" w:w="2256"/>
            <w:vAlign w:val="center"/>
          </w:tcPr>
          <w:p>
            <w:r>
              <w:rPr>
                <w:sz w:val="18"/>
              </w:rPr>
              <w:t>170 IAC 4-1-23(b)</w:t>
            </w:r>
          </w:p>
        </w:tc>
        <w:tc>
          <w:tcPr>
            <w:tcW w:type="dxa" w:w="2256"/>
            <w:vAlign w:val="center"/>
          </w:tcPr>
          <w:p>
            <w:r>
              <w:rPr>
                <w:sz w:val="18"/>
              </w:rPr>
              <w:t>Reportability and reporting intervals</w:t>
            </w:r>
          </w:p>
        </w:tc>
        <w:tc>
          <w:tcPr>
            <w:tcW w:type="dxa" w:w="2256"/>
            <w:vAlign w:val="center"/>
          </w:tcPr>
          <w:p>
            <w:r>
              <w:rPr>
                <w:sz w:val="18"/>
              </w:rPr>
              <w:t>IOU reporting threshold, scheduled intervals, channel, final report trigger</w:t>
            </w:r>
          </w:p>
        </w:tc>
      </w:tr>
      <w:tr>
        <w:tc>
          <w:tcPr>
            <w:tcW w:type="dxa" w:w="2256"/>
            <w:vAlign w:val="center"/>
          </w:tcPr>
          <w:p>
            <w:r>
              <w:rPr>
                <w:sz w:val="18"/>
              </w:rPr>
              <w:t>T4-6</w:t>
            </w:r>
          </w:p>
        </w:tc>
        <w:tc>
          <w:tcPr>
            <w:tcW w:type="dxa" w:w="2256"/>
            <w:vAlign w:val="center"/>
          </w:tcPr>
          <w:p>
            <w:r>
              <w:rPr>
                <w:sz w:val="18"/>
              </w:rPr>
              <w:t>170 IAC 4-1-23(c)</w:t>
            </w:r>
          </w:p>
        </w:tc>
        <w:tc>
          <w:tcPr>
            <w:tcW w:type="dxa" w:w="2256"/>
            <w:vAlign w:val="center"/>
          </w:tcPr>
          <w:p>
            <w:r>
              <w:rPr>
                <w:sz w:val="18"/>
              </w:rPr>
              <w:t>Planned interruption notice</w:t>
            </w:r>
          </w:p>
        </w:tc>
        <w:tc>
          <w:tcPr>
            <w:tcW w:type="dxa" w:w="2256"/>
            <w:vAlign w:val="center"/>
          </w:tcPr>
          <w:p>
            <w:r>
              <w:rPr>
                <w:sz w:val="18"/>
              </w:rPr>
              <w:t>Advance notice obligation for interruptions &gt; 1 hour</w:t>
            </w:r>
          </w:p>
        </w:tc>
      </w:tr>
      <w:tr>
        <w:tc>
          <w:tcPr>
            <w:tcW w:type="dxa" w:w="2256"/>
            <w:vAlign w:val="center"/>
          </w:tcPr>
          <w:p>
            <w:r>
              <w:rPr>
                <w:sz w:val="18"/>
              </w:rPr>
              <w:t>T4-7</w:t>
            </w:r>
          </w:p>
        </w:tc>
        <w:tc>
          <w:tcPr>
            <w:tcW w:type="dxa" w:w="2256"/>
            <w:vAlign w:val="center"/>
          </w:tcPr>
          <w:p>
            <w:r>
              <w:rPr>
                <w:sz w:val="18"/>
              </w:rPr>
              <w:t>170 IAC 4-1-23(d)</w:t>
            </w:r>
          </w:p>
        </w:tc>
        <w:tc>
          <w:tcPr>
            <w:tcW w:type="dxa" w:w="2256"/>
            <w:vAlign w:val="center"/>
          </w:tcPr>
          <w:p>
            <w:r>
              <w:rPr>
                <w:sz w:val="18"/>
              </w:rPr>
              <w:t>Restoration priorities and emergency procedures</w:t>
            </w:r>
          </w:p>
        </w:tc>
        <w:tc>
          <w:tcPr>
            <w:tcW w:type="dxa" w:w="2256"/>
            <w:vAlign w:val="center"/>
          </w:tcPr>
          <w:p>
            <w:r>
              <w:rPr>
                <w:sz w:val="18"/>
              </w:rPr>
              <w:t>Public health and safety first; written emergency procedures</w:t>
            </w:r>
          </w:p>
        </w:tc>
      </w:tr>
      <w:tr>
        <w:tc>
          <w:tcPr>
            <w:tcW w:type="dxa" w:w="2256"/>
            <w:vAlign w:val="center"/>
          </w:tcPr>
          <w:p>
            <w:r>
              <w:rPr>
                <w:sz w:val="18"/>
              </w:rPr>
              <w:t>T4-8</w:t>
            </w:r>
          </w:p>
        </w:tc>
        <w:tc>
          <w:tcPr>
            <w:tcW w:type="dxa" w:w="2256"/>
            <w:vAlign w:val="center"/>
          </w:tcPr>
          <w:p>
            <w:r>
              <w:rPr>
                <w:sz w:val="18"/>
              </w:rPr>
              <w:t>170 IAC 4-1-23(e)</w:t>
            </w:r>
          </w:p>
        </w:tc>
        <w:tc>
          <w:tcPr>
            <w:tcW w:type="dxa" w:w="2256"/>
            <w:vAlign w:val="center"/>
          </w:tcPr>
          <w:p>
            <w:r>
              <w:rPr>
                <w:sz w:val="18"/>
              </w:rPr>
              <w:t>Annual reliability indices report</w:t>
            </w:r>
          </w:p>
        </w:tc>
        <w:tc>
          <w:tcPr>
            <w:tcW w:type="dxa" w:w="2256"/>
            <w:vAlign w:val="center"/>
          </w:tcPr>
          <w:p>
            <w:r>
              <w:rPr>
                <w:sz w:val="18"/>
              </w:rPr>
              <w:t>Annual filing by March 1; SAIDI/SAIFI/CAIDI with and without major events</w:t>
            </w:r>
          </w:p>
        </w:tc>
      </w:tr>
      <w:tr>
        <w:tc>
          <w:tcPr>
            <w:tcW w:type="dxa" w:w="2256"/>
            <w:vAlign w:val="center"/>
          </w:tcPr>
          <w:p>
            <w:r>
              <w:rPr>
                <w:sz w:val="18"/>
              </w:rPr>
              <w:t>T4-9</w:t>
            </w:r>
          </w:p>
        </w:tc>
        <w:tc>
          <w:tcPr>
            <w:tcW w:type="dxa" w:w="2256"/>
            <w:vAlign w:val="center"/>
          </w:tcPr>
          <w:p>
            <w:r>
              <w:rPr>
                <w:sz w:val="18"/>
              </w:rPr>
              <w:t>170 IAC 4-1-23(f)</w:t>
            </w:r>
          </w:p>
        </w:tc>
        <w:tc>
          <w:tcPr>
            <w:tcW w:type="dxa" w:w="2256"/>
            <w:vAlign w:val="center"/>
          </w:tcPr>
          <w:p>
            <w:r>
              <w:rPr>
                <w:sz w:val="18"/>
              </w:rPr>
              <w:t>Reliability data retention</w:t>
            </w:r>
          </w:p>
        </w:tc>
        <w:tc>
          <w:tcPr>
            <w:tcW w:type="dxa" w:w="2256"/>
            <w:vAlign w:val="center"/>
          </w:tcPr>
          <w:p>
            <w:r>
              <w:rPr>
                <w:sz w:val="18"/>
              </w:rPr>
              <w:t>7-year retention for CAIDI, SAIDI, SAIFI and supporting data</w:t>
            </w:r>
          </w:p>
        </w:tc>
      </w:tr>
      <w:tr>
        <w:tc>
          <w:tcPr>
            <w:tcW w:type="dxa" w:w="2256"/>
            <w:vAlign w:val="center"/>
          </w:tcPr>
          <w:p>
            <w:r>
              <w:rPr>
                <w:sz w:val="18"/>
              </w:rPr>
              <w:t>T4-10</w:t>
            </w:r>
          </w:p>
        </w:tc>
        <w:tc>
          <w:tcPr>
            <w:tcW w:type="dxa" w:w="2256"/>
            <w:vAlign w:val="center"/>
          </w:tcPr>
          <w:p>
            <w:r>
              <w:rPr>
                <w:sz w:val="18"/>
              </w:rPr>
              <w:t>170 IAC 4-1-24</w:t>
            </w:r>
          </w:p>
        </w:tc>
        <w:tc>
          <w:tcPr>
            <w:tcW w:type="dxa" w:w="2256"/>
            <w:vAlign w:val="center"/>
          </w:tcPr>
          <w:p>
            <w:r>
              <w:rPr>
                <w:sz w:val="18"/>
              </w:rPr>
              <w:t>Accident reports</w:t>
            </w:r>
          </w:p>
        </w:tc>
        <w:tc>
          <w:tcPr>
            <w:tcW w:type="dxa" w:w="2256"/>
            <w:vAlign w:val="center"/>
          </w:tcPr>
          <w:p>
            <w:r>
              <w:rPr>
                <w:sz w:val="18"/>
              </w:rPr>
              <w:t>IURC notification of accidents attended with loss of human life (see RPL-SAF-PRO-009)</w:t>
            </w:r>
          </w:p>
        </w:tc>
      </w:tr>
      <w:tr>
        <w:tc>
          <w:tcPr>
            <w:tcW w:type="dxa" w:w="2256"/>
            <w:vAlign w:val="center"/>
          </w:tcPr>
          <w:p>
            <w:r>
              <w:rPr>
                <w:sz w:val="18"/>
              </w:rPr>
              <w:t>T4-11</w:t>
            </w:r>
          </w:p>
        </w:tc>
        <w:tc>
          <w:tcPr>
            <w:tcW w:type="dxa" w:w="2256"/>
            <w:vAlign w:val="center"/>
          </w:tcPr>
          <w:p>
            <w:r>
              <w:rPr>
                <w:sz w:val="18"/>
              </w:rPr>
              <w:t>170 IAC 4-9-7(g)</w:t>
            </w:r>
          </w:p>
        </w:tc>
        <w:tc>
          <w:tcPr>
            <w:tcW w:type="dxa" w:w="2256"/>
            <w:vAlign w:val="center"/>
          </w:tcPr>
          <w:p>
            <w:r>
              <w:rPr>
                <w:sz w:val="18"/>
              </w:rPr>
              <w:t>Tree-related outage report</w:t>
            </w:r>
          </w:p>
        </w:tc>
        <w:tc>
          <w:tcPr>
            <w:tcW w:type="dxa" w:w="2256"/>
            <w:vAlign w:val="center"/>
          </w:tcPr>
          <w:p>
            <w:r>
              <w:rPr>
                <w:sz w:val="18"/>
              </w:rPr>
              <w:t>Annual tree-related outage report by March 31; content requirements</w:t>
            </w:r>
          </w:p>
        </w:tc>
      </w:tr>
    </w:tbl>
    <w:p>
      <w:pPr>
        <w:spacing w:before="120" w:after="120"/>
        <w:pBdr>
          <w:bottom w:val="single" w:sz="6" w:space="1" w:color="AAAAAA"/>
        </w:pBdr>
      </w:pPr>
    </w:p>
    <w:p>
      <w:pPr>
        <w:pStyle w:val="Heading2"/>
      </w:pPr>
      <w:r>
        <w:rPr>
          <w:color w:val="1F3864"/>
          <w:sz w:val="32"/>
        </w:rPr>
        <w:t>5. Roles and Responsibilities</w:t>
      </w:r>
    </w:p>
    <w:p>
      <w:pPr>
        <w:pStyle w:val="Heading3"/>
      </w:pPr>
      <w:r>
        <w:rPr>
          <w:sz w:val="28"/>
        </w:rPr>
        <w:t>5.1 RACI Table</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vAlign w:val="center"/>
            <w:shd w:val="clear" w:color="auto" w:fill="D9E1F2"/>
          </w:tcPr>
          <w:p>
            <w:r>
              <w:rPr>
                <w:b/>
                <w:sz w:val="18"/>
              </w:rPr>
              <w:t>Responsibility</w:t>
            </w:r>
          </w:p>
        </w:tc>
        <w:tc>
          <w:tcPr>
            <w:tcW w:type="dxa" w:w="1289"/>
            <w:vAlign w:val="center"/>
            <w:shd w:val="clear" w:color="auto" w:fill="D9E1F2"/>
          </w:tcPr>
          <w:p>
            <w:r>
              <w:rPr>
                <w:b/>
                <w:sz w:val="18"/>
              </w:rPr>
              <w:t>DCC Operator</w:t>
            </w:r>
          </w:p>
        </w:tc>
        <w:tc>
          <w:tcPr>
            <w:tcW w:type="dxa" w:w="1289"/>
            <w:vAlign w:val="center"/>
            <w:shd w:val="clear" w:color="auto" w:fill="D9E1F2"/>
          </w:tcPr>
          <w:p>
            <w:r>
              <w:rPr>
                <w:b/>
                <w:sz w:val="18"/>
              </w:rPr>
              <w:t>DCC Shift Supervisor</w:t>
            </w:r>
          </w:p>
        </w:tc>
        <w:tc>
          <w:tcPr>
            <w:tcW w:type="dxa" w:w="1289"/>
            <w:vAlign w:val="center"/>
            <w:shd w:val="clear" w:color="auto" w:fill="D9E1F2"/>
          </w:tcPr>
          <w:p>
            <w:r>
              <w:rPr>
                <w:b/>
                <w:sz w:val="18"/>
              </w:rPr>
              <w:t>DCC Manager (P23)</w:t>
            </w:r>
          </w:p>
        </w:tc>
        <w:tc>
          <w:tcPr>
            <w:tcW w:type="dxa" w:w="1289"/>
            <w:vAlign w:val="center"/>
            <w:shd w:val="clear" w:color="auto" w:fill="D9E1F2"/>
          </w:tcPr>
          <w:p>
            <w:r>
              <w:rPr>
                <w:b/>
                <w:sz w:val="18"/>
              </w:rPr>
              <w:t>Dir. Dist. Ops (P21)</w:t>
            </w:r>
          </w:p>
        </w:tc>
        <w:tc>
          <w:tcPr>
            <w:tcW w:type="dxa" w:w="1289"/>
            <w:vAlign w:val="center"/>
            <w:shd w:val="clear" w:color="auto" w:fill="D9E1F2"/>
          </w:tcPr>
          <w:p>
            <w:r>
              <w:rPr>
                <w:b/>
                <w:sz w:val="18"/>
              </w:rPr>
              <w:t>Reg. Affairs (P08/P09)</w:t>
            </w:r>
          </w:p>
        </w:tc>
        <w:tc>
          <w:tcPr>
            <w:tcW w:type="dxa" w:w="1289"/>
            <w:vAlign w:val="center"/>
            <w:shd w:val="clear" w:color="auto" w:fill="D9E1F2"/>
          </w:tcPr>
          <w:p>
            <w:r>
              <w:rPr>
                <w:b/>
                <w:sz w:val="18"/>
              </w:rPr>
              <w:t>Corp. Communications</w:t>
            </w:r>
          </w:p>
        </w:tc>
      </w:tr>
      <w:tr>
        <w:tc>
          <w:tcPr>
            <w:tcW w:type="dxa" w:w="1289"/>
            <w:vAlign w:val="center"/>
          </w:tcPr>
          <w:p>
            <w:r>
              <w:rPr>
                <w:sz w:val="18"/>
              </w:rPr>
              <w:t>OMS event creation and cause assignment</w:t>
            </w:r>
          </w:p>
        </w:tc>
        <w:tc>
          <w:tcPr>
            <w:tcW w:type="dxa" w:w="1289"/>
            <w:vAlign w:val="center"/>
          </w:tcPr>
          <w:p>
            <w:r>
              <w:rPr>
                <w:sz w:val="18"/>
              </w:rPr>
              <w:t>R</w:t>
            </w:r>
          </w:p>
        </w:tc>
        <w:tc>
          <w:tcPr>
            <w:tcW w:type="dxa" w:w="1289"/>
            <w:vAlign w:val="center"/>
          </w:tcPr>
          <w:p>
            <w:r>
              <w:rPr>
                <w:sz w:val="18"/>
              </w:rPr>
              <w:t>A</w:t>
            </w:r>
          </w:p>
        </w:tc>
        <w:tc>
          <w:tcPr>
            <w:tcW w:type="dxa" w:w="1289"/>
            <w:vAlign w:val="center"/>
          </w:tcPr>
          <w:p>
            <w:r>
              <w:rPr>
                <w:sz w:val="18"/>
              </w:rPr>
              <w:t>I</w:t>
            </w:r>
          </w:p>
        </w:tc>
        <w:tc>
          <w:tcPr>
            <w:tcW w:type="dxa" w:w="1289"/>
            <w:vAlign w:val="center"/>
          </w:tcPr>
          <w:p>
            <w:r>
              <w:rPr>
                <w:sz w:val="18"/>
              </w:rPr>
              <w:t>I</w:t>
            </w:r>
          </w:p>
        </w:tc>
        <w:tc>
          <w:tcPr>
            <w:tcW w:type="dxa" w:w="1289"/>
            <w:vAlign w:val="center"/>
          </w:tcPr>
          <w:p>
            <w:r>
              <w:rPr>
                <w:sz w:val="18"/>
              </w:rPr>
              <w:t>—</w:t>
            </w:r>
          </w:p>
        </w:tc>
        <w:tc>
          <w:tcPr>
            <w:tcW w:type="dxa" w:w="1289"/>
            <w:vAlign w:val="center"/>
          </w:tcPr>
          <w:p>
            <w:r>
              <w:rPr>
                <w:sz w:val="18"/>
              </w:rPr>
              <w:t>—</w:t>
            </w:r>
          </w:p>
        </w:tc>
      </w:tr>
      <w:tr>
        <w:tc>
          <w:tcPr>
            <w:tcW w:type="dxa" w:w="1289"/>
            <w:vAlign w:val="center"/>
          </w:tcPr>
          <w:p>
            <w:r>
              <w:rPr>
                <w:sz w:val="18"/>
              </w:rPr>
              <w:t>Reportability determination</w:t>
            </w:r>
          </w:p>
        </w:tc>
        <w:tc>
          <w:tcPr>
            <w:tcW w:type="dxa" w:w="1289"/>
            <w:vAlign w:val="center"/>
          </w:tcPr>
          <w:p>
            <w:r>
              <w:rPr>
                <w:sz w:val="18"/>
              </w:rPr>
              <w:t>C</w:t>
            </w:r>
          </w:p>
        </w:tc>
        <w:tc>
          <w:tcPr>
            <w:tcW w:type="dxa" w:w="1289"/>
            <w:vAlign w:val="center"/>
          </w:tcPr>
          <w:p>
            <w:r>
              <w:rPr>
                <w:sz w:val="18"/>
              </w:rPr>
              <w:t>R</w:t>
            </w:r>
          </w:p>
        </w:tc>
        <w:tc>
          <w:tcPr>
            <w:tcW w:type="dxa" w:w="1289"/>
            <w:vAlign w:val="center"/>
          </w:tcPr>
          <w:p>
            <w:r>
              <w:rPr>
                <w:sz w:val="18"/>
              </w:rPr>
              <w:t>A</w:t>
            </w:r>
          </w:p>
        </w:tc>
        <w:tc>
          <w:tcPr>
            <w:tcW w:type="dxa" w:w="1289"/>
            <w:vAlign w:val="center"/>
          </w:tcPr>
          <w:p>
            <w:r>
              <w:rPr>
                <w:sz w:val="18"/>
              </w:rPr>
              <w:t>I</w:t>
            </w:r>
          </w:p>
        </w:tc>
        <w:tc>
          <w:tcPr>
            <w:tcW w:type="dxa" w:w="1289"/>
            <w:vAlign w:val="center"/>
          </w:tcPr>
          <w:p>
            <w:r>
              <w:rPr>
                <w:sz w:val="18"/>
              </w:rPr>
              <w:t>I</w:t>
            </w:r>
          </w:p>
        </w:tc>
        <w:tc>
          <w:tcPr>
            <w:tcW w:type="dxa" w:w="1289"/>
            <w:vAlign w:val="center"/>
          </w:tcPr>
          <w:p>
            <w:r>
              <w:rPr>
                <w:sz w:val="18"/>
              </w:rPr>
              <w:t>—</w:t>
            </w:r>
          </w:p>
        </w:tc>
      </w:tr>
      <w:tr>
        <w:tc>
          <w:tcPr>
            <w:tcW w:type="dxa" w:w="1289"/>
            <w:vAlign w:val="center"/>
          </w:tcPr>
          <w:p>
            <w:r>
              <w:rPr>
                <w:sz w:val="18"/>
              </w:rPr>
              <w:t>Initial IURC report submission</w:t>
            </w:r>
          </w:p>
        </w:tc>
        <w:tc>
          <w:tcPr>
            <w:tcW w:type="dxa" w:w="1289"/>
            <w:vAlign w:val="center"/>
          </w:tcPr>
          <w:p>
            <w:r>
              <w:rPr>
                <w:sz w:val="18"/>
              </w:rPr>
              <w:t>—</w:t>
            </w:r>
          </w:p>
        </w:tc>
        <w:tc>
          <w:tcPr>
            <w:tcW w:type="dxa" w:w="1289"/>
            <w:vAlign w:val="center"/>
          </w:tcPr>
          <w:p>
            <w:r>
              <w:rPr>
                <w:sz w:val="18"/>
              </w:rPr>
              <w:t>R</w:t>
            </w:r>
          </w:p>
        </w:tc>
        <w:tc>
          <w:tcPr>
            <w:tcW w:type="dxa" w:w="1289"/>
            <w:vAlign w:val="center"/>
          </w:tcPr>
          <w:p>
            <w:r>
              <w:rPr>
                <w:sz w:val="18"/>
              </w:rPr>
              <w:t>A</w:t>
            </w:r>
          </w:p>
        </w:tc>
        <w:tc>
          <w:tcPr>
            <w:tcW w:type="dxa" w:w="1289"/>
            <w:vAlign w:val="center"/>
          </w:tcPr>
          <w:p>
            <w:r>
              <w:rPr>
                <w:sz w:val="18"/>
              </w:rPr>
              <w:t>I</w:t>
            </w:r>
          </w:p>
        </w:tc>
        <w:tc>
          <w:tcPr>
            <w:tcW w:type="dxa" w:w="1289"/>
            <w:vAlign w:val="center"/>
          </w:tcPr>
          <w:p>
            <w:r>
              <w:rPr>
                <w:sz w:val="18"/>
              </w:rPr>
              <w:t>C</w:t>
            </w:r>
          </w:p>
        </w:tc>
        <w:tc>
          <w:tcPr>
            <w:tcW w:type="dxa" w:w="1289"/>
            <w:vAlign w:val="center"/>
          </w:tcPr>
          <w:p>
            <w:r>
              <w:rPr>
                <w:sz w:val="18"/>
              </w:rPr>
              <w:t>—</w:t>
            </w:r>
          </w:p>
        </w:tc>
      </w:tr>
      <w:tr>
        <w:tc>
          <w:tcPr>
            <w:tcW w:type="dxa" w:w="1289"/>
            <w:vAlign w:val="center"/>
          </w:tcPr>
          <w:p>
            <w:r>
              <w:rPr>
                <w:sz w:val="18"/>
              </w:rPr>
              <w:t>Update report submissions</w:t>
            </w:r>
          </w:p>
        </w:tc>
        <w:tc>
          <w:tcPr>
            <w:tcW w:type="dxa" w:w="1289"/>
            <w:vAlign w:val="center"/>
          </w:tcPr>
          <w:p>
            <w:r>
              <w:rPr>
                <w:sz w:val="18"/>
              </w:rPr>
              <w:t>—</w:t>
            </w:r>
          </w:p>
        </w:tc>
        <w:tc>
          <w:tcPr>
            <w:tcW w:type="dxa" w:w="1289"/>
            <w:vAlign w:val="center"/>
          </w:tcPr>
          <w:p>
            <w:r>
              <w:rPr>
                <w:sz w:val="18"/>
              </w:rPr>
              <w:t>R</w:t>
            </w:r>
          </w:p>
        </w:tc>
        <w:tc>
          <w:tcPr>
            <w:tcW w:type="dxa" w:w="1289"/>
            <w:vAlign w:val="center"/>
          </w:tcPr>
          <w:p>
            <w:r>
              <w:rPr>
                <w:sz w:val="18"/>
              </w:rPr>
              <w:t>A</w:t>
            </w:r>
          </w:p>
        </w:tc>
        <w:tc>
          <w:tcPr>
            <w:tcW w:type="dxa" w:w="1289"/>
            <w:vAlign w:val="center"/>
          </w:tcPr>
          <w:p>
            <w:r>
              <w:rPr>
                <w:sz w:val="18"/>
              </w:rPr>
              <w:t>I</w:t>
            </w:r>
          </w:p>
        </w:tc>
        <w:tc>
          <w:tcPr>
            <w:tcW w:type="dxa" w:w="1289"/>
            <w:vAlign w:val="center"/>
          </w:tcPr>
          <w:p>
            <w:r>
              <w:rPr>
                <w:sz w:val="18"/>
              </w:rPr>
              <w:t>C</w:t>
            </w:r>
          </w:p>
        </w:tc>
        <w:tc>
          <w:tcPr>
            <w:tcW w:type="dxa" w:w="1289"/>
            <w:vAlign w:val="center"/>
          </w:tcPr>
          <w:p>
            <w:r>
              <w:rPr>
                <w:sz w:val="18"/>
              </w:rPr>
              <w:t>—</w:t>
            </w:r>
          </w:p>
        </w:tc>
      </w:tr>
      <w:tr>
        <w:tc>
          <w:tcPr>
            <w:tcW w:type="dxa" w:w="1289"/>
            <w:vAlign w:val="center"/>
          </w:tcPr>
          <w:p>
            <w:r>
              <w:rPr>
                <w:sz w:val="18"/>
              </w:rPr>
              <w:t>Final report submission</w:t>
            </w:r>
          </w:p>
        </w:tc>
        <w:tc>
          <w:tcPr>
            <w:tcW w:type="dxa" w:w="1289"/>
            <w:vAlign w:val="center"/>
          </w:tcPr>
          <w:p>
            <w:r>
              <w:rPr>
                <w:sz w:val="18"/>
              </w:rPr>
              <w:t>—</w:t>
            </w:r>
          </w:p>
        </w:tc>
        <w:tc>
          <w:tcPr>
            <w:tcW w:type="dxa" w:w="1289"/>
            <w:vAlign w:val="center"/>
          </w:tcPr>
          <w:p>
            <w:r>
              <w:rPr>
                <w:sz w:val="18"/>
              </w:rPr>
              <w:t>R</w:t>
            </w:r>
          </w:p>
        </w:tc>
        <w:tc>
          <w:tcPr>
            <w:tcW w:type="dxa" w:w="1289"/>
            <w:vAlign w:val="center"/>
          </w:tcPr>
          <w:p>
            <w:r>
              <w:rPr>
                <w:sz w:val="18"/>
              </w:rPr>
              <w:t>A</w:t>
            </w:r>
          </w:p>
        </w:tc>
        <w:tc>
          <w:tcPr>
            <w:tcW w:type="dxa" w:w="1289"/>
            <w:vAlign w:val="center"/>
          </w:tcPr>
          <w:p>
            <w:r>
              <w:rPr>
                <w:sz w:val="18"/>
              </w:rPr>
              <w:t>I</w:t>
            </w:r>
          </w:p>
        </w:tc>
        <w:tc>
          <w:tcPr>
            <w:tcW w:type="dxa" w:w="1289"/>
            <w:vAlign w:val="center"/>
          </w:tcPr>
          <w:p>
            <w:r>
              <w:rPr>
                <w:sz w:val="18"/>
              </w:rPr>
              <w:t>C</w:t>
            </w:r>
          </w:p>
        </w:tc>
        <w:tc>
          <w:tcPr>
            <w:tcW w:type="dxa" w:w="1289"/>
            <w:vAlign w:val="center"/>
          </w:tcPr>
          <w:p>
            <w:r>
              <w:rPr>
                <w:sz w:val="18"/>
              </w:rPr>
              <w:t>—</w:t>
            </w:r>
          </w:p>
        </w:tc>
      </w:tr>
      <w:tr>
        <w:tc>
          <w:tcPr>
            <w:tcW w:type="dxa" w:w="1289"/>
            <w:vAlign w:val="center"/>
          </w:tcPr>
          <w:p>
            <w:r>
              <w:rPr>
                <w:sz w:val="18"/>
              </w:rPr>
              <w:t>Activation of storm mode</w:t>
            </w:r>
          </w:p>
        </w:tc>
        <w:tc>
          <w:tcPr>
            <w:tcW w:type="dxa" w:w="1289"/>
            <w:vAlign w:val="center"/>
          </w:tcPr>
          <w:p>
            <w:r>
              <w:rPr>
                <w:sz w:val="18"/>
              </w:rPr>
              <w:t>—</w:t>
            </w:r>
          </w:p>
        </w:tc>
        <w:tc>
          <w:tcPr>
            <w:tcW w:type="dxa" w:w="1289"/>
            <w:vAlign w:val="center"/>
          </w:tcPr>
          <w:p>
            <w:r>
              <w:rPr>
                <w:sz w:val="18"/>
              </w:rPr>
              <w:t>R</w:t>
            </w:r>
          </w:p>
        </w:tc>
        <w:tc>
          <w:tcPr>
            <w:tcW w:type="dxa" w:w="1289"/>
            <w:vAlign w:val="center"/>
          </w:tcPr>
          <w:p>
            <w:r>
              <w:rPr>
                <w:sz w:val="18"/>
              </w:rPr>
              <w:t>A</w:t>
            </w:r>
          </w:p>
        </w:tc>
        <w:tc>
          <w:tcPr>
            <w:tcW w:type="dxa" w:w="1289"/>
            <w:vAlign w:val="center"/>
          </w:tcPr>
          <w:p>
            <w:r>
              <w:rPr>
                <w:sz w:val="18"/>
              </w:rPr>
              <w:t>A</w:t>
            </w:r>
          </w:p>
        </w:tc>
        <w:tc>
          <w:tcPr>
            <w:tcW w:type="dxa" w:w="1289"/>
            <w:vAlign w:val="center"/>
          </w:tcPr>
          <w:p>
            <w:r>
              <w:rPr>
                <w:sz w:val="18"/>
              </w:rPr>
              <w:t>I</w:t>
            </w:r>
          </w:p>
        </w:tc>
        <w:tc>
          <w:tcPr>
            <w:tcW w:type="dxa" w:w="1289"/>
            <w:vAlign w:val="center"/>
          </w:tcPr>
          <w:p>
            <w:r>
              <w:rPr>
                <w:sz w:val="18"/>
              </w:rPr>
              <w:t>I</w:t>
            </w:r>
          </w:p>
        </w:tc>
      </w:tr>
      <w:tr>
        <w:tc>
          <w:tcPr>
            <w:tcW w:type="dxa" w:w="1289"/>
            <w:vAlign w:val="center"/>
          </w:tcPr>
          <w:p>
            <w:r>
              <w:rPr>
                <w:sz w:val="18"/>
              </w:rPr>
              <w:t>Planned interruption customer notice</w:t>
            </w:r>
          </w:p>
        </w:tc>
        <w:tc>
          <w:tcPr>
            <w:tcW w:type="dxa" w:w="1289"/>
            <w:vAlign w:val="center"/>
          </w:tcPr>
          <w:p>
            <w:r>
              <w:rPr>
                <w:sz w:val="18"/>
              </w:rPr>
              <w:t>R</w:t>
            </w:r>
          </w:p>
        </w:tc>
        <w:tc>
          <w:tcPr>
            <w:tcW w:type="dxa" w:w="1289"/>
            <w:vAlign w:val="center"/>
          </w:tcPr>
          <w:p>
            <w:r>
              <w:rPr>
                <w:sz w:val="18"/>
              </w:rPr>
              <w:t>A</w:t>
            </w:r>
          </w:p>
        </w:tc>
        <w:tc>
          <w:tcPr>
            <w:tcW w:type="dxa" w:w="1289"/>
            <w:vAlign w:val="center"/>
          </w:tcPr>
          <w:p>
            <w:r>
              <w:rPr>
                <w:sz w:val="18"/>
              </w:rPr>
              <w:t>I</w:t>
            </w:r>
          </w:p>
        </w:tc>
        <w:tc>
          <w:tcPr>
            <w:tcW w:type="dxa" w:w="1289"/>
            <w:vAlign w:val="center"/>
          </w:tcPr>
          <w:p>
            <w:r>
              <w:rPr>
                <w:sz w:val="18"/>
              </w:rPr>
              <w:t>I</w:t>
            </w:r>
          </w:p>
        </w:tc>
        <w:tc>
          <w:tcPr>
            <w:tcW w:type="dxa" w:w="1289"/>
            <w:vAlign w:val="center"/>
          </w:tcPr>
          <w:p>
            <w:r>
              <w:rPr>
                <w:sz w:val="18"/>
              </w:rPr>
              <w:t>—</w:t>
            </w:r>
          </w:p>
        </w:tc>
        <w:tc>
          <w:tcPr>
            <w:tcW w:type="dxa" w:w="1289"/>
            <w:vAlign w:val="center"/>
          </w:tcPr>
          <w:p>
            <w:r>
              <w:rPr>
                <w:sz w:val="18"/>
              </w:rPr>
              <w:t>—</w:t>
            </w:r>
          </w:p>
        </w:tc>
      </w:tr>
      <w:tr>
        <w:tc>
          <w:tcPr>
            <w:tcW w:type="dxa" w:w="1289"/>
            <w:vAlign w:val="center"/>
          </w:tcPr>
          <w:p>
            <w:r>
              <w:rPr>
                <w:sz w:val="18"/>
              </w:rPr>
              <w:t>Monthly reliability index compilation</w:t>
            </w:r>
          </w:p>
        </w:tc>
        <w:tc>
          <w:tcPr>
            <w:tcW w:type="dxa" w:w="1289"/>
            <w:vAlign w:val="center"/>
          </w:tcPr>
          <w:p>
            <w:r>
              <w:rPr>
                <w:sz w:val="18"/>
              </w:rPr>
              <w:t>—</w:t>
            </w:r>
          </w:p>
        </w:tc>
        <w:tc>
          <w:tcPr>
            <w:tcW w:type="dxa" w:w="1289"/>
            <w:vAlign w:val="center"/>
          </w:tcPr>
          <w:p>
            <w:r>
              <w:rPr>
                <w:sz w:val="18"/>
              </w:rPr>
              <w:t>C</w:t>
            </w:r>
          </w:p>
        </w:tc>
        <w:tc>
          <w:tcPr>
            <w:tcW w:type="dxa" w:w="1289"/>
            <w:vAlign w:val="center"/>
          </w:tcPr>
          <w:p>
            <w:r>
              <w:rPr>
                <w:sz w:val="18"/>
              </w:rPr>
              <w:t>R</w:t>
            </w:r>
          </w:p>
        </w:tc>
        <w:tc>
          <w:tcPr>
            <w:tcW w:type="dxa" w:w="1289"/>
            <w:vAlign w:val="center"/>
          </w:tcPr>
          <w:p>
            <w:r>
              <w:rPr>
                <w:sz w:val="18"/>
              </w:rPr>
              <w:t>A</w:t>
            </w:r>
          </w:p>
        </w:tc>
        <w:tc>
          <w:tcPr>
            <w:tcW w:type="dxa" w:w="1289"/>
            <w:vAlign w:val="center"/>
          </w:tcPr>
          <w:p>
            <w:r>
              <w:rPr>
                <w:sz w:val="18"/>
              </w:rPr>
              <w:t>I</w:t>
            </w:r>
          </w:p>
        </w:tc>
        <w:tc>
          <w:tcPr>
            <w:tcW w:type="dxa" w:w="1289"/>
            <w:vAlign w:val="center"/>
          </w:tcPr>
          <w:p>
            <w:r>
              <w:rPr>
                <w:sz w:val="18"/>
              </w:rPr>
              <w:t>—</w:t>
            </w:r>
          </w:p>
        </w:tc>
      </w:tr>
      <w:tr>
        <w:tc>
          <w:tcPr>
            <w:tcW w:type="dxa" w:w="1289"/>
            <w:vAlign w:val="center"/>
          </w:tcPr>
          <w:p>
            <w:r>
              <w:rPr>
                <w:sz w:val="18"/>
              </w:rPr>
              <w:t>Annual reliability report filing</w:t>
            </w:r>
          </w:p>
        </w:tc>
        <w:tc>
          <w:tcPr>
            <w:tcW w:type="dxa" w:w="1289"/>
            <w:vAlign w:val="center"/>
          </w:tcPr>
          <w:p>
            <w:r>
              <w:rPr>
                <w:sz w:val="18"/>
              </w:rPr>
              <w:t>—</w:t>
            </w:r>
          </w:p>
        </w:tc>
        <w:tc>
          <w:tcPr>
            <w:tcW w:type="dxa" w:w="1289"/>
            <w:vAlign w:val="center"/>
          </w:tcPr>
          <w:p>
            <w:r>
              <w:rPr>
                <w:sz w:val="18"/>
              </w:rPr>
              <w:t>—</w:t>
            </w:r>
          </w:p>
        </w:tc>
        <w:tc>
          <w:tcPr>
            <w:tcW w:type="dxa" w:w="1289"/>
            <w:vAlign w:val="center"/>
          </w:tcPr>
          <w:p>
            <w:r>
              <w:rPr>
                <w:sz w:val="18"/>
              </w:rPr>
              <w:t>C</w:t>
            </w:r>
          </w:p>
        </w:tc>
        <w:tc>
          <w:tcPr>
            <w:tcW w:type="dxa" w:w="1289"/>
            <w:vAlign w:val="center"/>
          </w:tcPr>
          <w:p>
            <w:r>
              <w:rPr>
                <w:sz w:val="18"/>
              </w:rPr>
              <w:t>C</w:t>
            </w:r>
          </w:p>
        </w:tc>
        <w:tc>
          <w:tcPr>
            <w:tcW w:type="dxa" w:w="1289"/>
            <w:vAlign w:val="center"/>
          </w:tcPr>
          <w:p>
            <w:r>
              <w:rPr>
                <w:sz w:val="18"/>
              </w:rPr>
              <w:t>R</w:t>
            </w:r>
          </w:p>
        </w:tc>
        <w:tc>
          <w:tcPr>
            <w:tcW w:type="dxa" w:w="1289"/>
            <w:vAlign w:val="center"/>
          </w:tcPr>
          <w:p>
            <w:r>
              <w:rPr>
                <w:sz w:val="18"/>
              </w:rPr>
              <w:t>—</w:t>
            </w:r>
          </w:p>
        </w:tc>
      </w:tr>
      <w:tr>
        <w:tc>
          <w:tcPr>
            <w:tcW w:type="dxa" w:w="1289"/>
            <w:vAlign w:val="center"/>
          </w:tcPr>
          <w:p>
            <w:r>
              <w:rPr>
                <w:sz w:val="18"/>
              </w:rPr>
              <w:t>Tree-related outage data handoff</w:t>
            </w:r>
          </w:p>
        </w:tc>
        <w:tc>
          <w:tcPr>
            <w:tcW w:type="dxa" w:w="1289"/>
            <w:vAlign w:val="center"/>
          </w:tcPr>
          <w:p>
            <w:r>
              <w:rPr>
                <w:sz w:val="18"/>
              </w:rPr>
              <w:t>—</w:t>
            </w:r>
          </w:p>
        </w:tc>
        <w:tc>
          <w:tcPr>
            <w:tcW w:type="dxa" w:w="1289"/>
            <w:vAlign w:val="center"/>
          </w:tcPr>
          <w:p>
            <w:r>
              <w:rPr>
                <w:sz w:val="18"/>
              </w:rPr>
              <w:t>R</w:t>
            </w:r>
          </w:p>
        </w:tc>
        <w:tc>
          <w:tcPr>
            <w:tcW w:type="dxa" w:w="1289"/>
            <w:vAlign w:val="center"/>
          </w:tcPr>
          <w:p>
            <w:r>
              <w:rPr>
                <w:sz w:val="18"/>
              </w:rPr>
              <w:t>A</w:t>
            </w:r>
          </w:p>
        </w:tc>
        <w:tc>
          <w:tcPr>
            <w:tcW w:type="dxa" w:w="1289"/>
            <w:vAlign w:val="center"/>
          </w:tcPr>
          <w:p>
            <w:r>
              <w:rPr>
                <w:sz w:val="18"/>
              </w:rPr>
              <w:t>I</w:t>
            </w:r>
          </w:p>
        </w:tc>
        <w:tc>
          <w:tcPr>
            <w:tcW w:type="dxa" w:w="1289"/>
            <w:vAlign w:val="center"/>
          </w:tcPr>
          <w:p>
            <w:r>
              <w:rPr>
                <w:sz w:val="18"/>
              </w:rPr>
              <w:t>—</w:t>
            </w:r>
          </w:p>
        </w:tc>
        <w:tc>
          <w:tcPr>
            <w:tcW w:type="dxa" w:w="1289"/>
            <w:vAlign w:val="center"/>
          </w:tcPr>
          <w:p>
            <w:r>
              <w:rPr>
                <w:sz w:val="18"/>
              </w:rPr>
              <w:t>—</w:t>
            </w:r>
          </w:p>
        </w:tc>
      </w:tr>
      <w:tr>
        <w:tc>
          <w:tcPr>
            <w:tcW w:type="dxa" w:w="1289"/>
            <w:vAlign w:val="center"/>
          </w:tcPr>
          <w:p>
            <w:r>
              <w:rPr>
                <w:sz w:val="18"/>
              </w:rPr>
              <w:t>Key account notifications (critical customers)</w:t>
            </w:r>
          </w:p>
        </w:tc>
        <w:tc>
          <w:tcPr>
            <w:tcW w:type="dxa" w:w="1289"/>
            <w:vAlign w:val="center"/>
          </w:tcPr>
          <w:p>
            <w:r>
              <w:rPr>
                <w:sz w:val="18"/>
              </w:rPr>
              <w:t>—</w:t>
            </w:r>
          </w:p>
        </w:tc>
        <w:tc>
          <w:tcPr>
            <w:tcW w:type="dxa" w:w="1289"/>
            <w:vAlign w:val="center"/>
          </w:tcPr>
          <w:p>
            <w:r>
              <w:rPr>
                <w:sz w:val="18"/>
              </w:rPr>
              <w:t>R</w:t>
            </w:r>
          </w:p>
        </w:tc>
        <w:tc>
          <w:tcPr>
            <w:tcW w:type="dxa" w:w="1289"/>
            <w:vAlign w:val="center"/>
          </w:tcPr>
          <w:p>
            <w:r>
              <w:rPr>
                <w:sz w:val="18"/>
              </w:rPr>
              <w:t>A</w:t>
            </w:r>
          </w:p>
        </w:tc>
        <w:tc>
          <w:tcPr>
            <w:tcW w:type="dxa" w:w="1289"/>
            <w:vAlign w:val="center"/>
          </w:tcPr>
          <w:p>
            <w:r>
              <w:rPr>
                <w:sz w:val="18"/>
              </w:rPr>
              <w:t>I</w:t>
            </w:r>
          </w:p>
        </w:tc>
        <w:tc>
          <w:tcPr>
            <w:tcW w:type="dxa" w:w="1289"/>
            <w:vAlign w:val="center"/>
          </w:tcPr>
          <w:p>
            <w:r>
              <w:rPr>
                <w:sz w:val="18"/>
              </w:rPr>
              <w:t>—</w:t>
            </w:r>
          </w:p>
        </w:tc>
        <w:tc>
          <w:tcPr>
            <w:tcW w:type="dxa" w:w="1289"/>
            <w:vAlign w:val="center"/>
          </w:tcPr>
          <w:p>
            <w:r>
              <w:rPr>
                <w:sz w:val="18"/>
              </w:rPr>
              <w:t>C</w:t>
            </w:r>
          </w:p>
        </w:tc>
      </w:tr>
    </w:tbl>
    <w:p>
      <w:r>
        <w:rPr>
          <w:sz w:val="20"/>
        </w:rPr>
        <w:t>R = Responsible, A = Accountable, C = Consulted, I = Informed</w:t>
      </w:r>
    </w:p>
    <w:p>
      <w:pPr>
        <w:pStyle w:val="Heading3"/>
      </w:pPr>
      <w:r>
        <w:rPr>
          <w:sz w:val="28"/>
        </w:rPr>
        <w:t>5.2 Role Descriptions</w:t>
      </w:r>
    </w:p>
    <w:p>
      <w:pPr>
        <w:pStyle w:val="ListBullet"/>
      </w:pPr>
      <w:r>
        <w:rPr>
          <w:sz w:val="20"/>
        </w:rPr>
      </w:r>
      <w:r>
        <w:rPr>
          <w:b/>
          <w:sz w:val="20"/>
        </w:rPr>
        <w:t>DCC Operator</w:t>
      </w:r>
      <w:r>
        <w:rPr>
          <w:sz w:val="20"/>
        </w:rPr>
        <w:t xml:space="preserve"> — Monitors OMS alarms, creates and updates outage records, records restoration steps, assigns cause codes, and pages field crews.</w:t>
      </w:r>
    </w:p>
    <w:p>
      <w:pPr>
        <w:pStyle w:val="ListBullet"/>
      </w:pPr>
      <w:r>
        <w:rPr>
          <w:sz w:val="20"/>
        </w:rPr>
      </w:r>
      <w:r>
        <w:rPr>
          <w:b/>
          <w:sz w:val="20"/>
        </w:rPr>
        <w:t>DCC Shift Supervisor</w:t>
      </w:r>
      <w:r>
        <w:rPr>
          <w:sz w:val="20"/>
        </w:rPr>
        <w:t xml:space="preserve"> — Makes reportability determinations, submits IURC reports via email using State Form 54646, activates storm mode, and escalates to the DCC Manager for extended or complex events.</w:t>
      </w:r>
    </w:p>
    <w:p>
      <w:pPr>
        <w:pStyle w:val="ListBullet"/>
      </w:pPr>
      <w:r>
        <w:rPr>
          <w:sz w:val="20"/>
        </w:rPr>
      </w:r>
      <w:r>
        <w:rPr>
          <w:b/>
          <w:sz w:val="20"/>
        </w:rPr>
        <w:t>Kevin Adeyemi (P23), Manager, Distribution Control Center</w:t>
      </w:r>
      <w:r>
        <w:rPr>
          <w:sz w:val="20"/>
        </w:rPr>
        <w:t xml:space="preserve"> — Accountable for all IURC outage reports; reviews initial reports for major events before submission; approves reliability index compilation.</w:t>
      </w:r>
    </w:p>
    <w:p>
      <w:pPr>
        <w:pStyle w:val="ListBullet"/>
      </w:pPr>
      <w:r>
        <w:rPr>
          <w:sz w:val="20"/>
        </w:rPr>
      </w:r>
      <w:r>
        <w:rPr>
          <w:b/>
          <w:sz w:val="20"/>
        </w:rPr>
        <w:t>Patrick O'Neill (P21), Director, Distribution Operations</w:t>
      </w:r>
      <w:r>
        <w:rPr>
          <w:sz w:val="20"/>
        </w:rPr>
        <w:t xml:space="preserve"> — Accountable for storm mode operations, restoration resource deployment, and annual reliability strategy.</w:t>
      </w:r>
    </w:p>
    <w:p>
      <w:pPr>
        <w:pStyle w:val="ListBullet"/>
      </w:pPr>
      <w:r>
        <w:rPr>
          <w:sz w:val="20"/>
        </w:rPr>
      </w:r>
      <w:r>
        <w:rPr>
          <w:b/>
          <w:sz w:val="20"/>
        </w:rPr>
        <w:t>Elena Vasquez (P08) / Marcus Lee (P09), Regulatory Affairs</w:t>
      </w:r>
      <w:r>
        <w:rPr>
          <w:sz w:val="20"/>
        </w:rPr>
        <w:t xml:space="preserve"> — Responsible for compiling and filing the annual reliability indices report with IURC's Electricity Division; coordinates with P21 and P23 on data quality; receives final reports and logs them in RRS-DCC-001.</w:t>
      </w:r>
    </w:p>
    <w:p>
      <w:pPr>
        <w:pStyle w:val="ListBullet"/>
      </w:pPr>
      <w:r>
        <w:rPr>
          <w:sz w:val="20"/>
        </w:rPr>
      </w:r>
      <w:r>
        <w:rPr>
          <w:b/>
          <w:sz w:val="20"/>
        </w:rPr>
        <w:t>Corporate Communications</w:t>
      </w:r>
      <w:r>
        <w:rPr>
          <w:sz w:val="20"/>
        </w:rPr>
        <w:t xml:space="preserve"> — Notified when an event meets the public communications threshold (company practice: incidents affecting ≥ 10,000 customers or with restoration &gt; 12 hours); issues public updates per RPL-COM-PRO-002.</w:t>
      </w:r>
    </w:p>
    <w:p>
      <w:pPr>
        <w:spacing w:before="120" w:after="120"/>
        <w:pBdr>
          <w:bottom w:val="single" w:sz="6" w:space="1" w:color="AAAAAA"/>
        </w:pBdr>
      </w:pPr>
    </w:p>
    <w:p>
      <w:pPr>
        <w:pStyle w:val="Heading2"/>
      </w:pPr>
      <w:r>
        <w:rPr>
          <w:color w:val="1F3864"/>
          <w:sz w:val="32"/>
        </w:rPr>
        <w:t>6. Outage Data Capture in OMS</w:t>
      </w:r>
    </w:p>
    <w:p>
      <w:pPr>
        <w:pStyle w:val="Heading3"/>
      </w:pPr>
      <w:r>
        <w:rPr>
          <w:sz w:val="28"/>
        </w:rPr>
        <w:t>6.1 Event Creation</w:t>
      </w:r>
    </w:p>
    <w:p>
      <w:r>
        <w:rPr>
          <w:sz w:val="20"/>
        </w:rPr>
        <w:t>The DCC Shift Supervisor creates an OMS incident record within 15 minutes of becoming aware of an outage, using one of the following detection sources:</w:t>
      </w:r>
    </w:p>
    <w:p>
      <w:pPr>
        <w:pStyle w:val="ListBullet"/>
      </w:pPr>
      <w:r>
        <w:rPr>
          <w:sz w:val="20"/>
        </w:rPr>
      </w:r>
      <w:r>
        <w:rPr>
          <w:b/>
          <w:sz w:val="20"/>
        </w:rPr>
        <w:t>AMI last-gasp</w:t>
      </w:r>
      <w:r>
        <w:rPr>
          <w:sz w:val="20"/>
        </w:rPr>
        <w:t xml:space="preserve"> — The AMI head-end (AMI HES) pushes a last-gasp alarm to OMS when a meter loses power. The DCC Operator confirms the alarm against adjacent meter pings before opening an incident.</w:t>
      </w:r>
    </w:p>
    <w:p>
      <w:pPr>
        <w:pStyle w:val="ListBullet"/>
      </w:pPr>
      <w:r>
        <w:rPr>
          <w:sz w:val="20"/>
        </w:rPr>
      </w:r>
      <w:r>
        <w:rPr>
          <w:b/>
          <w:sz w:val="20"/>
        </w:rPr>
        <w:t>SCADA</w:t>
      </w:r>
      <w:r>
        <w:rPr>
          <w:sz w:val="20"/>
        </w:rPr>
        <w:t xml:space="preserve"> — A protective device operation (breaker, recloser) triggers an OMS outage prediction. The DCC Shift Supervisor confirms and extends to affected downstream devices.</w:t>
      </w:r>
    </w:p>
    <w:p>
      <w:pPr>
        <w:pStyle w:val="ListBullet"/>
      </w:pPr>
      <w:r>
        <w:rPr>
          <w:sz w:val="20"/>
        </w:rPr>
      </w:r>
      <w:r>
        <w:rPr>
          <w:b/>
          <w:sz w:val="20"/>
        </w:rPr>
        <w:t>Customer call</w:t>
      </w:r>
      <w:r>
        <w:rPr>
          <w:sz w:val="20"/>
        </w:rPr>
        <w:t xml:space="preserve"> — The DCC Operator opens an outage record from the first call and links subsequent calls from the same geographic cluster to the same incident.</w:t>
      </w:r>
    </w:p>
    <w:p>
      <w:pPr>
        <w:pStyle w:val="ListBullet"/>
      </w:pPr>
      <w:r>
        <w:rPr>
          <w:sz w:val="20"/>
        </w:rPr>
      </w:r>
      <w:r>
        <w:rPr>
          <w:b/>
          <w:sz w:val="20"/>
        </w:rPr>
        <w:t>Field crew report</w:t>
      </w:r>
      <w:r>
        <w:rPr>
          <w:sz w:val="20"/>
        </w:rPr>
        <w:t xml:space="preserve"> — A line crew notifies the DCC of an outage found during patrol. The DCC Operator opens or updates the incident.</w:t>
      </w:r>
    </w:p>
    <w:p>
      <w:r>
        <w:rPr>
          <w:sz w:val="20"/>
        </w:rPr>
        <w:t>Internal performance target: The DCC Shift Supervisor validates the incident type (single_event, storm, or planned) and sets the primary cause category in OMS within 60 minutes of incident creation.</w:t>
      </w:r>
    </w:p>
    <w:p>
      <w:pPr>
        <w:pStyle w:val="Heading3"/>
      </w:pPr>
      <w:r>
        <w:rPr>
          <w:sz w:val="28"/>
        </w:rPr>
        <w:t>6.2 OMS Incident Fields</w:t>
      </w:r>
    </w:p>
    <w:tbl>
      <w:tblPr>
        <w:tblStyle w:val="TableGrid"/>
        <w:tblW w:type="auto" w:w="0"/>
        <w:tblLook w:firstColumn="1" w:firstRow="1" w:lastColumn="0" w:lastRow="0" w:noHBand="0" w:noVBand="1" w:val="04A0"/>
      </w:tblPr>
      <w:tblGrid>
        <w:gridCol w:w="2256"/>
        <w:gridCol w:w="2256"/>
        <w:gridCol w:w="2256"/>
        <w:gridCol w:w="2256"/>
      </w:tblGrid>
      <w:tr>
        <w:tc>
          <w:tcPr>
            <w:tcW w:type="dxa" w:w="2256"/>
            <w:vAlign w:val="center"/>
            <w:shd w:val="clear" w:color="auto" w:fill="D9E1F2"/>
          </w:tcPr>
          <w:p>
            <w:r>
              <w:rPr>
                <w:b/>
                <w:sz w:val="18"/>
              </w:rPr>
              <w:t>Field</w:t>
            </w:r>
          </w:p>
        </w:tc>
        <w:tc>
          <w:tcPr>
            <w:tcW w:type="dxa" w:w="2256"/>
            <w:vAlign w:val="center"/>
            <w:shd w:val="clear" w:color="auto" w:fill="D9E1F2"/>
          </w:tcPr>
          <w:p>
            <w:r>
              <w:rPr>
                <w:b/>
                <w:sz w:val="18"/>
              </w:rPr>
              <w:t>Required</w:t>
            </w:r>
          </w:p>
        </w:tc>
        <w:tc>
          <w:tcPr>
            <w:tcW w:type="dxa" w:w="2256"/>
            <w:vAlign w:val="center"/>
            <w:shd w:val="clear" w:color="auto" w:fill="D9E1F2"/>
          </w:tcPr>
          <w:p>
            <w:r>
              <w:rPr>
                <w:b/>
                <w:sz w:val="18"/>
              </w:rPr>
              <w:t>Description</w:t>
            </w:r>
          </w:p>
        </w:tc>
        <w:tc>
          <w:tcPr>
            <w:tcW w:type="dxa" w:w="2256"/>
            <w:vAlign w:val="center"/>
            <w:shd w:val="clear" w:color="auto" w:fill="D9E1F2"/>
          </w:tcPr>
          <w:p>
            <w:r>
              <w:rPr>
                <w:b/>
                <w:sz w:val="18"/>
              </w:rPr>
              <w:t>Source</w:t>
            </w:r>
          </w:p>
        </w:tc>
      </w:tr>
      <w:tr>
        <w:tc>
          <w:tcPr>
            <w:tcW w:type="dxa" w:w="2256"/>
            <w:vAlign w:val="center"/>
          </w:tcPr>
          <w:p>
            <w:r>
              <w:rPr>
                <w:sz w:val="18"/>
              </w:rPr>
              <w:t>`incident_id`</w:t>
            </w:r>
          </w:p>
        </w:tc>
        <w:tc>
          <w:tcPr>
            <w:tcW w:type="dxa" w:w="2256"/>
            <w:vAlign w:val="center"/>
          </w:tcPr>
          <w:p>
            <w:r>
              <w:rPr>
                <w:sz w:val="18"/>
              </w:rPr>
              <w:t>Yes</w:t>
            </w:r>
          </w:p>
        </w:tc>
        <w:tc>
          <w:tcPr>
            <w:tcW w:type="dxa" w:w="2256"/>
            <w:vAlign w:val="center"/>
          </w:tcPr>
          <w:p>
            <w:r>
              <w:rPr>
                <w:sz w:val="18"/>
              </w:rPr>
              <w:t>System-assigned, format `INC-YYYY-nnnnn`</w:t>
            </w:r>
          </w:p>
        </w:tc>
        <w:tc>
          <w:tcPr>
            <w:tcW w:type="dxa" w:w="2256"/>
            <w:vAlign w:val="center"/>
          </w:tcPr>
          <w:p>
            <w:r>
              <w:rPr>
                <w:sz w:val="18"/>
              </w:rPr>
              <w:t>OMS</w:t>
            </w:r>
          </w:p>
        </w:tc>
      </w:tr>
      <w:tr>
        <w:tc>
          <w:tcPr>
            <w:tcW w:type="dxa" w:w="2256"/>
            <w:vAlign w:val="center"/>
          </w:tcPr>
          <w:p>
            <w:r>
              <w:rPr>
                <w:sz w:val="18"/>
              </w:rPr>
              <w:t>`incident_type`</w:t>
            </w:r>
          </w:p>
        </w:tc>
        <w:tc>
          <w:tcPr>
            <w:tcW w:type="dxa" w:w="2256"/>
            <w:vAlign w:val="center"/>
          </w:tcPr>
          <w:p>
            <w:r>
              <w:rPr>
                <w:sz w:val="18"/>
              </w:rPr>
              <w:t>Yes</w:t>
            </w:r>
          </w:p>
        </w:tc>
        <w:tc>
          <w:tcPr>
            <w:tcW w:type="dxa" w:w="2256"/>
            <w:vAlign w:val="center"/>
          </w:tcPr>
          <w:p>
            <w:r>
              <w:rPr>
                <w:sz w:val="18"/>
              </w:rPr>
              <w:t>single_event, storm, planned</w:t>
            </w:r>
          </w:p>
        </w:tc>
        <w:tc>
          <w:tcPr>
            <w:tcW w:type="dxa" w:w="2256"/>
            <w:vAlign w:val="center"/>
          </w:tcPr>
          <w:p>
            <w:r>
              <w:rPr>
                <w:sz w:val="18"/>
              </w:rPr>
              <w:t>DCC Operator</w:t>
            </w:r>
          </w:p>
        </w:tc>
      </w:tr>
      <w:tr>
        <w:tc>
          <w:tcPr>
            <w:tcW w:type="dxa" w:w="2256"/>
            <w:vAlign w:val="center"/>
          </w:tcPr>
          <w:p>
            <w:r>
              <w:rPr>
                <w:sz w:val="18"/>
              </w:rPr>
              <w:t>`first_start_ts`</w:t>
            </w:r>
          </w:p>
        </w:tc>
        <w:tc>
          <w:tcPr>
            <w:tcW w:type="dxa" w:w="2256"/>
            <w:vAlign w:val="center"/>
          </w:tcPr>
          <w:p>
            <w:r>
              <w:rPr>
                <w:sz w:val="18"/>
              </w:rPr>
              <w:t>Yes</w:t>
            </w:r>
          </w:p>
        </w:tc>
        <w:tc>
          <w:tcPr>
            <w:tcW w:type="dxa" w:w="2256"/>
            <w:vAlign w:val="center"/>
          </w:tcPr>
          <w:p>
            <w:r>
              <w:rPr>
                <w:sz w:val="18"/>
              </w:rPr>
              <w:t>UTC-offset local timestamp of first device operation</w:t>
            </w:r>
          </w:p>
        </w:tc>
        <w:tc>
          <w:tcPr>
            <w:tcW w:type="dxa" w:w="2256"/>
            <w:vAlign w:val="center"/>
          </w:tcPr>
          <w:p>
            <w:r>
              <w:rPr>
                <w:sz w:val="18"/>
              </w:rPr>
              <w:t>OMS / SCADA</w:t>
            </w:r>
          </w:p>
        </w:tc>
      </w:tr>
      <w:tr>
        <w:tc>
          <w:tcPr>
            <w:tcW w:type="dxa" w:w="2256"/>
            <w:vAlign w:val="center"/>
          </w:tcPr>
          <w:p>
            <w:r>
              <w:rPr>
                <w:sz w:val="18"/>
              </w:rPr>
              <w:t>`utility_aware_ts`</w:t>
            </w:r>
          </w:p>
        </w:tc>
        <w:tc>
          <w:tcPr>
            <w:tcW w:type="dxa" w:w="2256"/>
            <w:vAlign w:val="center"/>
          </w:tcPr>
          <w:p>
            <w:r>
              <w:rPr>
                <w:sz w:val="18"/>
              </w:rPr>
              <w:t>Yes</w:t>
            </w:r>
          </w:p>
        </w:tc>
        <w:tc>
          <w:tcPr>
            <w:tcW w:type="dxa" w:w="2256"/>
            <w:vAlign w:val="center"/>
          </w:tcPr>
          <w:p>
            <w:r>
              <w:rPr>
                <w:sz w:val="18"/>
              </w:rPr>
              <w:t>Timestamp DCC became aware</w:t>
            </w:r>
          </w:p>
        </w:tc>
        <w:tc>
          <w:tcPr>
            <w:tcW w:type="dxa" w:w="2256"/>
            <w:vAlign w:val="center"/>
          </w:tcPr>
          <w:p>
            <w:r>
              <w:rPr>
                <w:sz w:val="18"/>
              </w:rPr>
              <w:t>DCC Operator</w:t>
            </w:r>
          </w:p>
        </w:tc>
      </w:tr>
      <w:tr>
        <w:tc>
          <w:tcPr>
            <w:tcW w:type="dxa" w:w="2256"/>
            <w:vAlign w:val="center"/>
          </w:tcPr>
          <w:p>
            <w:r>
              <w:rPr>
                <w:sz w:val="18"/>
              </w:rPr>
              <w:t>`detection_source`</w:t>
            </w:r>
          </w:p>
        </w:tc>
        <w:tc>
          <w:tcPr>
            <w:tcW w:type="dxa" w:w="2256"/>
            <w:vAlign w:val="center"/>
          </w:tcPr>
          <w:p>
            <w:r>
              <w:rPr>
                <w:sz w:val="18"/>
              </w:rPr>
              <w:t>Yes</w:t>
            </w:r>
          </w:p>
        </w:tc>
        <w:tc>
          <w:tcPr>
            <w:tcW w:type="dxa" w:w="2256"/>
            <w:vAlign w:val="center"/>
          </w:tcPr>
          <w:p>
            <w:r>
              <w:rPr>
                <w:sz w:val="18"/>
              </w:rPr>
              <w:t>ami_last_gasp, scada, customer_call, field</w:t>
            </w:r>
          </w:p>
        </w:tc>
        <w:tc>
          <w:tcPr>
            <w:tcW w:type="dxa" w:w="2256"/>
            <w:vAlign w:val="center"/>
          </w:tcPr>
          <w:p>
            <w:r>
              <w:rPr>
                <w:sz w:val="18"/>
              </w:rPr>
              <w:t>DCC Operator</w:t>
            </w:r>
          </w:p>
        </w:tc>
      </w:tr>
      <w:tr>
        <w:tc>
          <w:tcPr>
            <w:tcW w:type="dxa" w:w="2256"/>
            <w:vAlign w:val="center"/>
          </w:tcPr>
          <w:p>
            <w:r>
              <w:rPr>
                <w:sz w:val="18"/>
              </w:rPr>
              <w:t>`peak_customers_out`</w:t>
            </w:r>
          </w:p>
        </w:tc>
        <w:tc>
          <w:tcPr>
            <w:tcW w:type="dxa" w:w="2256"/>
            <w:vAlign w:val="center"/>
          </w:tcPr>
          <w:p>
            <w:r>
              <w:rPr>
                <w:sz w:val="18"/>
              </w:rPr>
              <w:t>Yes</w:t>
            </w:r>
          </w:p>
        </w:tc>
        <w:tc>
          <w:tcPr>
            <w:tcW w:type="dxa" w:w="2256"/>
            <w:vAlign w:val="center"/>
          </w:tcPr>
          <w:p>
            <w:r>
              <w:rPr>
                <w:sz w:val="18"/>
              </w:rPr>
              <w:t>Maximum simultaneous customers affected</w:t>
            </w:r>
          </w:p>
        </w:tc>
        <w:tc>
          <w:tcPr>
            <w:tcW w:type="dxa" w:w="2256"/>
            <w:vAlign w:val="center"/>
          </w:tcPr>
          <w:p>
            <w:r>
              <w:rPr>
                <w:sz w:val="18"/>
              </w:rPr>
              <w:t>OMS auto-compute</w:t>
            </w:r>
          </w:p>
        </w:tc>
      </w:tr>
      <w:tr>
        <w:tc>
          <w:tcPr>
            <w:tcW w:type="dxa" w:w="2256"/>
            <w:vAlign w:val="center"/>
          </w:tcPr>
          <w:p>
            <w:r>
              <w:rPr>
                <w:sz w:val="18"/>
              </w:rPr>
              <w:t>`peak_ts`</w:t>
            </w:r>
          </w:p>
        </w:tc>
        <w:tc>
          <w:tcPr>
            <w:tcW w:type="dxa" w:w="2256"/>
            <w:vAlign w:val="center"/>
          </w:tcPr>
          <w:p>
            <w:r>
              <w:rPr>
                <w:sz w:val="18"/>
              </w:rPr>
              <w:t>Yes</w:t>
            </w:r>
          </w:p>
        </w:tc>
        <w:tc>
          <w:tcPr>
            <w:tcW w:type="dxa" w:w="2256"/>
            <w:vAlign w:val="center"/>
          </w:tcPr>
          <w:p>
            <w:r>
              <w:rPr>
                <w:sz w:val="18"/>
              </w:rPr>
              <w:t>Timestamp of peak customers out</w:t>
            </w:r>
          </w:p>
        </w:tc>
        <w:tc>
          <w:tcPr>
            <w:tcW w:type="dxa" w:w="2256"/>
            <w:vAlign w:val="center"/>
          </w:tcPr>
          <w:p>
            <w:r>
              <w:rPr>
                <w:sz w:val="18"/>
              </w:rPr>
              <w:t>OMS auto-compute</w:t>
            </w:r>
          </w:p>
        </w:tc>
      </w:tr>
      <w:tr>
        <w:tc>
          <w:tcPr>
            <w:tcW w:type="dxa" w:w="2256"/>
            <w:vAlign w:val="center"/>
          </w:tcPr>
          <w:p>
            <w:r>
              <w:rPr>
                <w:sz w:val="18"/>
              </w:rPr>
              <w:t>`total_customers_affected`</w:t>
            </w:r>
          </w:p>
        </w:tc>
        <w:tc>
          <w:tcPr>
            <w:tcW w:type="dxa" w:w="2256"/>
            <w:vAlign w:val="center"/>
          </w:tcPr>
          <w:p>
            <w:r>
              <w:rPr>
                <w:sz w:val="18"/>
              </w:rPr>
              <w:t>Yes</w:t>
            </w:r>
          </w:p>
        </w:tc>
        <w:tc>
          <w:tcPr>
            <w:tcW w:type="dxa" w:w="2256"/>
            <w:vAlign w:val="center"/>
          </w:tcPr>
          <w:p>
            <w:r>
              <w:rPr>
                <w:sz w:val="18"/>
              </w:rPr>
              <w:t>Unduplicated customer count across all steps</w:t>
            </w:r>
          </w:p>
        </w:tc>
        <w:tc>
          <w:tcPr>
            <w:tcW w:type="dxa" w:w="2256"/>
            <w:vAlign w:val="center"/>
          </w:tcPr>
          <w:p>
            <w:r>
              <w:rPr>
                <w:sz w:val="18"/>
              </w:rPr>
              <w:t>OMS auto-compute</w:t>
            </w:r>
          </w:p>
        </w:tc>
      </w:tr>
      <w:tr>
        <w:tc>
          <w:tcPr>
            <w:tcW w:type="dxa" w:w="2256"/>
            <w:vAlign w:val="center"/>
          </w:tcPr>
          <w:p>
            <w:r>
              <w:rPr>
                <w:sz w:val="18"/>
              </w:rPr>
              <w:t>`counties_affected`</w:t>
            </w:r>
          </w:p>
        </w:tc>
        <w:tc>
          <w:tcPr>
            <w:tcW w:type="dxa" w:w="2256"/>
            <w:vAlign w:val="center"/>
          </w:tcPr>
          <w:p>
            <w:r>
              <w:rPr>
                <w:sz w:val="18"/>
              </w:rPr>
              <w:t>Yes</w:t>
            </w:r>
          </w:p>
        </w:tc>
        <w:tc>
          <w:tcPr>
            <w:tcW w:type="dxa" w:w="2256"/>
            <w:vAlign w:val="center"/>
          </w:tcPr>
          <w:p>
            <w:r>
              <w:rPr>
                <w:sz w:val="18"/>
              </w:rPr>
              <w:t>County names (pipe-delimited)</w:t>
            </w:r>
          </w:p>
        </w:tc>
        <w:tc>
          <w:tcPr>
            <w:tcW w:type="dxa" w:w="2256"/>
            <w:vAlign w:val="center"/>
          </w:tcPr>
          <w:p>
            <w:r>
              <w:rPr>
                <w:sz w:val="18"/>
              </w:rPr>
              <w:t>GIS</w:t>
            </w:r>
          </w:p>
        </w:tc>
      </w:tr>
      <w:tr>
        <w:tc>
          <w:tcPr>
            <w:tcW w:type="dxa" w:w="2256"/>
            <w:vAlign w:val="center"/>
          </w:tcPr>
          <w:p>
            <w:r>
              <w:rPr>
                <w:sz w:val="18"/>
              </w:rPr>
              <w:t>`critical_facilities_affected`</w:t>
            </w:r>
          </w:p>
        </w:tc>
        <w:tc>
          <w:tcPr>
            <w:tcW w:type="dxa" w:w="2256"/>
            <w:vAlign w:val="center"/>
          </w:tcPr>
          <w:p>
            <w:r>
              <w:rPr>
                <w:sz w:val="18"/>
              </w:rPr>
              <w:t>Yes</w:t>
            </w:r>
          </w:p>
        </w:tc>
        <w:tc>
          <w:tcPr>
            <w:tcW w:type="dxa" w:w="2256"/>
            <w:vAlign w:val="center"/>
          </w:tcPr>
          <w:p>
            <w:r>
              <w:rPr>
                <w:sz w:val="18"/>
              </w:rPr>
              <w:t>Count of critical customers per Key Accounts list</w:t>
            </w:r>
          </w:p>
        </w:tc>
        <w:tc>
          <w:tcPr>
            <w:tcW w:type="dxa" w:w="2256"/>
            <w:vAlign w:val="center"/>
          </w:tcPr>
          <w:p>
            <w:r>
              <w:rPr>
                <w:sz w:val="18"/>
              </w:rPr>
              <w:t>OMS / Key Accounts</w:t>
            </w:r>
          </w:p>
        </w:tc>
      </w:tr>
      <w:tr>
        <w:tc>
          <w:tcPr>
            <w:tcW w:type="dxa" w:w="2256"/>
            <w:vAlign w:val="center"/>
          </w:tcPr>
          <w:p>
            <w:r>
              <w:rPr>
                <w:sz w:val="18"/>
              </w:rPr>
              <w:t>`etr_first_ts`</w:t>
            </w:r>
          </w:p>
        </w:tc>
        <w:tc>
          <w:tcPr>
            <w:tcW w:type="dxa" w:w="2256"/>
            <w:vAlign w:val="center"/>
          </w:tcPr>
          <w:p>
            <w:r>
              <w:rPr>
                <w:sz w:val="18"/>
              </w:rPr>
              <w:t>Yes</w:t>
            </w:r>
          </w:p>
        </w:tc>
        <w:tc>
          <w:tcPr>
            <w:tcW w:type="dxa" w:w="2256"/>
            <w:vAlign w:val="center"/>
          </w:tcPr>
          <w:p>
            <w:r>
              <w:rPr>
                <w:sz w:val="18"/>
              </w:rPr>
              <w:t>First estimated time of restoration</w:t>
            </w:r>
          </w:p>
        </w:tc>
        <w:tc>
          <w:tcPr>
            <w:tcW w:type="dxa" w:w="2256"/>
            <w:vAlign w:val="center"/>
          </w:tcPr>
          <w:p>
            <w:r>
              <w:rPr>
                <w:sz w:val="18"/>
              </w:rPr>
              <w:t>DCC Shift Supervisor</w:t>
            </w:r>
          </w:p>
        </w:tc>
      </w:tr>
      <w:tr>
        <w:tc>
          <w:tcPr>
            <w:tcW w:type="dxa" w:w="2256"/>
            <w:vAlign w:val="center"/>
          </w:tcPr>
          <w:p>
            <w:r>
              <w:rPr>
                <w:sz w:val="18"/>
              </w:rPr>
              <w:t>`restored_ts`</w:t>
            </w:r>
          </w:p>
        </w:tc>
        <w:tc>
          <w:tcPr>
            <w:tcW w:type="dxa" w:w="2256"/>
            <w:vAlign w:val="center"/>
          </w:tcPr>
          <w:p>
            <w:r>
              <w:rPr>
                <w:sz w:val="18"/>
              </w:rPr>
              <w:t>Yes</w:t>
            </w:r>
          </w:p>
        </w:tc>
        <w:tc>
          <w:tcPr>
            <w:tcW w:type="dxa" w:w="2256"/>
            <w:vAlign w:val="center"/>
          </w:tcPr>
          <w:p>
            <w:r>
              <w:rPr>
                <w:sz w:val="18"/>
              </w:rPr>
              <w:t>Timestamp restoration drops below reportability threshold</w:t>
            </w:r>
          </w:p>
        </w:tc>
        <w:tc>
          <w:tcPr>
            <w:tcW w:type="dxa" w:w="2256"/>
            <w:vAlign w:val="center"/>
          </w:tcPr>
          <w:p>
            <w:r>
              <w:rPr>
                <w:sz w:val="18"/>
              </w:rPr>
              <w:t>DCC Operator</w:t>
            </w:r>
          </w:p>
        </w:tc>
      </w:tr>
      <w:tr>
        <w:tc>
          <w:tcPr>
            <w:tcW w:type="dxa" w:w="2256"/>
            <w:vAlign w:val="center"/>
          </w:tcPr>
          <w:p>
            <w:r>
              <w:rPr>
                <w:sz w:val="18"/>
              </w:rPr>
              <w:t>`primary_cause_category`</w:t>
            </w:r>
          </w:p>
        </w:tc>
        <w:tc>
          <w:tcPr>
            <w:tcW w:type="dxa" w:w="2256"/>
            <w:vAlign w:val="center"/>
          </w:tcPr>
          <w:p>
            <w:r>
              <w:rPr>
                <w:sz w:val="18"/>
              </w:rPr>
              <w:t>Yes</w:t>
            </w:r>
          </w:p>
        </w:tc>
        <w:tc>
          <w:tcPr>
            <w:tcW w:type="dxa" w:w="2256"/>
            <w:vAlign w:val="center"/>
          </w:tcPr>
          <w:p>
            <w:r>
              <w:rPr>
                <w:sz w:val="18"/>
              </w:rPr>
              <w:t>Cause from App-D taxonomy</w:t>
            </w:r>
          </w:p>
        </w:tc>
        <w:tc>
          <w:tcPr>
            <w:tcW w:type="dxa" w:w="2256"/>
            <w:vAlign w:val="center"/>
          </w:tcPr>
          <w:p>
            <w:r>
              <w:rPr>
                <w:sz w:val="18"/>
              </w:rPr>
              <w:t>DCC Operator</w:t>
            </w:r>
          </w:p>
        </w:tc>
      </w:tr>
      <w:tr>
        <w:tc>
          <w:tcPr>
            <w:tcW w:type="dxa" w:w="2256"/>
            <w:vAlign w:val="center"/>
          </w:tcPr>
          <w:p>
            <w:r>
              <w:rPr>
                <w:sz w:val="18"/>
              </w:rPr>
              <w:t>`cause_code`</w:t>
            </w:r>
          </w:p>
        </w:tc>
        <w:tc>
          <w:tcPr>
            <w:tcW w:type="dxa" w:w="2256"/>
            <w:vAlign w:val="center"/>
          </w:tcPr>
          <w:p>
            <w:r>
              <w:rPr>
                <w:sz w:val="18"/>
              </w:rPr>
              <w:t>Yes</w:t>
            </w:r>
          </w:p>
        </w:tc>
        <w:tc>
          <w:tcPr>
            <w:tcW w:type="dxa" w:w="2256"/>
            <w:vAlign w:val="center"/>
          </w:tcPr>
          <w:p>
            <w:r>
              <w:rPr>
                <w:sz w:val="18"/>
              </w:rPr>
              <w:t>Sub-cause code from App-D</w:t>
            </w:r>
          </w:p>
        </w:tc>
        <w:tc>
          <w:tcPr>
            <w:tcW w:type="dxa" w:w="2256"/>
            <w:vAlign w:val="center"/>
          </w:tcPr>
          <w:p>
            <w:r>
              <w:rPr>
                <w:sz w:val="18"/>
              </w:rPr>
              <w:t>DCC Operator (confirmed within 24 hrs)</w:t>
            </w:r>
          </w:p>
        </w:tc>
      </w:tr>
    </w:tbl>
    <w:p>
      <w:pPr>
        <w:pStyle w:val="Heading3"/>
      </w:pPr>
      <w:r>
        <w:rPr>
          <w:sz w:val="28"/>
        </w:rPr>
        <w:t>6.3 Step Restoration Recording</w:t>
      </w:r>
    </w:p>
    <w:p>
      <w:r>
        <w:rPr>
          <w:sz w:val="20"/>
        </w:rPr>
        <w:t>The DCC Operator records each restoration step in OMS as field crews restore sections of the circuit. Each step entry requires:</w:t>
      </w:r>
    </w:p>
    <w:p>
      <w:pPr>
        <w:pStyle w:val="ListBullet"/>
      </w:pPr>
      <w:r>
        <w:rPr>
          <w:sz w:val="20"/>
        </w:rPr>
        <w:t>Restoration timestamp</w:t>
      </w:r>
    </w:p>
    <w:p>
      <w:pPr>
        <w:pStyle w:val="ListBullet"/>
      </w:pPr>
      <w:r>
        <w:rPr>
          <w:sz w:val="20"/>
        </w:rPr>
        <w:t>Number of customers restored in that step</w:t>
      </w:r>
    </w:p>
    <w:p>
      <w:pPr>
        <w:pStyle w:val="ListBullet"/>
      </w:pPr>
      <w:r>
        <w:rPr>
          <w:sz w:val="20"/>
        </w:rPr>
        <w:t>Cumulative customers still out</w:t>
      </w:r>
    </w:p>
    <w:p>
      <w:r>
        <w:rPr>
          <w:sz w:val="20"/>
        </w:rPr>
        <w:t>Customer-minutes are computed by OMS as: Σ (customers restored in step × minutes from incident start to that step's restoration time).</w:t>
      </w:r>
    </w:p>
    <w:p>
      <w:pPr>
        <w:pStyle w:val="Heading3"/>
      </w:pPr>
      <w:r>
        <w:rPr>
          <w:sz w:val="28"/>
        </w:rPr>
        <w:t>6.4 Close-out Verification</w:t>
      </w:r>
    </w:p>
    <w:p>
      <w:r>
        <w:rPr>
          <w:sz w:val="20"/>
        </w:rPr>
        <w:t>The DCC Shift Supervisor verifies incident close-out within 24 hours of restoration:</w:t>
      </w:r>
    </w:p>
    <w:p>
      <w:pPr>
        <w:pStyle w:val="ListNumber"/>
      </w:pPr>
      <w:r>
        <w:rPr>
          <w:sz w:val="20"/>
        </w:rPr>
        <w:t xml:space="preserve">Confirm </w:t>
      </w:r>
      <w:r>
        <w:rPr>
          <w:rFonts w:ascii="Courier New" w:hAnsi="Courier New"/>
          <w:sz w:val="20"/>
        </w:rPr>
        <w:t>restored_ts</w:t>
      </w:r>
      <w:r>
        <w:rPr>
          <w:sz w:val="20"/>
        </w:rPr>
        <w:t xml:space="preserve"> is set and all restoration steps are recorded.</w:t>
      </w:r>
    </w:p>
    <w:p>
      <w:pPr>
        <w:pStyle w:val="ListNumber"/>
      </w:pPr>
      <w:r>
        <w:rPr>
          <w:sz w:val="20"/>
        </w:rPr>
        <w:t xml:space="preserve">Confirm </w:t>
      </w:r>
      <w:r>
        <w:rPr>
          <w:rFonts w:ascii="Courier New" w:hAnsi="Courier New"/>
          <w:sz w:val="20"/>
        </w:rPr>
        <w:t>primary_cause_category</w:t>
      </w:r>
      <w:r>
        <w:rPr>
          <w:sz w:val="20"/>
        </w:rPr>
        <w:t xml:space="preserve"> and </w:t>
      </w:r>
      <w:r>
        <w:rPr>
          <w:rFonts w:ascii="Courier New" w:hAnsi="Courier New"/>
          <w:sz w:val="20"/>
        </w:rPr>
        <w:t>cause_code</w:t>
      </w:r>
      <w:r>
        <w:rPr>
          <w:sz w:val="20"/>
        </w:rPr>
        <w:t xml:space="preserve"> are assigned (not "unknown" unless a patrol has been dispatched and found no cause).</w:t>
      </w:r>
    </w:p>
    <w:p>
      <w:pPr>
        <w:pStyle w:val="ListNumber"/>
      </w:pPr>
      <w:r>
        <w:rPr>
          <w:sz w:val="20"/>
        </w:rPr>
        <w:t xml:space="preserve">Confirm </w:t>
      </w:r>
      <w:r>
        <w:rPr>
          <w:rFonts w:ascii="Courier New" w:hAnsi="Courier New"/>
          <w:sz w:val="20"/>
        </w:rPr>
        <w:t>critical_facilities_affected</w:t>
      </w:r>
      <w:r>
        <w:rPr>
          <w:sz w:val="20"/>
        </w:rPr>
        <w:t xml:space="preserve"> is accurate.</w:t>
      </w:r>
    </w:p>
    <w:p>
      <w:pPr>
        <w:pStyle w:val="ListNumber"/>
      </w:pPr>
      <w:r>
        <w:rPr>
          <w:sz w:val="20"/>
        </w:rPr>
        <w:t xml:space="preserve">Confirm </w:t>
      </w:r>
      <w:r>
        <w:rPr>
          <w:rFonts w:ascii="Courier New" w:hAnsi="Courier New"/>
          <w:sz w:val="20"/>
        </w:rPr>
        <w:t>tree_location</w:t>
      </w:r>
      <w:r>
        <w:rPr>
          <w:sz w:val="20"/>
        </w:rPr>
        <w:t xml:space="preserve"> is set for all vegetation cause-code events.</w:t>
      </w:r>
    </w:p>
    <w:p>
      <w:r>
        <w:rPr>
          <w:sz w:val="20"/>
        </w:rPr>
        <w:t xml:space="preserve">Incidents with cause_code = </w:t>
      </w:r>
      <w:r>
        <w:rPr>
          <w:rFonts w:ascii="Courier New" w:hAnsi="Courier New"/>
          <w:sz w:val="20"/>
        </w:rPr>
        <w:t>unknown_patrolled_no_cause</w:t>
      </w:r>
      <w:r>
        <w:rPr>
          <w:sz w:val="20"/>
        </w:rPr>
        <w:t xml:space="preserve"> must have a patrol log entry in WAM (work type ENV-INSP or equivalent).</w:t>
      </w:r>
    </w:p>
    <w:p>
      <w:pPr>
        <w:spacing w:before="120" w:after="120"/>
        <w:pBdr>
          <w:bottom w:val="single" w:sz="6" w:space="1" w:color="AAAAAA"/>
        </w:pBdr>
      </w:pPr>
    </w:p>
    <w:p>
      <w:pPr>
        <w:pStyle w:val="Heading2"/>
      </w:pPr>
      <w:r>
        <w:rPr>
          <w:color w:val="1F3864"/>
          <w:sz w:val="32"/>
        </w:rPr>
        <w:t>7. Reportability Determination</w:t>
      </w:r>
    </w:p>
    <w:p>
      <w:pPr>
        <w:pStyle w:val="Heading3"/>
      </w:pPr>
      <w:r>
        <w:rPr>
          <w:sz w:val="28"/>
        </w:rPr>
        <w:t>7.1 Applicability</w:t>
      </w:r>
    </w:p>
    <w:p>
      <w:r>
        <w:rPr>
          <w:sz w:val="20"/>
        </w:rPr>
        <w:t>This section applies to investor-owned utilities only. RPL is an investor-owned utility financed by the sale of securities and overseen by a board representing its shareholders. (170 IAC 4-1-23(a)(6); 170 IAC 4-9-1(a))</w:t>
      </w:r>
    </w:p>
    <w:p>
      <w:pPr>
        <w:pStyle w:val="Heading3"/>
      </w:pPr>
      <w:r>
        <w:rPr>
          <w:sz w:val="28"/>
        </w:rPr>
        <w:t>7.2 Reporting Threshold — Investor-Owned Utilities</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vAlign w:val="center"/>
            <w:shd w:val="clear" w:color="auto" w:fill="D9E1F2"/>
          </w:tcPr>
          <w:p>
            <w:r>
              <w:rPr>
                <w:b/>
                <w:sz w:val="18"/>
              </w:rPr>
              <w:t>Criterion</w:t>
            </w:r>
          </w:p>
        </w:tc>
        <w:tc>
          <w:tcPr>
            <w:tcW w:type="dxa" w:w="1504"/>
            <w:vAlign w:val="center"/>
            <w:shd w:val="clear" w:color="auto" w:fill="D9E1F2"/>
          </w:tcPr>
          <w:p>
            <w:r>
              <w:rPr>
                <w:b/>
                <w:sz w:val="18"/>
              </w:rPr>
              <w:t>Measure</w:t>
            </w:r>
          </w:p>
        </w:tc>
        <w:tc>
          <w:tcPr>
            <w:tcW w:type="dxa" w:w="1504"/>
            <w:vAlign w:val="center"/>
            <w:shd w:val="clear" w:color="auto" w:fill="D9E1F2"/>
          </w:tcPr>
          <w:p>
            <w:r>
              <w:rPr>
                <w:b/>
                <w:sz w:val="18"/>
              </w:rPr>
              <w:t>Source Field</w:t>
            </w:r>
          </w:p>
        </w:tc>
        <w:tc>
          <w:tcPr>
            <w:tcW w:type="dxa" w:w="1504"/>
            <w:vAlign w:val="center"/>
            <w:shd w:val="clear" w:color="auto" w:fill="D9E1F2"/>
          </w:tcPr>
          <w:p>
            <w:r>
              <w:rPr>
                <w:b/>
                <w:sz w:val="18"/>
              </w:rPr>
              <w:t>Threshold</w:t>
            </w:r>
          </w:p>
        </w:tc>
        <w:tc>
          <w:tcPr>
            <w:tcW w:type="dxa" w:w="1504"/>
            <w:vAlign w:val="center"/>
            <w:shd w:val="clear" w:color="auto" w:fill="D9E1F2"/>
          </w:tcPr>
          <w:p>
            <w:r>
              <w:rPr>
                <w:b/>
                <w:sz w:val="18"/>
              </w:rPr>
              <w:t>Must Threshold Be Met?</w:t>
            </w:r>
          </w:p>
        </w:tc>
        <w:tc>
          <w:tcPr>
            <w:tcW w:type="dxa" w:w="1504"/>
            <w:vAlign w:val="center"/>
            <w:shd w:val="clear" w:color="auto" w:fill="D9E1F2"/>
          </w:tcPr>
          <w:p>
            <w:r>
              <w:rPr>
                <w:b/>
                <w:sz w:val="18"/>
              </w:rPr>
              <w:t>Citation</w:t>
            </w:r>
          </w:p>
        </w:tc>
      </w:tr>
      <w:tr>
        <w:tc>
          <w:tcPr>
            <w:tcW w:type="dxa" w:w="1504"/>
            <w:vAlign w:val="center"/>
          </w:tcPr>
          <w:p>
            <w:r>
              <w:rPr>
                <w:sz w:val="18"/>
              </w:rPr>
              <w:t>Duration</w:t>
            </w:r>
          </w:p>
        </w:tc>
        <w:tc>
          <w:tcPr>
            <w:tcW w:type="dxa" w:w="1504"/>
            <w:vAlign w:val="center"/>
          </w:tcPr>
          <w:p>
            <w:r>
              <w:rPr>
                <w:sz w:val="18"/>
              </w:rPr>
              <w:t>Minutes from `first_start_ts` to `restored_ts`</w:t>
            </w:r>
          </w:p>
        </w:tc>
        <w:tc>
          <w:tcPr>
            <w:tcW w:type="dxa" w:w="1504"/>
            <w:vAlign w:val="center"/>
          </w:tcPr>
          <w:p>
            <w:r>
              <w:rPr>
                <w:sz w:val="18"/>
              </w:rPr>
              <w:t>OMS incident</w:t>
            </w:r>
          </w:p>
        </w:tc>
        <w:tc>
          <w:tcPr>
            <w:tcW w:type="dxa" w:w="1504"/>
            <w:vAlign w:val="center"/>
          </w:tcPr>
          <w:p>
            <w:r>
              <w:rPr>
                <w:sz w:val="18"/>
              </w:rPr>
              <w:t>≥ 120 minutes (2 hours)</w:t>
            </w:r>
          </w:p>
        </w:tc>
        <w:tc>
          <w:tcPr>
            <w:tcW w:type="dxa" w:w="1504"/>
            <w:vAlign w:val="center"/>
          </w:tcPr>
          <w:p>
            <w:r>
              <w:rPr>
                <w:sz w:val="18"/>
              </w:rPr>
              <w:t>Yes — both criteria</w:t>
            </w:r>
          </w:p>
        </w:tc>
        <w:tc>
          <w:tcPr>
            <w:tcW w:type="dxa" w:w="1504"/>
            <w:vAlign w:val="center"/>
          </w:tcPr>
          <w:p>
            <w:r>
              <w:rPr>
                <w:sz w:val="18"/>
              </w:rPr>
              <w:t>170 IAC 4-1-23(b)(1)(A)</w:t>
            </w:r>
          </w:p>
        </w:tc>
      </w:tr>
      <w:tr>
        <w:tc>
          <w:tcPr>
            <w:tcW w:type="dxa" w:w="1504"/>
            <w:vAlign w:val="center"/>
          </w:tcPr>
          <w:p>
            <w:r>
              <w:rPr>
                <w:sz w:val="18"/>
              </w:rPr>
              <w:t>Customers affected</w:t>
            </w:r>
          </w:p>
        </w:tc>
        <w:tc>
          <w:tcPr>
            <w:tcW w:type="dxa" w:w="1504"/>
            <w:vAlign w:val="center"/>
          </w:tcPr>
          <w:p>
            <w:r>
              <w:rPr>
                <w:sz w:val="18"/>
              </w:rPr>
              <w:t>`peak_customers_out` at any instant</w:t>
            </w:r>
          </w:p>
        </w:tc>
        <w:tc>
          <w:tcPr>
            <w:tcW w:type="dxa" w:w="1504"/>
            <w:vAlign w:val="center"/>
          </w:tcPr>
          <w:p>
            <w:r>
              <w:rPr>
                <w:sz w:val="18"/>
              </w:rPr>
              <w:t>OMS incident</w:t>
            </w:r>
          </w:p>
        </w:tc>
        <w:tc>
          <w:tcPr>
            <w:tcW w:type="dxa" w:w="1504"/>
            <w:vAlign w:val="center"/>
          </w:tcPr>
          <w:p>
            <w:r>
              <w:rPr>
                <w:sz w:val="18"/>
              </w:rPr>
              <w:t>≥ 5,000 customers (lesser of 2% of customers served or 5,000)</w:t>
            </w:r>
          </w:p>
        </w:tc>
        <w:tc>
          <w:tcPr>
            <w:tcW w:type="dxa" w:w="1504"/>
            <w:vAlign w:val="center"/>
          </w:tcPr>
          <w:p>
            <w:r>
              <w:rPr>
                <w:sz w:val="18"/>
              </w:rPr>
              <w:t>Yes — both criteria</w:t>
            </w:r>
          </w:p>
        </w:tc>
        <w:tc>
          <w:tcPr>
            <w:tcW w:type="dxa" w:w="1504"/>
            <w:vAlign w:val="center"/>
          </w:tcPr>
          <w:p>
            <w:r>
              <w:rPr>
                <w:sz w:val="18"/>
              </w:rPr>
              <w:t>170 IAC 4-1-23(b)(1)(A)</w:t>
            </w:r>
          </w:p>
        </w:tc>
      </w:tr>
    </w:tbl>
    <w:p>
      <w:r>
        <w:rPr>
          <w:sz w:val="20"/>
        </w:rPr>
      </w:r>
      <w:r>
        <w:rPr>
          <w:b/>
          <w:sz w:val="20"/>
        </w:rPr>
        <w:t>Effective customer threshold:</w:t>
      </w:r>
      <w:r>
        <w:rPr>
          <w:sz w:val="20"/>
        </w:rPr>
        <w:t xml:space="preserve"> RPL serves 407,491 customers as of 2024-12-31. 2% = 8,149. The lesser of 8,149 and 5,000 is </w:t>
      </w:r>
      <w:r>
        <w:rPr>
          <w:b/>
          <w:sz w:val="20"/>
        </w:rPr>
        <w:t>5,000</w:t>
      </w:r>
      <w:r>
        <w:rPr>
          <w:sz w:val="20"/>
        </w:rPr>
        <w:t>. The applicable threshold is 5,000 customers. (170 IAC 4-1-23(b)(1)(A))</w:t>
      </w:r>
    </w:p>
    <w:p>
      <w:r>
        <w:rPr>
          <w:sz w:val="20"/>
        </w:rPr>
      </w:r>
      <w:r>
        <w:rPr>
          <w:b/>
          <w:sz w:val="20"/>
        </w:rPr>
        <w:t>Planned service interruptions are not reportable</w:t>
      </w:r>
      <w:r>
        <w:rPr>
          <w:sz w:val="20"/>
        </w:rPr>
        <w:t xml:space="preserve"> under 170 IAC 4-1-23(b). The subsection applies only to interruptions that are "not planned."</w:t>
      </w:r>
    </w:p>
    <w:p>
      <w:r>
        <w:rPr>
          <w:sz w:val="20"/>
        </w:rPr>
      </w:r>
      <w:r>
        <w:rPr>
          <w:b/>
          <w:sz w:val="20"/>
        </w:rPr>
        <w:t>Interruptible rate exclusion:</w:t>
      </w:r>
      <w:r>
        <w:rPr>
          <w:sz w:val="20"/>
        </w:rPr>
        <w:t xml:space="preserve"> This subsection does not apply to a curtailment or interruption of service to customers receiving service under interruptible rate classifications when occurring pursuant to the affected retail customer's service agreement. (170 IAC 4-1-23(b)(6))</w:t>
      </w:r>
    </w:p>
    <w:p>
      <w:pPr>
        <w:pStyle w:val="Heading3"/>
      </w:pPr>
      <w:r>
        <w:rPr>
          <w:sz w:val="28"/>
        </w:rPr>
        <w:t>7.3 Threshold Crossed Timestamp</w:t>
      </w:r>
    </w:p>
    <w:p>
      <w:r>
        <w:rPr>
          <w:sz w:val="20"/>
        </w:rPr>
        <w:t>When the DCC Shift Supervisor determines that both criteria may be met:</w:t>
      </w:r>
    </w:p>
    <w:p>
      <w:pPr>
        <w:pStyle w:val="ListNumber"/>
      </w:pPr>
      <w:r>
        <w:rPr>
          <w:sz w:val="20"/>
        </w:rPr>
        <w:t xml:space="preserve">The DCC Shift Supervisor sets </w:t>
      </w:r>
      <w:r>
        <w:rPr>
          <w:rFonts w:ascii="Courier New" w:hAnsi="Courier New"/>
          <w:sz w:val="20"/>
        </w:rPr>
        <w:t>threshold_crossed_ts</w:t>
      </w:r>
      <w:r>
        <w:rPr>
          <w:sz w:val="20"/>
        </w:rPr>
        <w:t xml:space="preserve"> in OMS at the moment both conditions are met. Because peak customers out is typically at or near the start of the incident, and the duration threshold is 120 minutes, </w:t>
      </w:r>
      <w:r>
        <w:rPr>
          <w:rFonts w:ascii="Courier New" w:hAnsi="Courier New"/>
          <w:sz w:val="20"/>
        </w:rPr>
        <w:t>threshold_crossed_ts</w:t>
      </w:r>
      <w:r>
        <w:rPr>
          <w:sz w:val="20"/>
        </w:rPr>
        <w:t xml:space="preserve"> = </w:t>
      </w:r>
      <w:r>
        <w:rPr>
          <w:rFonts w:ascii="Courier New" w:hAnsi="Courier New"/>
          <w:sz w:val="20"/>
        </w:rPr>
        <w:t>first_start_ts</w:t>
      </w:r>
      <w:r>
        <w:rPr>
          <w:sz w:val="20"/>
        </w:rPr>
        <w:t xml:space="preserve"> + 120 minutes in most cases.</w:t>
      </w:r>
    </w:p>
    <w:p>
      <w:pPr>
        <w:pStyle w:val="ListNumber"/>
      </w:pPr>
      <w:r>
        <w:rPr>
          <w:sz w:val="20"/>
        </w:rPr>
        <w:t xml:space="preserve">The OMS DCC-ESCALATION paging group is triggered automatically when </w:t>
      </w:r>
      <w:r>
        <w:rPr>
          <w:rFonts w:ascii="Courier New" w:hAnsi="Courier New"/>
          <w:sz w:val="20"/>
        </w:rPr>
        <w:t>peak_customers_out</w:t>
      </w:r>
      <w:r>
        <w:rPr>
          <w:sz w:val="20"/>
        </w:rPr>
        <w:t xml:space="preserve"> ≥ 5,000.</w:t>
      </w:r>
    </w:p>
    <w:p>
      <w:pPr>
        <w:pStyle w:val="ListNumber"/>
      </w:pPr>
      <w:r>
        <w:rPr>
          <w:sz w:val="20"/>
        </w:rPr>
        <w:t xml:space="preserve">The DCC Shift Supervisor starts the reporting clock. The initial report is due at the </w:t>
      </w:r>
      <w:r>
        <w:rPr>
          <w:b/>
          <w:sz w:val="20"/>
        </w:rPr>
        <w:t>next scheduled reporting interval</w:t>
      </w:r>
      <w:r>
        <w:rPr>
          <w:sz w:val="20"/>
        </w:rPr>
        <w:t xml:space="preserve"> after </w:t>
      </w:r>
      <w:r>
        <w:rPr>
          <w:rFonts w:ascii="Courier New" w:hAnsi="Courier New"/>
          <w:sz w:val="20"/>
        </w:rPr>
        <w:t>threshold_crossed_ts</w:t>
      </w:r>
      <w:r>
        <w:rPr>
          <w:sz w:val="20"/>
        </w:rPr>
        <w:t>. (170 IAC 4-1-23(b)(1))</w:t>
      </w:r>
    </w:p>
    <w:p>
      <w:pPr>
        <w:pStyle w:val="Heading3"/>
      </w:pPr>
      <w:r>
        <w:rPr>
          <w:sz w:val="28"/>
        </w:rPr>
        <w:t>7.4 Determination Workflow</w:t>
      </w:r>
    </w:p>
    <w:p>
      <w:pPr>
        <w:pStyle w:val="NoSpacing"/>
        <w:shd w:val="clear" w:color="auto" w:fill="F2F2F2"/>
      </w:pPr>
      <w:r>
        <w:rPr>
          <w:rFonts w:ascii="Courier New" w:hAnsi="Courier New"/>
          <w:color w:val="222222"/>
          <w:sz w:val="16"/>
        </w:rPr>
        <w:t>flowchart TD</w:t>
        <w:br/>
      </w:r>
      <w:r>
        <w:rPr>
          <w:rFonts w:ascii="Courier New" w:hAnsi="Courier New"/>
          <w:color w:val="222222"/>
          <w:sz w:val="16"/>
        </w:rPr>
        <w:t xml:space="preserve">    A[Outage Incident Created in OMS] --&gt; B{incident_type = planned?}</w:t>
        <w:br/>
      </w:r>
      <w:r>
        <w:rPr>
          <w:rFonts w:ascii="Courier New" w:hAnsi="Courier New"/>
          <w:color w:val="222222"/>
          <w:sz w:val="16"/>
        </w:rPr>
        <w:t xml:space="preserve">    B -- Yes --&gt; C[Not reportable. Record in OMS.]</w:t>
        <w:br/>
      </w:r>
      <w:r>
        <w:rPr>
          <w:rFonts w:ascii="Courier New" w:hAnsi="Courier New"/>
          <w:color w:val="222222"/>
          <w:sz w:val="16"/>
        </w:rPr>
        <w:t xml:space="preserve">    B -- No --&gt; D{peak_customers_out &gt;= 5,000?}</w:t>
        <w:br/>
      </w:r>
      <w:r>
        <w:rPr>
          <w:rFonts w:ascii="Courier New" w:hAnsi="Courier New"/>
          <w:color w:val="222222"/>
          <w:sz w:val="16"/>
        </w:rPr>
        <w:t xml:space="preserve">    D -- No --&gt; E[Not reportable. Monitor. Re-evaluate if peak rises.]</w:t>
        <w:br/>
      </w:r>
      <w:r>
        <w:rPr>
          <w:rFonts w:ascii="Courier New" w:hAnsi="Courier New"/>
          <w:color w:val="222222"/>
          <w:sz w:val="16"/>
        </w:rPr>
        <w:t xml:space="preserve">    D -- Yes --&gt; F{Duration &gt;= 120 min or likely to reach 120 min?}</w:t>
        <w:br/>
      </w:r>
      <w:r>
        <w:rPr>
          <w:rFonts w:ascii="Courier New" w:hAnsi="Courier New"/>
          <w:color w:val="222222"/>
          <w:sz w:val="16"/>
        </w:rPr>
        <w:t xml:space="preserve">    F -- No --&gt; G[Not yet reportable. Set timer at threshold_crossed_ts+120.]</w:t>
        <w:br/>
      </w:r>
      <w:r>
        <w:rPr>
          <w:rFonts w:ascii="Courier New" w:hAnsi="Courier New"/>
          <w:color w:val="222222"/>
          <w:sz w:val="16"/>
        </w:rPr>
        <w:t xml:space="preserve">    F -- Yes --&gt; H[REPORTABLE. Set threshold_crossed_ts. Start reporting clock.]</w:t>
        <w:br/>
      </w:r>
      <w:r>
        <w:rPr>
          <w:rFonts w:ascii="Courier New" w:hAnsi="Courier New"/>
          <w:color w:val="222222"/>
          <w:sz w:val="16"/>
        </w:rPr>
        <w:t xml:space="preserve">    H --&gt; I[DCC Shift Supervisor submits initial report by next scheduled interval]</w:t>
        <w:br/>
      </w:r>
    </w:p>
    <w:p>
      <w:r>
        <w:rPr>
          <w:sz w:val="20"/>
        </w:rPr>
      </w:r>
      <w:r>
        <w:rPr>
          <w:b/>
          <w:sz w:val="20"/>
        </w:rPr>
        <w:t>Caution:</w:t>
      </w:r>
      <w:r>
        <w:rPr>
          <w:sz w:val="20"/>
        </w:rPr>
        <w:t xml:space="preserve"> If an incident begins with &lt; 5,000 customers but subsequently escalates (e.g., a feeder breaker trip following a recloser operation), the DCC Shift Supervisor must re-evaluate reportability as peak_customers_out rises.</w:t>
      </w:r>
    </w:p>
    <w:p>
      <w:pPr>
        <w:spacing w:before="120" w:after="120"/>
        <w:pBdr>
          <w:bottom w:val="single" w:sz="6" w:space="1" w:color="AAAAAA"/>
        </w:pBdr>
      </w:pPr>
    </w:p>
    <w:p>
      <w:pPr>
        <w:pStyle w:val="Heading2"/>
      </w:pPr>
      <w:r>
        <w:rPr>
          <w:color w:val="1F3864"/>
          <w:sz w:val="32"/>
        </w:rPr>
        <w:t>8. Initial Report</w:t>
      </w:r>
    </w:p>
    <w:p>
      <w:pPr>
        <w:pStyle w:val="Heading3"/>
      </w:pPr>
      <w:r>
        <w:rPr>
          <w:sz w:val="28"/>
        </w:rPr>
        <w:t>8.1 Timing</w:t>
      </w:r>
    </w:p>
    <w:p>
      <w:r>
        <w:rPr>
          <w:sz w:val="20"/>
        </w:rPr>
        <w:t xml:space="preserve">The DCC Shift Supervisor submits the initial report to the IURC </w:t>
      </w:r>
      <w:r>
        <w:rPr>
          <w:b/>
          <w:sz w:val="20"/>
        </w:rPr>
        <w:t>by the next regularly scheduled reporting interval</w:t>
      </w:r>
      <w:r>
        <w:rPr>
          <w:sz w:val="20"/>
        </w:rPr>
        <w:t xml:space="preserve"> after the incident first crosses the reporting threshold. (170 IAC 4-1-23(b)(1))</w:t>
      </w:r>
    </w:p>
    <w:p>
      <w:r>
        <w:rPr>
          <w:sz w:val="20"/>
        </w:rPr>
        <w:t>The regularly scheduled intervals (Eastern Standard Time — Indianapolis time) are:</w:t>
      </w:r>
    </w:p>
    <w:p>
      <w:pPr>
        <w:pStyle w:val="ListBullet"/>
      </w:pPr>
      <w:r>
        <w:rPr>
          <w:sz w:val="20"/>
        </w:rPr>
      </w:r>
      <w:r>
        <w:rPr>
          <w:b/>
          <w:sz w:val="20"/>
        </w:rPr>
        <w:t>Business days:</w:t>
      </w:r>
      <w:r>
        <w:rPr>
          <w:sz w:val="20"/>
        </w:rPr>
        <w:t xml:space="preserve"> 6:00 a.m., 9:00 a.m., 11:00 a.m., 2:00 p.m., 4:00 p.m., and 9:00 p.m. EST (170 IAC 4-1-23(b)(2)(A))</w:t>
      </w:r>
    </w:p>
    <w:p>
      <w:pPr>
        <w:pStyle w:val="ListBullet"/>
      </w:pPr>
      <w:r>
        <w:rPr>
          <w:sz w:val="20"/>
        </w:rPr>
      </w:r>
      <w:r>
        <w:rPr>
          <w:b/>
          <w:sz w:val="20"/>
        </w:rPr>
        <w:t>Nonbusiness days (Saturday, Sunday, or Indiana state holiday):</w:t>
      </w:r>
      <w:r>
        <w:rPr>
          <w:sz w:val="20"/>
        </w:rPr>
        <w:t xml:space="preserve"> 6:00 a.m., 2:00 p.m., and 9:00 p.m. EST (170 IAC 4-1-23(b)(2)(B))</w:t>
      </w:r>
    </w:p>
    <w:p>
      <w:r>
        <w:rPr>
          <w:sz w:val="20"/>
        </w:rPr>
        <w:t xml:space="preserve">Example: If </w:t>
      </w:r>
      <w:r>
        <w:rPr>
          <w:rFonts w:ascii="Courier New" w:hAnsi="Courier New"/>
          <w:sz w:val="20"/>
        </w:rPr>
        <w:t>threshold_crossed_ts</w:t>
      </w:r>
      <w:r>
        <w:rPr>
          <w:sz w:val="20"/>
        </w:rPr>
        <w:t xml:space="preserve"> = 2024-03-15T02:02 (Friday, business day), the initial report deadline is 2024-03-15T06:00.</w:t>
      </w:r>
    </w:p>
    <w:p>
      <w:r>
        <w:rPr>
          <w:sz w:val="20"/>
        </w:rPr>
        <w:t>In cases of extreme emergency, a different reporting schedule may be agreed to by the IURC and RPL until the emergency has ended. (170 IAC 4-1-23(b)(4))</w:t>
      </w:r>
    </w:p>
    <w:p>
      <w:pPr>
        <w:pStyle w:val="Heading3"/>
      </w:pPr>
      <w:r>
        <w:rPr>
          <w:sz w:val="28"/>
        </w:rPr>
        <w:t>8.2 Channel</w:t>
      </w:r>
    </w:p>
    <w:p>
      <w:r>
        <w:rPr>
          <w:sz w:val="20"/>
        </w:rPr>
        <w:t xml:space="preserve">Service interruption reports occurring during business days shall be submitted to the IURC and to the Office of the Utility Consumer Counselor (OUCC) via commission-prescribed format. The </w:t>
      </w:r>
      <w:r>
        <w:rPr>
          <w:b/>
          <w:sz w:val="20"/>
        </w:rPr>
        <w:t>preferred method is electronic mail</w:t>
      </w:r>
      <w:r>
        <w:rPr>
          <w:sz w:val="20"/>
        </w:rPr>
        <w:t>. Telephone or other types of reports may be made if coordinated in advance with IURC staff. (170 IAC 4-1-23(b)(3))</w:t>
      </w:r>
    </w:p>
    <w:p>
      <w:r>
        <w:rPr>
          <w:sz w:val="20"/>
        </w:rPr>
        <w:t>Internal performance target: The DCC Shift Supervisor sends all reports to both recipients in a single email to the IURC Energy Division and the OUCC, using the State Form 54646 as the email body or attachment.</w:t>
      </w:r>
    </w:p>
    <w:p>
      <w:pPr>
        <w:pStyle w:val="Heading3"/>
      </w:pPr>
      <w:r>
        <w:rPr>
          <w:sz w:val="28"/>
        </w:rPr>
        <w:t>8.3 State Form 54646 Field Mapping</w:t>
      </w:r>
    </w:p>
    <w:tbl>
      <w:tblPr>
        <w:tblStyle w:val="TableGrid"/>
        <w:tblW w:type="auto" w:w="0"/>
        <w:tblLook w:firstColumn="1" w:firstRow="1" w:lastColumn="0" w:lastRow="0" w:noHBand="0" w:noVBand="1" w:val="04A0"/>
      </w:tblPr>
      <w:tblGrid>
        <w:gridCol w:w="3009"/>
        <w:gridCol w:w="3009"/>
        <w:gridCol w:w="3009"/>
      </w:tblGrid>
      <w:tr>
        <w:tc>
          <w:tcPr>
            <w:tcW w:type="dxa" w:w="3009"/>
            <w:vAlign w:val="center"/>
            <w:shd w:val="clear" w:color="auto" w:fill="D9E1F2"/>
          </w:tcPr>
          <w:p>
            <w:r>
              <w:rPr>
                <w:b/>
                <w:sz w:val="18"/>
              </w:rPr>
              <w:t>State Form 54646 Field</w:t>
            </w:r>
          </w:p>
        </w:tc>
        <w:tc>
          <w:tcPr>
            <w:tcW w:type="dxa" w:w="3009"/>
            <w:vAlign w:val="center"/>
            <w:shd w:val="clear" w:color="auto" w:fill="D9E1F2"/>
          </w:tcPr>
          <w:p>
            <w:r>
              <w:rPr>
                <w:b/>
                <w:sz w:val="18"/>
              </w:rPr>
              <w:t>RPL OMS / Data Source</w:t>
            </w:r>
          </w:p>
        </w:tc>
        <w:tc>
          <w:tcPr>
            <w:tcW w:type="dxa" w:w="3009"/>
            <w:vAlign w:val="center"/>
            <w:shd w:val="clear" w:color="auto" w:fill="D9E1F2"/>
          </w:tcPr>
          <w:p>
            <w:r>
              <w:rPr>
                <w:b/>
                <w:sz w:val="18"/>
              </w:rPr>
              <w:t>170 IAC 4-1-23 Reference</w:t>
            </w:r>
          </w:p>
        </w:tc>
      </w:tr>
      <w:tr>
        <w:tc>
          <w:tcPr>
            <w:tcW w:type="dxa" w:w="3009"/>
            <w:vAlign w:val="center"/>
          </w:tcPr>
          <w:p>
            <w:r>
              <w:rPr>
                <w:sz w:val="18"/>
              </w:rPr>
              <w:t>Utility name</w:t>
            </w:r>
          </w:p>
        </w:tc>
        <w:tc>
          <w:tcPr>
            <w:tcW w:type="dxa" w:w="3009"/>
            <w:vAlign w:val="center"/>
          </w:tcPr>
          <w:p>
            <w:r>
              <w:rPr>
                <w:sz w:val="18"/>
              </w:rPr>
              <w:t>Rockridge Power &amp; Light Company</w:t>
            </w:r>
          </w:p>
        </w:tc>
        <w:tc>
          <w:tcPr>
            <w:tcW w:type="dxa" w:w="3009"/>
            <w:vAlign w:val="center"/>
          </w:tcPr>
          <w:p>
            <w:r>
              <w:rPr>
                <w:sz w:val="18"/>
              </w:rPr>
              <w:t>—</w:t>
            </w:r>
          </w:p>
        </w:tc>
      </w:tr>
      <w:tr>
        <w:tc>
          <w:tcPr>
            <w:tcW w:type="dxa" w:w="3009"/>
            <w:vAlign w:val="center"/>
          </w:tcPr>
          <w:p>
            <w:r>
              <w:rPr>
                <w:sz w:val="18"/>
              </w:rPr>
              <w:t>IURC utility ID</w:t>
            </w:r>
          </w:p>
        </w:tc>
        <w:tc>
          <w:tcPr>
            <w:tcW w:type="dxa" w:w="3009"/>
            <w:vAlign w:val="center"/>
          </w:tcPr>
          <w:p>
            <w:r>
              <w:rPr>
                <w:sz w:val="18"/>
              </w:rPr>
              <w:t>99012</w:t>
            </w:r>
          </w:p>
        </w:tc>
        <w:tc>
          <w:tcPr>
            <w:tcW w:type="dxa" w:w="3009"/>
            <w:vAlign w:val="center"/>
          </w:tcPr>
          <w:p>
            <w:r>
              <w:rPr>
                <w:sz w:val="18"/>
              </w:rPr>
              <w:t>—</w:t>
            </w:r>
          </w:p>
        </w:tc>
      </w:tr>
      <w:tr>
        <w:tc>
          <w:tcPr>
            <w:tcW w:type="dxa" w:w="3009"/>
            <w:vAlign w:val="center"/>
          </w:tcPr>
          <w:p>
            <w:r>
              <w:rPr>
                <w:sz w:val="18"/>
              </w:rPr>
              <w:t>Contact name</w:t>
            </w:r>
          </w:p>
        </w:tc>
        <w:tc>
          <w:tcPr>
            <w:tcW w:type="dxa" w:w="3009"/>
            <w:vAlign w:val="center"/>
          </w:tcPr>
          <w:p>
            <w:r>
              <w:rPr>
                <w:sz w:val="18"/>
              </w:rPr>
              <w:t>Kevin Adeyemi (P23) or on-duty DCC Shift Supervisor</w:t>
            </w:r>
          </w:p>
        </w:tc>
        <w:tc>
          <w:tcPr>
            <w:tcW w:type="dxa" w:w="3009"/>
            <w:vAlign w:val="center"/>
          </w:tcPr>
          <w:p>
            <w:r>
              <w:rPr>
                <w:sz w:val="18"/>
              </w:rPr>
              <w:t>—</w:t>
            </w:r>
          </w:p>
        </w:tc>
      </w:tr>
      <w:tr>
        <w:tc>
          <w:tcPr>
            <w:tcW w:type="dxa" w:w="3009"/>
            <w:vAlign w:val="center"/>
          </w:tcPr>
          <w:p>
            <w:r>
              <w:rPr>
                <w:sz w:val="18"/>
              </w:rPr>
              <w:t>Contact phone</w:t>
            </w:r>
          </w:p>
        </w:tc>
        <w:tc>
          <w:tcPr>
            <w:tcW w:type="dxa" w:w="3009"/>
            <w:vAlign w:val="center"/>
          </w:tcPr>
          <w:p>
            <w:r>
              <w:rPr>
                <w:sz w:val="18"/>
              </w:rPr>
              <w:t>1-800-555-0142 (DCC direct)</w:t>
            </w:r>
          </w:p>
        </w:tc>
        <w:tc>
          <w:tcPr>
            <w:tcW w:type="dxa" w:w="3009"/>
            <w:vAlign w:val="center"/>
          </w:tcPr>
          <w:p>
            <w:r>
              <w:rPr>
                <w:sz w:val="18"/>
              </w:rPr>
              <w:t>—</w:t>
            </w:r>
          </w:p>
        </w:tc>
      </w:tr>
      <w:tr>
        <w:tc>
          <w:tcPr>
            <w:tcW w:type="dxa" w:w="3009"/>
            <w:vAlign w:val="center"/>
          </w:tcPr>
          <w:p>
            <w:r>
              <w:rPr>
                <w:sz w:val="18"/>
              </w:rPr>
              <w:t>Contact email</w:t>
            </w:r>
          </w:p>
        </w:tc>
        <w:tc>
          <w:tcPr>
            <w:tcW w:type="dxa" w:w="3009"/>
            <w:vAlign w:val="center"/>
          </w:tcPr>
          <w:p>
            <w:r>
              <w:rPr>
                <w:sz w:val="18"/>
              </w:rPr>
              <w:t>kevin.adeyemi@rockridge-pl.example</w:t>
            </w:r>
          </w:p>
        </w:tc>
        <w:tc>
          <w:tcPr>
            <w:tcW w:type="dxa" w:w="3009"/>
            <w:vAlign w:val="center"/>
          </w:tcPr>
          <w:p>
            <w:r>
              <w:rPr>
                <w:sz w:val="18"/>
              </w:rPr>
              <w:t>—</w:t>
            </w:r>
          </w:p>
        </w:tc>
      </w:tr>
      <w:tr>
        <w:tc>
          <w:tcPr>
            <w:tcW w:type="dxa" w:w="3009"/>
            <w:vAlign w:val="center"/>
          </w:tcPr>
          <w:p>
            <w:r>
              <w:rPr>
                <w:sz w:val="18"/>
              </w:rPr>
              <w:t>Report type (initial / update / final)</w:t>
            </w:r>
          </w:p>
        </w:tc>
        <w:tc>
          <w:tcPr>
            <w:tcW w:type="dxa" w:w="3009"/>
            <w:vAlign w:val="center"/>
          </w:tcPr>
          <w:p>
            <w:r>
              <w:rPr>
                <w:sz w:val="18"/>
              </w:rPr>
              <w:t>Derived from report sequence</w:t>
            </w:r>
          </w:p>
        </w:tc>
        <w:tc>
          <w:tcPr>
            <w:tcW w:type="dxa" w:w="3009"/>
            <w:vAlign w:val="center"/>
          </w:tcPr>
          <w:p>
            <w:r>
              <w:rPr>
                <w:sz w:val="18"/>
              </w:rPr>
              <w:t>170 IAC 4-1-23(b)(1)</w:t>
            </w:r>
          </w:p>
        </w:tc>
      </w:tr>
      <w:tr>
        <w:tc>
          <w:tcPr>
            <w:tcW w:type="dxa" w:w="3009"/>
            <w:vAlign w:val="center"/>
          </w:tcPr>
          <w:p>
            <w:r>
              <w:rPr>
                <w:sz w:val="18"/>
              </w:rPr>
              <w:t>Interruption start time</w:t>
            </w:r>
          </w:p>
        </w:tc>
        <w:tc>
          <w:tcPr>
            <w:tcW w:type="dxa" w:w="3009"/>
            <w:vAlign w:val="center"/>
          </w:tcPr>
          <w:p>
            <w:r>
              <w:rPr>
                <w:sz w:val="18"/>
              </w:rPr>
              <w:t>`first_start_ts`</w:t>
            </w:r>
          </w:p>
        </w:tc>
        <w:tc>
          <w:tcPr>
            <w:tcW w:type="dxa" w:w="3009"/>
            <w:vAlign w:val="center"/>
          </w:tcPr>
          <w:p>
            <w:r>
              <w:rPr>
                <w:sz w:val="18"/>
              </w:rPr>
              <w:t>—</w:t>
            </w:r>
          </w:p>
        </w:tc>
      </w:tr>
      <w:tr>
        <w:tc>
          <w:tcPr>
            <w:tcW w:type="dxa" w:w="3009"/>
            <w:vAlign w:val="center"/>
          </w:tcPr>
          <w:p>
            <w:r>
              <w:rPr>
                <w:sz w:val="18"/>
              </w:rPr>
              <w:t>Date/time of this report</w:t>
            </w:r>
          </w:p>
        </w:tc>
        <w:tc>
          <w:tcPr>
            <w:tcW w:type="dxa" w:w="3009"/>
            <w:vAlign w:val="center"/>
          </w:tcPr>
          <w:p>
            <w:r>
              <w:rPr>
                <w:sz w:val="18"/>
              </w:rPr>
              <w:t>`submitted_ts`</w:t>
            </w:r>
          </w:p>
        </w:tc>
        <w:tc>
          <w:tcPr>
            <w:tcW w:type="dxa" w:w="3009"/>
            <w:vAlign w:val="center"/>
          </w:tcPr>
          <w:p>
            <w:r>
              <w:rPr>
                <w:sz w:val="18"/>
              </w:rPr>
              <w:t>—</w:t>
            </w:r>
          </w:p>
        </w:tc>
      </w:tr>
      <w:tr>
        <w:tc>
          <w:tcPr>
            <w:tcW w:type="dxa" w:w="3009"/>
            <w:vAlign w:val="center"/>
          </w:tcPr>
          <w:p>
            <w:r>
              <w:rPr>
                <w:sz w:val="18"/>
              </w:rPr>
              <w:t>County/counties affected</w:t>
            </w:r>
          </w:p>
        </w:tc>
        <w:tc>
          <w:tcPr>
            <w:tcW w:type="dxa" w:w="3009"/>
            <w:vAlign w:val="center"/>
          </w:tcPr>
          <w:p>
            <w:r>
              <w:rPr>
                <w:sz w:val="18"/>
              </w:rPr>
              <w:t>`counties_affected`</w:t>
            </w:r>
          </w:p>
        </w:tc>
        <w:tc>
          <w:tcPr>
            <w:tcW w:type="dxa" w:w="3009"/>
            <w:vAlign w:val="center"/>
          </w:tcPr>
          <w:p>
            <w:r>
              <w:rPr>
                <w:sz w:val="18"/>
              </w:rPr>
              <w:t>—</w:t>
            </w:r>
          </w:p>
        </w:tc>
      </w:tr>
      <w:tr>
        <w:tc>
          <w:tcPr>
            <w:tcW w:type="dxa" w:w="3009"/>
            <w:vAlign w:val="center"/>
          </w:tcPr>
          <w:p>
            <w:r>
              <w:rPr>
                <w:sz w:val="18"/>
              </w:rPr>
              <w:t>City/municipality</w:t>
            </w:r>
          </w:p>
        </w:tc>
        <w:tc>
          <w:tcPr>
            <w:tcW w:type="dxa" w:w="3009"/>
            <w:vAlign w:val="center"/>
          </w:tcPr>
          <w:p>
            <w:r>
              <w:rPr>
                <w:sz w:val="18"/>
              </w:rPr>
              <w:t>`municipalities_affected`</w:t>
            </w:r>
          </w:p>
        </w:tc>
        <w:tc>
          <w:tcPr>
            <w:tcW w:type="dxa" w:w="3009"/>
            <w:vAlign w:val="center"/>
          </w:tcPr>
          <w:p>
            <w:r>
              <w:rPr>
                <w:sz w:val="18"/>
              </w:rPr>
              <w:t>—</w:t>
            </w:r>
          </w:p>
        </w:tc>
      </w:tr>
      <w:tr>
        <w:tc>
          <w:tcPr>
            <w:tcW w:type="dxa" w:w="3009"/>
            <w:vAlign w:val="center"/>
          </w:tcPr>
          <w:p>
            <w:r>
              <w:rPr>
                <w:sz w:val="18"/>
              </w:rPr>
              <w:t>Number of customers affected total</w:t>
            </w:r>
          </w:p>
        </w:tc>
        <w:tc>
          <w:tcPr>
            <w:tcW w:type="dxa" w:w="3009"/>
            <w:vAlign w:val="center"/>
          </w:tcPr>
          <w:p>
            <w:r>
              <w:rPr>
                <w:sz w:val="18"/>
              </w:rPr>
              <w:t>`total_customers_affected`</w:t>
            </w:r>
          </w:p>
        </w:tc>
        <w:tc>
          <w:tcPr>
            <w:tcW w:type="dxa" w:w="3009"/>
            <w:vAlign w:val="center"/>
          </w:tcPr>
          <w:p>
            <w:r>
              <w:rPr>
                <w:sz w:val="18"/>
              </w:rPr>
              <w:t>—</w:t>
            </w:r>
          </w:p>
        </w:tc>
      </w:tr>
      <w:tr>
        <w:tc>
          <w:tcPr>
            <w:tcW w:type="dxa" w:w="3009"/>
            <w:vAlign w:val="center"/>
          </w:tcPr>
          <w:p>
            <w:r>
              <w:rPr>
                <w:sz w:val="18"/>
              </w:rPr>
              <w:t>Number of customers still without service</w:t>
            </w:r>
          </w:p>
        </w:tc>
        <w:tc>
          <w:tcPr>
            <w:tcW w:type="dxa" w:w="3009"/>
            <w:vAlign w:val="center"/>
          </w:tcPr>
          <w:p>
            <w:r>
              <w:rPr>
                <w:sz w:val="18"/>
              </w:rPr>
              <w:t>Current count from OMS</w:t>
            </w:r>
          </w:p>
        </w:tc>
        <w:tc>
          <w:tcPr>
            <w:tcW w:type="dxa" w:w="3009"/>
            <w:vAlign w:val="center"/>
          </w:tcPr>
          <w:p>
            <w:r>
              <w:rPr>
                <w:sz w:val="18"/>
              </w:rPr>
              <w:t>—</w:t>
            </w:r>
          </w:p>
        </w:tc>
      </w:tr>
      <w:tr>
        <w:tc>
          <w:tcPr>
            <w:tcW w:type="dxa" w:w="3009"/>
            <w:vAlign w:val="center"/>
          </w:tcPr>
          <w:p>
            <w:r>
              <w:rPr>
                <w:sz w:val="18"/>
              </w:rPr>
              <w:t>Estimated restoration time</w:t>
            </w:r>
          </w:p>
        </w:tc>
        <w:tc>
          <w:tcPr>
            <w:tcW w:type="dxa" w:w="3009"/>
            <w:vAlign w:val="center"/>
          </w:tcPr>
          <w:p>
            <w:r>
              <w:rPr>
                <w:sz w:val="18"/>
              </w:rPr>
              <w:t>Current `etr_ts` from OMS</w:t>
            </w:r>
          </w:p>
        </w:tc>
        <w:tc>
          <w:tcPr>
            <w:tcW w:type="dxa" w:w="3009"/>
            <w:vAlign w:val="center"/>
          </w:tcPr>
          <w:p>
            <w:r>
              <w:rPr>
                <w:sz w:val="18"/>
              </w:rPr>
              <w:t>—</w:t>
            </w:r>
          </w:p>
        </w:tc>
      </w:tr>
      <w:tr>
        <w:tc>
          <w:tcPr>
            <w:tcW w:type="dxa" w:w="3009"/>
            <w:vAlign w:val="center"/>
          </w:tcPr>
          <w:p>
            <w:r>
              <w:rPr>
                <w:sz w:val="18"/>
              </w:rPr>
              <w:t>Cause of interruption</w:t>
            </w:r>
          </w:p>
        </w:tc>
        <w:tc>
          <w:tcPr>
            <w:tcW w:type="dxa" w:w="3009"/>
            <w:vAlign w:val="center"/>
          </w:tcPr>
          <w:p>
            <w:r>
              <w:rPr>
                <w:sz w:val="18"/>
              </w:rPr>
              <w:t>`cause_reported` (may be "under investigation" initially)</w:t>
            </w:r>
          </w:p>
        </w:tc>
        <w:tc>
          <w:tcPr>
            <w:tcW w:type="dxa" w:w="3009"/>
            <w:vAlign w:val="center"/>
          </w:tcPr>
          <w:p>
            <w:r>
              <w:rPr>
                <w:sz w:val="18"/>
              </w:rPr>
              <w:t>—</w:t>
            </w:r>
          </w:p>
        </w:tc>
      </w:tr>
      <w:tr>
        <w:tc>
          <w:tcPr>
            <w:tcW w:type="dxa" w:w="3009"/>
            <w:vAlign w:val="center"/>
          </w:tcPr>
          <w:p>
            <w:r>
              <w:rPr>
                <w:sz w:val="18"/>
              </w:rPr>
              <w:t>Report submitted by</w:t>
            </w:r>
          </w:p>
        </w:tc>
        <w:tc>
          <w:tcPr>
            <w:tcW w:type="dxa" w:w="3009"/>
            <w:vAlign w:val="center"/>
          </w:tcPr>
          <w:p>
            <w:r>
              <w:rPr>
                <w:sz w:val="18"/>
              </w:rPr>
              <w:t>DCC Shift Supervisor name</w:t>
            </w:r>
          </w:p>
        </w:tc>
        <w:tc>
          <w:tcPr>
            <w:tcW w:type="dxa" w:w="3009"/>
            <w:vAlign w:val="center"/>
          </w:tcPr>
          <w:p>
            <w:r>
              <w:rPr>
                <w:sz w:val="18"/>
              </w:rPr>
              <w:t>—</w:t>
            </w:r>
          </w:p>
        </w:tc>
      </w:tr>
    </w:tbl>
    <w:p>
      <w:r>
        <w:rPr>
          <w:sz w:val="20"/>
        </w:rPr>
      </w:r>
      <w:r>
        <w:rPr>
          <w:b/>
          <w:sz w:val="20"/>
        </w:rPr>
        <w:t>Note:</w:t>
      </w:r>
      <w:r>
        <w:rPr>
          <w:sz w:val="20"/>
        </w:rPr>
        <w:t xml:space="preserve"> The cause field may read "under investigation" in the initial report. The DCC Shift Supervisor updates the cause in subsequent update reports as field crews identify the cause.</w:t>
      </w:r>
    </w:p>
    <w:p>
      <w:pPr>
        <w:spacing w:before="120" w:after="120"/>
        <w:pBdr>
          <w:bottom w:val="single" w:sz="6" w:space="1" w:color="AAAAAA"/>
        </w:pBdr>
      </w:pPr>
    </w:p>
    <w:p>
      <w:pPr>
        <w:pStyle w:val="Heading2"/>
      </w:pPr>
      <w:r>
        <w:rPr>
          <w:color w:val="1F3864"/>
          <w:sz w:val="32"/>
        </w:rPr>
        <w:t>9. Update Reports</w:t>
      </w:r>
    </w:p>
    <w:p>
      <w:pPr>
        <w:pStyle w:val="Heading3"/>
      </w:pPr>
      <w:r>
        <w:rPr>
          <w:sz w:val="28"/>
        </w:rPr>
        <w:t>9.1 Frequency</w:t>
      </w:r>
    </w:p>
    <w:p>
      <w:r>
        <w:rPr>
          <w:sz w:val="20"/>
        </w:rPr>
        <w:t xml:space="preserve">The DCC Shift Supervisor submits update reports to the IURC at </w:t>
      </w:r>
      <w:r>
        <w:rPr>
          <w:b/>
          <w:sz w:val="20"/>
        </w:rPr>
        <w:t>each regularly scheduled interval</w:t>
      </w:r>
      <w:r>
        <w:rPr>
          <w:sz w:val="20"/>
        </w:rPr>
        <w:t xml:space="preserve"> until electrical service has been restored to the level below the reporting threshold (&lt; 5,000 customers remaining without service). (170 IAC 4-1-23(b)(1))</w:t>
      </w:r>
    </w:p>
    <w:p>
      <w:r>
        <w:rPr>
          <w:sz w:val="20"/>
        </w:rPr>
        <w:t>The intervals are the same as listed in §8.1.</w:t>
      </w:r>
    </w:p>
    <w:p>
      <w:pPr>
        <w:pStyle w:val="Heading3"/>
      </w:pPr>
      <w:r>
        <w:rPr>
          <w:sz w:val="28"/>
        </w:rPr>
        <w:t>9.2 Content</w:t>
      </w:r>
    </w:p>
    <w:p>
      <w:r>
        <w:rPr>
          <w:sz w:val="20"/>
        </w:rPr>
        <w:t>Each update report via State Form 54646 includes:</w:t>
      </w:r>
    </w:p>
    <w:p>
      <w:pPr>
        <w:pStyle w:val="ListBullet"/>
      </w:pPr>
      <w:r>
        <w:rPr>
          <w:sz w:val="20"/>
        </w:rPr>
        <w:t xml:space="preserve">Current </w:t>
      </w:r>
      <w:r>
        <w:rPr>
          <w:rFonts w:ascii="Courier New" w:hAnsi="Courier New"/>
          <w:sz w:val="20"/>
        </w:rPr>
        <w:t>customers_still_out</w:t>
      </w:r>
      <w:r>
        <w:rPr>
          <w:sz w:val="20"/>
        </w:rPr>
        <w:t xml:space="preserve"> (updated from OMS)</w:t>
      </w:r>
    </w:p>
    <w:p>
      <w:pPr>
        <w:pStyle w:val="ListBullet"/>
      </w:pPr>
      <w:r>
        <w:rPr>
          <w:sz w:val="20"/>
        </w:rPr>
        <w:t xml:space="preserve">Current </w:t>
      </w:r>
      <w:r>
        <w:rPr>
          <w:rFonts w:ascii="Courier New" w:hAnsi="Courier New"/>
          <w:sz w:val="20"/>
        </w:rPr>
        <w:t>etr_ts</w:t>
      </w:r>
      <w:r>
        <w:rPr>
          <w:sz w:val="20"/>
        </w:rPr>
        <w:t xml:space="preserve"> (updated if restoration timeline changes)</w:t>
      </w:r>
    </w:p>
    <w:p>
      <w:pPr>
        <w:pStyle w:val="ListBullet"/>
      </w:pPr>
      <w:r>
        <w:rPr>
          <w:sz w:val="20"/>
        </w:rPr>
        <w:t>Updated cause if field crews have identified the cause</w:t>
      </w:r>
    </w:p>
    <w:p>
      <w:pPr>
        <w:pStyle w:val="ListBullet"/>
      </w:pPr>
      <w:r>
        <w:rPr>
          <w:sz w:val="20"/>
        </w:rPr>
        <w:t>Whether restoration is below the threshold (if so, the update is also the final report)</w:t>
      </w:r>
    </w:p>
    <w:p>
      <w:pPr>
        <w:pStyle w:val="Heading3"/>
      </w:pPr>
      <w:r>
        <w:rPr>
          <w:sz w:val="28"/>
        </w:rPr>
        <w:t>9.3 DCC Timer Practice</w:t>
      </w:r>
    </w:p>
    <w:p>
      <w:r>
        <w:rPr>
          <w:sz w:val="20"/>
        </w:rPr>
        <w:t>Internal performance target: The DCC Shift Supervisor sets an OMS reminder timer 15 minutes before each scheduled reporting interval during a reportable event, to ensure the report is compiled and sent on time. The OMS DCC-ESCALATION paging group is automatically re-triggered if a timer expires without a report submission record in OMS.</w:t>
      </w:r>
    </w:p>
    <w:p>
      <w:pPr>
        <w:spacing w:before="120" w:after="120"/>
        <w:pBdr>
          <w:bottom w:val="single" w:sz="6" w:space="1" w:color="AAAAAA"/>
        </w:pBdr>
      </w:pPr>
    </w:p>
    <w:p>
      <w:pPr>
        <w:pStyle w:val="Heading2"/>
      </w:pPr>
      <w:r>
        <w:rPr>
          <w:color w:val="1F3864"/>
          <w:sz w:val="32"/>
        </w:rPr>
        <w:t>10. Final Report</w:t>
      </w:r>
    </w:p>
    <w:p>
      <w:pPr>
        <w:pStyle w:val="Heading3"/>
      </w:pPr>
      <w:r>
        <w:rPr>
          <w:sz w:val="28"/>
        </w:rPr>
        <w:t>10.1 Trigger</w:t>
      </w:r>
    </w:p>
    <w:p>
      <w:r>
        <w:rPr>
          <w:sz w:val="20"/>
        </w:rPr>
        <w:t xml:space="preserve">The report submitted at the first scheduled interval at which customers still without service have dropped below the reporting threshold (&lt; 5,000 customers) is the </w:t>
      </w:r>
      <w:r>
        <w:rPr>
          <w:b/>
          <w:sz w:val="20"/>
        </w:rPr>
        <w:t>final report</w:t>
      </w:r>
      <w:r>
        <w:rPr>
          <w:sz w:val="20"/>
        </w:rPr>
        <w:t xml:space="preserve"> for that interruption period. (170 IAC 4-1-23(b)(1))</w:t>
      </w:r>
    </w:p>
    <w:p>
      <w:pPr>
        <w:pStyle w:val="Heading3"/>
      </w:pPr>
      <w:r>
        <w:rPr>
          <w:sz w:val="28"/>
        </w:rPr>
        <w:t>10.2 Content</w:t>
      </w:r>
    </w:p>
    <w:p>
      <w:r>
        <w:rPr>
          <w:sz w:val="20"/>
        </w:rPr>
        <w:t>The final report, submitted on State Form 54646 with "Final" marked in the report-type field, contains:</w:t>
      </w:r>
    </w:p>
    <w:p>
      <w:pPr>
        <w:pStyle w:val="ListBullet"/>
      </w:pPr>
      <w:r>
        <w:rPr>
          <w:sz w:val="20"/>
        </w:rPr>
      </w:r>
      <w:r>
        <w:rPr>
          <w:rFonts w:ascii="Courier New" w:hAnsi="Courier New"/>
          <w:sz w:val="20"/>
        </w:rPr>
        <w:t>customers_still_out_reported</w:t>
      </w:r>
      <w:r>
        <w:rPr>
          <w:sz w:val="20"/>
        </w:rPr>
        <w:t xml:space="preserve"> = 0 (or the actual count if below 5,000)</w:t>
      </w:r>
    </w:p>
    <w:p>
      <w:pPr>
        <w:pStyle w:val="ListBullet"/>
      </w:pPr>
      <w:r>
        <w:rPr>
          <w:sz w:val="20"/>
        </w:rPr>
      </w:r>
      <w:r>
        <w:rPr>
          <w:rFonts w:ascii="Courier New" w:hAnsi="Courier New"/>
          <w:sz w:val="20"/>
        </w:rPr>
        <w:t>etr_reported</w:t>
      </w:r>
      <w:r>
        <w:rPr>
          <w:sz w:val="20"/>
        </w:rPr>
        <w:t xml:space="preserve"> = </w:t>
      </w:r>
      <w:r>
        <w:rPr>
          <w:rFonts w:ascii="Courier New" w:hAnsi="Courier New"/>
          <w:sz w:val="20"/>
        </w:rPr>
        <w:t>restored_ts</w:t>
      </w:r>
      <w:r>
        <w:rPr>
          <w:sz w:val="20"/>
        </w:rPr>
        <w:t xml:space="preserve"> (actual restoration time)</w:t>
      </w:r>
    </w:p>
    <w:p>
      <w:pPr>
        <w:pStyle w:val="ListBullet"/>
      </w:pPr>
      <w:r>
        <w:rPr>
          <w:sz w:val="20"/>
        </w:rPr>
      </w:r>
      <w:r>
        <w:rPr>
          <w:rFonts w:ascii="Courier New" w:hAnsi="Courier New"/>
          <w:sz w:val="20"/>
        </w:rPr>
        <w:t>cause_reported</w:t>
      </w:r>
      <w:r>
        <w:rPr>
          <w:sz w:val="20"/>
        </w:rPr>
        <w:t xml:space="preserve"> = confirmed cause from OMS</w:t>
      </w:r>
    </w:p>
    <w:p>
      <w:pPr>
        <w:pStyle w:val="ListBullet"/>
      </w:pPr>
      <w:r>
        <w:rPr>
          <w:sz w:val="20"/>
        </w:rPr>
        <w:t>Notation that full restoration has been achieved</w:t>
      </w:r>
    </w:p>
    <w:p>
      <w:pPr>
        <w:pStyle w:val="Heading3"/>
      </w:pPr>
      <w:r>
        <w:rPr>
          <w:sz w:val="28"/>
        </w:rPr>
        <w:t>10.3 Post-Final Actions</w:t>
      </w:r>
    </w:p>
    <w:p>
      <w:r>
        <w:rPr>
          <w:sz w:val="20"/>
        </w:rPr>
        <w:t>After the final report is submitted:</w:t>
      </w:r>
    </w:p>
    <w:p>
      <w:pPr>
        <w:pStyle w:val="ListNumber"/>
      </w:pPr>
      <w:r>
        <w:rPr>
          <w:sz w:val="20"/>
        </w:rPr>
        <w:t xml:space="preserve">The DCC Shift Supervisor records the </w:t>
      </w:r>
      <w:r>
        <w:rPr>
          <w:rFonts w:ascii="Courier New" w:hAnsi="Courier New"/>
          <w:sz w:val="20"/>
        </w:rPr>
        <w:t>iurc_final_report_ts</w:t>
      </w:r>
      <w:r>
        <w:rPr>
          <w:sz w:val="20"/>
        </w:rPr>
        <w:t xml:space="preserve"> in OMS.</w:t>
      </w:r>
    </w:p>
    <w:p>
      <w:pPr>
        <w:pStyle w:val="ListNumber"/>
      </w:pPr>
      <w:r>
        <w:rPr>
          <w:sz w:val="20"/>
        </w:rPr>
        <w:t>The IURC may notify RPL if a written report or further information is required. (170 IAC 4-1-23(b)(5))</w:t>
      </w:r>
    </w:p>
    <w:p>
      <w:pPr>
        <w:pStyle w:val="ListNumber"/>
      </w:pPr>
      <w:r>
        <w:rPr>
          <w:sz w:val="20"/>
        </w:rPr>
        <w:t>The DCC Shift Supervisor completes incident close-out per §6.4 within 24 hours.</w:t>
      </w:r>
    </w:p>
    <w:p>
      <w:pPr>
        <w:pStyle w:val="ListNumber"/>
      </w:pPr>
      <w:r>
        <w:rPr>
          <w:sz w:val="20"/>
        </w:rPr>
        <w:t>All report records are stored in RRS-DCC-001 in DCS.</w:t>
      </w:r>
    </w:p>
    <w:p>
      <w:pPr>
        <w:spacing w:before="120" w:after="120"/>
        <w:pBdr>
          <w:bottom w:val="single" w:sz="6" w:space="1" w:color="AAAAAA"/>
        </w:pBdr>
      </w:pPr>
    </w:p>
    <w:p>
      <w:pPr>
        <w:pStyle w:val="Heading2"/>
      </w:pPr>
      <w:r>
        <w:rPr>
          <w:color w:val="1F3864"/>
          <w:sz w:val="32"/>
        </w:rPr>
        <w:t>11. Restoration Priorities</w:t>
      </w:r>
    </w:p>
    <w:p>
      <w:pPr>
        <w:pStyle w:val="Heading3"/>
      </w:pPr>
      <w:r>
        <w:rPr>
          <w:sz w:val="28"/>
        </w:rPr>
        <w:t>11.1 Regulatory Priority</w:t>
      </w:r>
    </w:p>
    <w:p>
      <w:r>
        <w:rPr>
          <w:sz w:val="20"/>
        </w:rPr>
        <w:t xml:space="preserve">RPL shall first attempt to restore service that affects </w:t>
      </w:r>
      <w:r>
        <w:rPr>
          <w:b/>
          <w:sz w:val="20"/>
        </w:rPr>
        <w:t>public health and safety</w:t>
      </w:r>
      <w:r>
        <w:rPr>
          <w:sz w:val="20"/>
        </w:rPr>
        <w:t>. (170 IAC 4-1-23(d))</w:t>
      </w:r>
    </w:p>
    <w:p>
      <w:pPr>
        <w:pStyle w:val="Heading3"/>
      </w:pPr>
      <w:r>
        <w:rPr>
          <w:sz w:val="28"/>
        </w:rPr>
        <w:t>11.2 RPL Restoration Priority Tiers</w:t>
      </w:r>
    </w:p>
    <w:tbl>
      <w:tblPr>
        <w:tblStyle w:val="TableGrid"/>
        <w:tblW w:type="auto" w:w="0"/>
        <w:tblLook w:firstColumn="1" w:firstRow="1" w:lastColumn="0" w:lastRow="0" w:noHBand="0" w:noVBand="1" w:val="04A0"/>
      </w:tblPr>
      <w:tblGrid>
        <w:gridCol w:w="2256"/>
        <w:gridCol w:w="2256"/>
        <w:gridCol w:w="2256"/>
        <w:gridCol w:w="2256"/>
      </w:tblGrid>
      <w:tr>
        <w:tc>
          <w:tcPr>
            <w:tcW w:type="dxa" w:w="2256"/>
            <w:vAlign w:val="center"/>
            <w:shd w:val="clear" w:color="auto" w:fill="D9E1F2"/>
          </w:tcPr>
          <w:p>
            <w:r>
              <w:rPr>
                <w:b/>
                <w:sz w:val="18"/>
              </w:rPr>
              <w:t>Tier</w:t>
            </w:r>
          </w:p>
        </w:tc>
        <w:tc>
          <w:tcPr>
            <w:tcW w:type="dxa" w:w="2256"/>
            <w:vAlign w:val="center"/>
            <w:shd w:val="clear" w:color="auto" w:fill="D9E1F2"/>
          </w:tcPr>
          <w:p>
            <w:r>
              <w:rPr>
                <w:b/>
                <w:sz w:val="18"/>
              </w:rPr>
              <w:t>Priority Level</w:t>
            </w:r>
          </w:p>
        </w:tc>
        <w:tc>
          <w:tcPr>
            <w:tcW w:type="dxa" w:w="2256"/>
            <w:vAlign w:val="center"/>
            <w:shd w:val="clear" w:color="auto" w:fill="D9E1F2"/>
          </w:tcPr>
          <w:p>
            <w:r>
              <w:rPr>
                <w:b/>
                <w:sz w:val="18"/>
              </w:rPr>
              <w:t>Description</w:t>
            </w:r>
          </w:p>
        </w:tc>
        <w:tc>
          <w:tcPr>
            <w:tcW w:type="dxa" w:w="2256"/>
            <w:vAlign w:val="center"/>
            <w:shd w:val="clear" w:color="auto" w:fill="D9E1F2"/>
          </w:tcPr>
          <w:p>
            <w:r>
              <w:rPr>
                <w:b/>
                <w:sz w:val="18"/>
              </w:rPr>
              <w:t>Examples</w:t>
            </w:r>
          </w:p>
        </w:tc>
      </w:tr>
      <w:tr>
        <w:tc>
          <w:tcPr>
            <w:tcW w:type="dxa" w:w="2256"/>
            <w:vAlign w:val="center"/>
          </w:tcPr>
          <w:p>
            <w:r>
              <w:rPr>
                <w:sz w:val="18"/>
              </w:rPr>
              <w:t>1</w:t>
            </w:r>
          </w:p>
        </w:tc>
        <w:tc>
          <w:tcPr>
            <w:tcW w:type="dxa" w:w="2256"/>
            <w:vAlign w:val="center"/>
          </w:tcPr>
          <w:p>
            <w:r>
              <w:rPr>
                <w:sz w:val="18"/>
              </w:rPr>
              <w:t>Public health and safety</w:t>
            </w:r>
          </w:p>
        </w:tc>
        <w:tc>
          <w:tcPr>
            <w:tcW w:type="dxa" w:w="2256"/>
            <w:vAlign w:val="center"/>
          </w:tcPr>
          <w:p>
            <w:r>
              <w:rPr>
                <w:sz w:val="18"/>
              </w:rPr>
              <w:t>Restoring service to facilities critical to public safety and emergency response</w:t>
            </w:r>
          </w:p>
        </w:tc>
        <w:tc>
          <w:tcPr>
            <w:tcW w:type="dxa" w:w="2256"/>
            <w:vAlign w:val="center"/>
          </w:tcPr>
          <w:p>
            <w:r>
              <w:rPr>
                <w:sz w:val="18"/>
              </w:rPr>
              <w:t>Hospitals, fire stations, police stations, water treatment plants, emergency shelters</w:t>
            </w:r>
          </w:p>
        </w:tc>
      </w:tr>
      <w:tr>
        <w:tc>
          <w:tcPr>
            <w:tcW w:type="dxa" w:w="2256"/>
            <w:vAlign w:val="center"/>
          </w:tcPr>
          <w:p>
            <w:r>
              <w:rPr>
                <w:sz w:val="18"/>
              </w:rPr>
              <w:t>2</w:t>
            </w:r>
          </w:p>
        </w:tc>
        <w:tc>
          <w:tcPr>
            <w:tcW w:type="dxa" w:w="2256"/>
            <w:vAlign w:val="center"/>
          </w:tcPr>
          <w:p>
            <w:r>
              <w:rPr>
                <w:sz w:val="18"/>
              </w:rPr>
              <w:t>Critical infrastructure</w:t>
            </w:r>
          </w:p>
        </w:tc>
        <w:tc>
          <w:tcPr>
            <w:tcW w:type="dxa" w:w="2256"/>
            <w:vAlign w:val="center"/>
          </w:tcPr>
          <w:p>
            <w:r>
              <w:rPr>
                <w:sz w:val="18"/>
              </w:rPr>
              <w:t>Facilities whose outage creates imminent public risk</w:t>
            </w:r>
          </w:p>
        </w:tc>
        <w:tc>
          <w:tcPr>
            <w:tcW w:type="dxa" w:w="2256"/>
            <w:vAlign w:val="center"/>
          </w:tcPr>
          <w:p>
            <w:r>
              <w:rPr>
                <w:sz w:val="18"/>
              </w:rPr>
              <w:t>Traffic signals, water pumping stations, nursing homes</w:t>
            </w:r>
          </w:p>
        </w:tc>
      </w:tr>
      <w:tr>
        <w:tc>
          <w:tcPr>
            <w:tcW w:type="dxa" w:w="2256"/>
            <w:vAlign w:val="center"/>
          </w:tcPr>
          <w:p>
            <w:r>
              <w:rPr>
                <w:sz w:val="18"/>
              </w:rPr>
              <w:t>3</w:t>
            </w:r>
          </w:p>
        </w:tc>
        <w:tc>
          <w:tcPr>
            <w:tcW w:type="dxa" w:w="2256"/>
            <w:vAlign w:val="center"/>
          </w:tcPr>
          <w:p>
            <w:r>
              <w:rPr>
                <w:sz w:val="18"/>
              </w:rPr>
              <w:t>Subtransmission (69 kV)</w:t>
            </w:r>
          </w:p>
        </w:tc>
        <w:tc>
          <w:tcPr>
            <w:tcW w:type="dxa" w:w="2256"/>
            <w:vAlign w:val="center"/>
          </w:tcPr>
          <w:p>
            <w:r>
              <w:rPr>
                <w:sz w:val="18"/>
              </w:rPr>
              <w:t>Bulk restoration affecting many downstream customers</w:t>
            </w:r>
          </w:p>
        </w:tc>
        <w:tc>
          <w:tcPr>
            <w:tcW w:type="dxa" w:w="2256"/>
            <w:vAlign w:val="center"/>
          </w:tcPr>
          <w:p>
            <w:r>
              <w:rPr>
                <w:sz w:val="18"/>
              </w:rPr>
              <w:t>69 kV line or substation supply failures</w:t>
            </w:r>
          </w:p>
        </w:tc>
      </w:tr>
      <w:tr>
        <w:tc>
          <w:tcPr>
            <w:tcW w:type="dxa" w:w="2256"/>
            <w:vAlign w:val="center"/>
          </w:tcPr>
          <w:p>
            <w:r>
              <w:rPr>
                <w:sz w:val="18"/>
              </w:rPr>
              <w:t>4</w:t>
            </w:r>
          </w:p>
        </w:tc>
        <w:tc>
          <w:tcPr>
            <w:tcW w:type="dxa" w:w="2256"/>
            <w:vAlign w:val="center"/>
          </w:tcPr>
          <w:p>
            <w:r>
              <w:rPr>
                <w:sz w:val="18"/>
              </w:rPr>
              <w:t>Substation feeders (backbone)</w:t>
            </w:r>
          </w:p>
        </w:tc>
        <w:tc>
          <w:tcPr>
            <w:tcW w:type="dxa" w:w="2256"/>
            <w:vAlign w:val="center"/>
          </w:tcPr>
          <w:p>
            <w:r>
              <w:rPr>
                <w:sz w:val="18"/>
              </w:rPr>
              <w:t>Primary feeder restoration (12.47 kV / 34.5 kV backbone)</w:t>
            </w:r>
          </w:p>
        </w:tc>
        <w:tc>
          <w:tcPr>
            <w:tcW w:type="dxa" w:w="2256"/>
            <w:vAlign w:val="center"/>
          </w:tcPr>
          <w:p>
            <w:r>
              <w:rPr>
                <w:sz w:val="18"/>
              </w:rPr>
              <w:t>Feeder breaker trips restoring 300–2,500 customers</w:t>
            </w:r>
          </w:p>
        </w:tc>
      </w:tr>
      <w:tr>
        <w:tc>
          <w:tcPr>
            <w:tcW w:type="dxa" w:w="2256"/>
            <w:vAlign w:val="center"/>
          </w:tcPr>
          <w:p>
            <w:r>
              <w:rPr>
                <w:sz w:val="18"/>
              </w:rPr>
              <w:t>5</w:t>
            </w:r>
          </w:p>
        </w:tc>
        <w:tc>
          <w:tcPr>
            <w:tcW w:type="dxa" w:w="2256"/>
            <w:vAlign w:val="center"/>
          </w:tcPr>
          <w:p>
            <w:r>
              <w:rPr>
                <w:sz w:val="18"/>
              </w:rPr>
              <w:t>Laterals and fuses</w:t>
            </w:r>
          </w:p>
        </w:tc>
        <w:tc>
          <w:tcPr>
            <w:tcW w:type="dxa" w:w="2256"/>
            <w:vAlign w:val="center"/>
          </w:tcPr>
          <w:p>
            <w:r>
              <w:rPr>
                <w:sz w:val="18"/>
              </w:rPr>
              <w:t>Section isolation and lateral restoration</w:t>
            </w:r>
          </w:p>
        </w:tc>
        <w:tc>
          <w:tcPr>
            <w:tcW w:type="dxa" w:w="2256"/>
            <w:vAlign w:val="center"/>
          </w:tcPr>
          <w:p>
            <w:r>
              <w:rPr>
                <w:sz w:val="18"/>
              </w:rPr>
              <w:t>Sectionalizer and fuse operations restoring 15–300 customers</w:t>
            </w:r>
          </w:p>
        </w:tc>
      </w:tr>
      <w:tr>
        <w:tc>
          <w:tcPr>
            <w:tcW w:type="dxa" w:w="2256"/>
            <w:vAlign w:val="center"/>
          </w:tcPr>
          <w:p>
            <w:r>
              <w:rPr>
                <w:sz w:val="18"/>
              </w:rPr>
              <w:t>6</w:t>
            </w:r>
          </w:p>
        </w:tc>
        <w:tc>
          <w:tcPr>
            <w:tcW w:type="dxa" w:w="2256"/>
            <w:vAlign w:val="center"/>
          </w:tcPr>
          <w:p>
            <w:r>
              <w:rPr>
                <w:sz w:val="18"/>
              </w:rPr>
              <w:t>Individual services and transformers</w:t>
            </w:r>
          </w:p>
        </w:tc>
        <w:tc>
          <w:tcPr>
            <w:tcW w:type="dxa" w:w="2256"/>
            <w:vAlign w:val="center"/>
          </w:tcPr>
          <w:p>
            <w:r>
              <w:rPr>
                <w:sz w:val="18"/>
              </w:rPr>
              <w:t>Single-customer or single-transformer outages</w:t>
            </w:r>
          </w:p>
        </w:tc>
        <w:tc>
          <w:tcPr>
            <w:tcW w:type="dxa" w:w="2256"/>
            <w:vAlign w:val="center"/>
          </w:tcPr>
          <w:p>
            <w:r>
              <w:rPr>
                <w:sz w:val="18"/>
              </w:rPr>
              <w:t>Service drops, transformer failures restoring 1–15 customers</w:t>
            </w:r>
          </w:p>
        </w:tc>
      </w:tr>
    </w:tbl>
    <w:p>
      <w:pPr>
        <w:pStyle w:val="Heading3"/>
      </w:pPr>
      <w:r>
        <w:rPr>
          <w:sz w:val="28"/>
        </w:rPr>
        <w:t>11.3 Emergency Procedures</w:t>
      </w:r>
    </w:p>
    <w:p>
      <w:r>
        <w:rPr>
          <w:sz w:val="20"/>
        </w:rPr>
        <w:t>In compliance with 170 IAC 4-1-23(d), RPL maintains written emergency procedures that contain at least:</w:t>
      </w:r>
    </w:p>
    <w:p>
      <w:pPr>
        <w:pStyle w:val="ListNumber"/>
      </w:pPr>
      <w:r>
        <w:rPr>
          <w:sz w:val="20"/>
        </w:rPr>
      </w:r>
      <w:r>
        <w:rPr>
          <w:b/>
          <w:sz w:val="20"/>
        </w:rPr>
        <w:t>Notification procedures</w:t>
      </w:r>
      <w:r>
        <w:rPr>
          <w:sz w:val="20"/>
        </w:rPr>
        <w:t xml:space="preserve"> for emergency response personnel;</w:t>
      </w:r>
    </w:p>
    <w:p>
      <w:pPr>
        <w:pStyle w:val="ListNumber"/>
      </w:pPr>
      <w:r>
        <w:rPr>
          <w:sz w:val="20"/>
        </w:rPr>
      </w:r>
      <w:r>
        <w:rPr>
          <w:b/>
          <w:sz w:val="20"/>
        </w:rPr>
        <w:t>General location</w:t>
      </w:r>
      <w:r>
        <w:rPr>
          <w:sz w:val="20"/>
        </w:rPr>
        <w:t xml:space="preserve"> of equipment, tools, and materials normally needed to restore service;</w:t>
      </w:r>
    </w:p>
    <w:p>
      <w:pPr>
        <w:pStyle w:val="ListNumber"/>
      </w:pPr>
      <w:r>
        <w:rPr>
          <w:sz w:val="20"/>
        </w:rPr>
      </w:r>
      <w:r>
        <w:rPr>
          <w:b/>
          <w:sz w:val="20"/>
        </w:rPr>
        <w:t>Procedures for notifying</w:t>
      </w:r>
      <w:r>
        <w:rPr>
          <w:sz w:val="20"/>
        </w:rPr>
        <w:t xml:space="preserve"> fire, police, medical, and other public officials.</w:t>
      </w:r>
    </w:p>
    <w:p>
      <w:r>
        <w:rPr>
          <w:sz w:val="20"/>
        </w:rPr>
        <w:t>These procedures are maintained in RPL-EMR-PLN-001 (Emergency Response &amp; Storm Restoration Plan). The DCC Shift Supervisor follows RPL-EMR-PLN-001 during any event meeting the plan's activation criteria.</w:t>
      </w:r>
    </w:p>
    <w:p>
      <w:pPr>
        <w:spacing w:before="120" w:after="120"/>
        <w:pBdr>
          <w:bottom w:val="single" w:sz="6" w:space="1" w:color="AAAAAA"/>
        </w:pBdr>
      </w:pPr>
    </w:p>
    <w:p>
      <w:pPr>
        <w:pStyle w:val="Heading2"/>
      </w:pPr>
      <w:r>
        <w:rPr>
          <w:color w:val="1F3864"/>
          <w:sz w:val="32"/>
        </w:rPr>
        <w:t>12. Planned (Intentional) Interruptions</w:t>
      </w:r>
    </w:p>
    <w:p>
      <w:pPr>
        <w:pStyle w:val="Heading3"/>
      </w:pPr>
      <w:r>
        <w:rPr>
          <w:sz w:val="28"/>
        </w:rPr>
        <w:t>12.1 Advance Notice Obligation</w:t>
      </w:r>
    </w:p>
    <w:p>
      <w:r>
        <w:rPr>
          <w:sz w:val="20"/>
        </w:rPr>
        <w:t xml:space="preserve">Whenever service is intentionally interrupted for any purpose, RPL shall, </w:t>
      </w:r>
      <w:r>
        <w:rPr>
          <w:b/>
          <w:sz w:val="20"/>
        </w:rPr>
        <w:t>except in emergencies</w:t>
      </w:r>
      <w:r>
        <w:rPr>
          <w:sz w:val="20"/>
        </w:rPr>
        <w:t xml:space="preserve">, make reasonable attempts to minimize the inconvenience to affected customers of record. RPL shall make reasonable attempts to notify in advance customers of record whose service is expected to be interrupted for </w:t>
      </w:r>
      <w:r>
        <w:rPr>
          <w:b/>
          <w:sz w:val="20"/>
        </w:rPr>
        <w:t>more than one (1) hour</w:t>
      </w:r>
      <w:r>
        <w:rPr>
          <w:sz w:val="20"/>
        </w:rPr>
        <w:t xml:space="preserve"> for scheduled maintenance or facilities upgrades, consistent with safety and security considerations. (170 IAC 4-1-23(c))</w:t>
      </w:r>
    </w:p>
    <w:p>
      <w:r>
        <w:rPr>
          <w:sz w:val="20"/>
        </w:rPr>
        <w:t>This rule does not apply to customer interruptions pursuant to an interruptible tariff or agreement approved by the IURC. (170 IAC 4-1-23(c))</w:t>
      </w:r>
    </w:p>
    <w:p>
      <w:pPr>
        <w:pStyle w:val="Heading3"/>
      </w:pPr>
      <w:r>
        <w:rPr>
          <w:sz w:val="28"/>
        </w:rPr>
        <w:t>12.2 Notice Process</w:t>
      </w:r>
    </w:p>
    <w:p>
      <w:r>
        <w:rPr>
          <w:sz w:val="20"/>
        </w:rPr>
        <w:t>The DCC Operator or the planning engineer issues advance notice using one or more of the following methods (consistent with the number of customers affected):</w:t>
      </w:r>
    </w:p>
    <w:p>
      <w:pPr>
        <w:pStyle w:val="ListBullet"/>
      </w:pPr>
      <w:r>
        <w:rPr>
          <w:sz w:val="20"/>
        </w:rPr>
      </w:r>
      <w:r>
        <w:rPr>
          <w:b/>
          <w:sz w:val="20"/>
        </w:rPr>
        <w:t>Robocall or interactive voice response</w:t>
      </w:r>
      <w:r>
        <w:rPr>
          <w:sz w:val="20"/>
        </w:rPr>
        <w:t xml:space="preserve"> (IVR): preferred for residential customers; automated from the CIS customer phone number on file.</w:t>
      </w:r>
    </w:p>
    <w:p>
      <w:pPr>
        <w:pStyle w:val="ListBullet"/>
      </w:pPr>
      <w:r>
        <w:rPr>
          <w:sz w:val="20"/>
        </w:rPr>
      </w:r>
      <w:r>
        <w:rPr>
          <w:b/>
          <w:sz w:val="20"/>
        </w:rPr>
        <w:t>Email</w:t>
      </w:r>
      <w:r>
        <w:rPr>
          <w:sz w:val="20"/>
        </w:rPr>
        <w:t>: for commercial and industrial customers where an email address is on file.</w:t>
      </w:r>
    </w:p>
    <w:p>
      <w:pPr>
        <w:pStyle w:val="ListBullet"/>
      </w:pPr>
      <w:r>
        <w:rPr>
          <w:sz w:val="20"/>
        </w:rPr>
      </w:r>
      <w:r>
        <w:rPr>
          <w:b/>
          <w:sz w:val="20"/>
        </w:rPr>
        <w:t>Telephone call by DCC Operator</w:t>
      </w:r>
      <w:r>
        <w:rPr>
          <w:sz w:val="20"/>
        </w:rPr>
        <w:t>: for critical facilities and industrial customers.</w:t>
      </w:r>
    </w:p>
    <w:p>
      <w:pPr>
        <w:pStyle w:val="ListBullet"/>
      </w:pPr>
      <w:r>
        <w:rPr>
          <w:sz w:val="20"/>
        </w:rPr>
      </w:r>
      <w:r>
        <w:rPr>
          <w:b/>
          <w:sz w:val="20"/>
        </w:rPr>
        <w:t>Door hanger or written notice</w:t>
      </w:r>
      <w:r>
        <w:rPr>
          <w:sz w:val="20"/>
        </w:rPr>
        <w:t>: for areas without telephone contact data.</w:t>
      </w:r>
    </w:p>
    <w:p>
      <w:r>
        <w:rPr>
          <w:sz w:val="20"/>
        </w:rPr>
        <w:t xml:space="preserve">Internal performance target: RPL sends advance notice at least </w:t>
      </w:r>
      <w:r>
        <w:rPr>
          <w:b/>
          <w:sz w:val="20"/>
        </w:rPr>
        <w:t>48 hours</w:t>
      </w:r>
      <w:r>
        <w:rPr>
          <w:sz w:val="20"/>
        </w:rPr>
        <w:t xml:space="preserve"> before any planned interruption expected to exceed 1 hour, except in cases listed in §12.3.</w:t>
      </w:r>
    </w:p>
    <w:p>
      <w:pPr>
        <w:pStyle w:val="Heading3"/>
      </w:pPr>
      <w:r>
        <w:rPr>
          <w:sz w:val="28"/>
        </w:rPr>
        <w:t>12.3 Emergency Exception</w:t>
      </w:r>
    </w:p>
    <w:p>
      <w:r>
        <w:rPr>
          <w:sz w:val="20"/>
        </w:rPr>
        <w:t>The advance notice obligation does not apply when:</w:t>
      </w:r>
    </w:p>
    <w:p>
      <w:pPr>
        <w:pStyle w:val="ListBullet"/>
      </w:pPr>
      <w:r>
        <w:rPr>
          <w:sz w:val="20"/>
        </w:rPr>
        <w:t>The interruption is required to address an emergency condition (e.g., downed conductor, equipment in imminent failure); or</w:t>
      </w:r>
    </w:p>
    <w:p>
      <w:pPr>
        <w:pStyle w:val="ListBullet"/>
      </w:pPr>
      <w:r>
        <w:rPr>
          <w:sz w:val="20"/>
        </w:rPr>
        <w:t>Safety considerations make advance notice impracticable.</w:t>
      </w:r>
    </w:p>
    <w:p>
      <w:r>
        <w:rPr>
          <w:sz w:val="20"/>
        </w:rPr>
        <w:t>In such cases, the DCC Shift Supervisor records the emergency/safety basis in the OMS incident record.</w:t>
      </w:r>
    </w:p>
    <w:p>
      <w:pPr>
        <w:pStyle w:val="Heading3"/>
      </w:pPr>
      <w:r>
        <w:rPr>
          <w:sz w:val="28"/>
        </w:rPr>
        <w:t>12.4 Planned Interruption Records</w:t>
      </w:r>
    </w:p>
    <w:p>
      <w:r>
        <w:rPr>
          <w:sz w:val="20"/>
        </w:rPr>
        <w:t xml:space="preserve">For each planned interruption, the DCC Operator records the following in the </w:t>
      </w:r>
      <w:r>
        <w:rPr>
          <w:rFonts w:ascii="Courier New" w:hAnsi="Courier New"/>
          <w:sz w:val="20"/>
        </w:rPr>
        <w:t>planned_interruption_notices_2024.csv</w:t>
      </w:r>
      <w:r>
        <w:rPr>
          <w:sz w:val="20"/>
        </w:rPr>
        <w:t xml:space="preserve"> log (archived monthly in DCS under RRS-DCC-001):</w:t>
      </w:r>
    </w:p>
    <w:p>
      <w:pPr>
        <w:pStyle w:val="ListBullet"/>
      </w:pPr>
      <w:r>
        <w:rPr>
          <w:sz w:val="20"/>
        </w:rPr>
        <w:t>Incident ID, notice method, notice sent timestamp, customers noticed, exception code (if applicable), scheduled start time, actual start time.</w:t>
      </w:r>
    </w:p>
    <w:p>
      <w:pPr>
        <w:spacing w:before="120" w:after="120"/>
        <w:pBdr>
          <w:bottom w:val="single" w:sz="6" w:space="1" w:color="AAAAAA"/>
        </w:pBdr>
      </w:pPr>
    </w:p>
    <w:p>
      <w:pPr>
        <w:pStyle w:val="Heading2"/>
      </w:pPr>
      <w:r>
        <w:rPr>
          <w:color w:val="1F3864"/>
          <w:sz w:val="32"/>
        </w:rPr>
        <w:t>13. Storm Mode</w:t>
      </w:r>
    </w:p>
    <w:p>
      <w:pPr>
        <w:pStyle w:val="Heading3"/>
      </w:pPr>
      <w:r>
        <w:rPr>
          <w:sz w:val="28"/>
        </w:rPr>
        <w:t>13.1 Activation Criteria</w:t>
      </w:r>
    </w:p>
    <w:p>
      <w:r>
        <w:rPr>
          <w:sz w:val="20"/>
        </w:rPr>
        <w:t>Internal performance target: The DCC Shift Supervisor activates storm mode when two or more of the following conditions are met:</w:t>
      </w:r>
    </w:p>
    <w:p>
      <w:pPr>
        <w:pStyle w:val="ListBullet"/>
      </w:pPr>
      <w:r>
        <w:rPr>
          <w:sz w:val="20"/>
        </w:rPr>
        <w:t>≥ 5 simultaneous open incidents on OMS affecting ≥ 10,000 customers total;</w:t>
      </w:r>
    </w:p>
    <w:p>
      <w:pPr>
        <w:pStyle w:val="ListBullet"/>
      </w:pPr>
      <w:r>
        <w:rPr>
          <w:sz w:val="20"/>
        </w:rPr>
        <w:t>Active National Weather Service advisory (tornado watch/warning, severe thunderstorm warning, ice storm advisory) covering ≥ 3 service-territory counties;</w:t>
      </w:r>
    </w:p>
    <w:p>
      <w:pPr>
        <w:pStyle w:val="ListBullet"/>
      </w:pPr>
      <w:r>
        <w:rPr>
          <w:sz w:val="20"/>
        </w:rPr>
        <w:t>Field crew requests for mutual assistance exceed available internal crew capacity;</w:t>
      </w:r>
    </w:p>
    <w:p>
      <w:pPr>
        <w:pStyle w:val="ListBullet"/>
      </w:pPr>
      <w:r>
        <w:rPr>
          <w:sz w:val="20"/>
        </w:rPr>
        <w:t>Major natural event (flood, tornado touchdown, widespread ice) is confirmed in service territory.</w:t>
      </w:r>
    </w:p>
    <w:p>
      <w:pPr>
        <w:pStyle w:val="Heading3"/>
      </w:pPr>
      <w:r>
        <w:rPr>
          <w:sz w:val="28"/>
        </w:rPr>
        <w:t>13.2 Storm Mode Operations</w:t>
      </w:r>
    </w:p>
    <w:p>
      <w:r>
        <w:rPr>
          <w:sz w:val="20"/>
        </w:rPr>
        <w:t>Under storm mode, the DCC Shift Supervisor:</w:t>
      </w:r>
    </w:p>
    <w:p>
      <w:pPr>
        <w:pStyle w:val="ListNumber"/>
      </w:pPr>
      <w:r>
        <w:rPr>
          <w:sz w:val="20"/>
        </w:rPr>
        <w:t>Notifies the Director, Distribution Operations (P21) and the DCC Manager (P23) immediately via the OMS DCC-ESCALATION paging group.</w:t>
      </w:r>
    </w:p>
    <w:p>
      <w:pPr>
        <w:pStyle w:val="ListNumber"/>
      </w:pPr>
      <w:r>
        <w:rPr>
          <w:sz w:val="20"/>
        </w:rPr>
        <w:t>Activates the Incident Command structure per RPL-EMR-PLN-001.</w:t>
      </w:r>
    </w:p>
    <w:p>
      <w:pPr>
        <w:pStyle w:val="ListNumber"/>
      </w:pPr>
      <w:r>
        <w:rPr>
          <w:sz w:val="20"/>
        </w:rPr>
        <w:t>Notifies Corporate Communications per RPL-COM-PRO-002.</w:t>
      </w:r>
    </w:p>
    <w:p>
      <w:pPr>
        <w:pStyle w:val="ListNumber"/>
      </w:pPr>
      <w:r>
        <w:rPr>
          <w:sz w:val="20"/>
        </w:rPr>
        <w:t>Maintains reporting cadence per §8–§10 — IURC reporting obligations continue unchanged during storm mode.</w:t>
      </w:r>
    </w:p>
    <w:p>
      <w:pPr>
        <w:pStyle w:val="Heading3"/>
      </w:pPr>
      <w:r>
        <w:rPr>
          <w:sz w:val="28"/>
        </w:rPr>
        <w:t>13.3 Extreme Emergency Reporting Schedule</w:t>
      </w:r>
    </w:p>
    <w:p>
      <w:r>
        <w:rPr>
          <w:sz w:val="20"/>
        </w:rPr>
        <w:t>In the case of an extreme emergency, a different schedule for status reporting may be agreed to by the IURC and RPL until the emergency has ended. (170 IAC 4-1-23(b)(4))</w:t>
      </w:r>
    </w:p>
    <w:p>
      <w:r>
        <w:rPr>
          <w:sz w:val="20"/>
        </w:rPr>
        <w:t>The DCC Manager (P23) requests a modified schedule from the IURC Energy Division (317-232-2785) and confirms any change in writing (email) before deviating from the standard intervals. The agreed schedule is logged in OMS and reported to Elena Vasquez (P08).</w:t>
      </w:r>
    </w:p>
    <w:p>
      <w:pPr>
        <w:pStyle w:val="Heading3"/>
      </w:pPr>
      <w:r>
        <w:rPr>
          <w:sz w:val="28"/>
        </w:rPr>
        <w:t>13.4 Mutual Assistance</w:t>
      </w:r>
    </w:p>
    <w:p>
      <w:r>
        <w:rPr>
          <w:sz w:val="20"/>
        </w:rPr>
        <w:t>When mutual assistance crews from other utilities are deployed in RPL's service territory, the DCC Shift Supervisor maintains crew tracking in OMS and ensures mutual assistance restoration steps are recorded with the same detail as RPL crew steps.</w:t>
      </w:r>
    </w:p>
    <w:p>
      <w:pPr>
        <w:spacing w:before="120" w:after="120"/>
        <w:pBdr>
          <w:bottom w:val="single" w:sz="6" w:space="1" w:color="AAAAAA"/>
        </w:pBdr>
      </w:pPr>
    </w:p>
    <w:p>
      <w:pPr>
        <w:pStyle w:val="Heading2"/>
      </w:pPr>
      <w:r>
        <w:rPr>
          <w:color w:val="1F3864"/>
          <w:sz w:val="32"/>
        </w:rPr>
        <w:t>14. Interruption Records</w:t>
      </w:r>
    </w:p>
    <w:p>
      <w:pPr>
        <w:pStyle w:val="Heading3"/>
      </w:pPr>
      <w:r>
        <w:rPr>
          <w:sz w:val="28"/>
        </w:rPr>
        <w:t>14.1 Records Table</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vAlign w:val="center"/>
            <w:shd w:val="clear" w:color="auto" w:fill="D9E1F2"/>
          </w:tcPr>
          <w:p>
            <w:r>
              <w:rPr>
                <w:b/>
                <w:sz w:val="18"/>
              </w:rPr>
              <w:t>Record</w:t>
            </w:r>
          </w:p>
        </w:tc>
        <w:tc>
          <w:tcPr>
            <w:tcW w:type="dxa" w:w="1805"/>
            <w:vAlign w:val="center"/>
            <w:shd w:val="clear" w:color="auto" w:fill="D9E1F2"/>
          </w:tcPr>
          <w:p>
            <w:r>
              <w:rPr>
                <w:b/>
                <w:sz w:val="18"/>
              </w:rPr>
              <w:t>System</w:t>
            </w:r>
          </w:p>
        </w:tc>
        <w:tc>
          <w:tcPr>
            <w:tcW w:type="dxa" w:w="1805"/>
            <w:vAlign w:val="center"/>
            <w:shd w:val="clear" w:color="auto" w:fill="D9E1F2"/>
          </w:tcPr>
          <w:p>
            <w:r>
              <w:rPr>
                <w:b/>
                <w:sz w:val="18"/>
              </w:rPr>
              <w:t>Series ID</w:t>
            </w:r>
          </w:p>
        </w:tc>
        <w:tc>
          <w:tcPr>
            <w:tcW w:type="dxa" w:w="1805"/>
            <w:vAlign w:val="center"/>
            <w:shd w:val="clear" w:color="auto" w:fill="D9E1F2"/>
          </w:tcPr>
          <w:p>
            <w:r>
              <w:rPr>
                <w:b/>
                <w:sz w:val="18"/>
              </w:rPr>
              <w:t>Retention</w:t>
            </w:r>
          </w:p>
        </w:tc>
        <w:tc>
          <w:tcPr>
            <w:tcW w:type="dxa" w:w="1805"/>
            <w:vAlign w:val="center"/>
            <w:shd w:val="clear" w:color="auto" w:fill="D9E1F2"/>
          </w:tcPr>
          <w:p>
            <w:r>
              <w:rPr>
                <w:b/>
                <w:sz w:val="18"/>
              </w:rPr>
              <w:t>Regulatory Basis</w:t>
            </w:r>
          </w:p>
        </w:tc>
      </w:tr>
      <w:tr>
        <w:tc>
          <w:tcPr>
            <w:tcW w:type="dxa" w:w="1805"/>
            <w:vAlign w:val="center"/>
          </w:tcPr>
          <w:p>
            <w:r>
              <w:rPr>
                <w:sz w:val="18"/>
              </w:rPr>
              <w:t>Outage incident records (OMS extract)</w:t>
            </w:r>
          </w:p>
        </w:tc>
        <w:tc>
          <w:tcPr>
            <w:tcW w:type="dxa" w:w="1805"/>
            <w:vAlign w:val="center"/>
          </w:tcPr>
          <w:p>
            <w:r>
              <w:rPr>
                <w:sz w:val="18"/>
              </w:rPr>
              <w:t>OMS / DCS</w:t>
            </w:r>
          </w:p>
        </w:tc>
        <w:tc>
          <w:tcPr>
            <w:tcW w:type="dxa" w:w="1805"/>
            <w:vAlign w:val="center"/>
          </w:tcPr>
          <w:p>
            <w:r>
              <w:rPr>
                <w:sz w:val="18"/>
              </w:rPr>
              <w:t>RRS-DCC-001</w:t>
            </w:r>
          </w:p>
        </w:tc>
        <w:tc>
          <w:tcPr>
            <w:tcW w:type="dxa" w:w="1805"/>
            <w:vAlign w:val="center"/>
          </w:tcPr>
          <w:p>
            <w:r>
              <w:rPr>
                <w:sz w:val="18"/>
              </w:rPr>
              <w:t>At least 3 years (170 IAC 4-1-3)</w:t>
            </w:r>
          </w:p>
        </w:tc>
        <w:tc>
          <w:tcPr>
            <w:tcW w:type="dxa" w:w="1805"/>
            <w:vAlign w:val="center"/>
          </w:tcPr>
          <w:p>
            <w:r>
              <w:rPr>
                <w:sz w:val="18"/>
              </w:rPr>
              <w:t>170 IAC 4-1-3</w:t>
            </w:r>
          </w:p>
        </w:tc>
      </w:tr>
      <w:tr>
        <w:tc>
          <w:tcPr>
            <w:tcW w:type="dxa" w:w="1805"/>
            <w:vAlign w:val="center"/>
          </w:tcPr>
          <w:p>
            <w:r>
              <w:rPr>
                <w:sz w:val="18"/>
              </w:rPr>
              <w:t>IURC interruption reports (initial, update, final)</w:t>
            </w:r>
          </w:p>
        </w:tc>
        <w:tc>
          <w:tcPr>
            <w:tcW w:type="dxa" w:w="1805"/>
            <w:vAlign w:val="center"/>
          </w:tcPr>
          <w:p>
            <w:r>
              <w:rPr>
                <w:sz w:val="18"/>
              </w:rPr>
              <w:t>DCS (email archive)</w:t>
            </w:r>
          </w:p>
        </w:tc>
        <w:tc>
          <w:tcPr>
            <w:tcW w:type="dxa" w:w="1805"/>
            <w:vAlign w:val="center"/>
          </w:tcPr>
          <w:p>
            <w:r>
              <w:rPr>
                <w:sz w:val="18"/>
              </w:rPr>
              <w:t>RRS-DCC-001</w:t>
            </w:r>
          </w:p>
        </w:tc>
        <w:tc>
          <w:tcPr>
            <w:tcW w:type="dxa" w:w="1805"/>
            <w:vAlign w:val="center"/>
          </w:tcPr>
          <w:p>
            <w:r>
              <w:rPr>
                <w:sz w:val="18"/>
              </w:rPr>
              <w:t>At least 3 years (170 IAC 4-1-3)</w:t>
            </w:r>
          </w:p>
        </w:tc>
        <w:tc>
          <w:tcPr>
            <w:tcW w:type="dxa" w:w="1805"/>
            <w:vAlign w:val="center"/>
          </w:tcPr>
          <w:p>
            <w:r>
              <w:rPr>
                <w:sz w:val="18"/>
              </w:rPr>
              <w:t>170 IAC 4-1-3</w:t>
            </w:r>
          </w:p>
        </w:tc>
      </w:tr>
      <w:tr>
        <w:tc>
          <w:tcPr>
            <w:tcW w:type="dxa" w:w="1805"/>
            <w:vAlign w:val="center"/>
          </w:tcPr>
          <w:p>
            <w:r>
              <w:rPr>
                <w:sz w:val="18"/>
              </w:rPr>
              <w:t>CAIDI, SAIDI, SAIFI indices and supporting workpapers</w:t>
            </w:r>
          </w:p>
        </w:tc>
        <w:tc>
          <w:tcPr>
            <w:tcW w:type="dxa" w:w="1805"/>
            <w:vAlign w:val="center"/>
          </w:tcPr>
          <w:p>
            <w:r>
              <w:rPr>
                <w:sz w:val="18"/>
              </w:rPr>
              <w:t>DCS</w:t>
            </w:r>
          </w:p>
        </w:tc>
        <w:tc>
          <w:tcPr>
            <w:tcW w:type="dxa" w:w="1805"/>
            <w:vAlign w:val="center"/>
          </w:tcPr>
          <w:p>
            <w:r>
              <w:rPr>
                <w:sz w:val="18"/>
              </w:rPr>
              <w:t>RRS-DCC-002</w:t>
            </w:r>
          </w:p>
        </w:tc>
        <w:tc>
          <w:tcPr>
            <w:tcW w:type="dxa" w:w="1805"/>
            <w:vAlign w:val="center"/>
          </w:tcPr>
          <w:p>
            <w:r>
              <w:rPr>
                <w:sz w:val="18"/>
              </w:rPr>
              <w:t>At least 7 years (170 IAC 4-1-23(f))</w:t>
            </w:r>
          </w:p>
        </w:tc>
        <w:tc>
          <w:tcPr>
            <w:tcW w:type="dxa" w:w="1805"/>
            <w:vAlign w:val="center"/>
          </w:tcPr>
          <w:p>
            <w:r>
              <w:rPr>
                <w:sz w:val="18"/>
              </w:rPr>
              <w:t>170 IAC 4-1-23(f)</w:t>
            </w:r>
          </w:p>
        </w:tc>
      </w:tr>
      <w:tr>
        <w:tc>
          <w:tcPr>
            <w:tcW w:type="dxa" w:w="1805"/>
            <w:vAlign w:val="center"/>
          </w:tcPr>
          <w:p>
            <w:r>
              <w:rPr>
                <w:sz w:val="18"/>
              </w:rPr>
              <w:t>Daily SAIDI history (for MED/TMED computation)</w:t>
            </w:r>
          </w:p>
        </w:tc>
        <w:tc>
          <w:tcPr>
            <w:tcW w:type="dxa" w:w="1805"/>
            <w:vAlign w:val="center"/>
          </w:tcPr>
          <w:p>
            <w:r>
              <w:rPr>
                <w:sz w:val="18"/>
              </w:rPr>
              <w:t>DCS</w:t>
            </w:r>
          </w:p>
        </w:tc>
        <w:tc>
          <w:tcPr>
            <w:tcW w:type="dxa" w:w="1805"/>
            <w:vAlign w:val="center"/>
          </w:tcPr>
          <w:p>
            <w:r>
              <w:rPr>
                <w:sz w:val="18"/>
              </w:rPr>
              <w:t>RRS-DCC-002</w:t>
            </w:r>
          </w:p>
        </w:tc>
        <w:tc>
          <w:tcPr>
            <w:tcW w:type="dxa" w:w="1805"/>
            <w:vAlign w:val="center"/>
          </w:tcPr>
          <w:p>
            <w:r>
              <w:rPr>
                <w:sz w:val="18"/>
              </w:rPr>
              <w:t>At least 7 years</w:t>
            </w:r>
          </w:p>
        </w:tc>
        <w:tc>
          <w:tcPr>
            <w:tcW w:type="dxa" w:w="1805"/>
            <w:vAlign w:val="center"/>
          </w:tcPr>
          <w:p>
            <w:r>
              <w:rPr>
                <w:sz w:val="18"/>
              </w:rPr>
              <w:t>170 IAC 4-1-23(f)</w:t>
            </w:r>
          </w:p>
        </w:tc>
      </w:tr>
      <w:tr>
        <w:tc>
          <w:tcPr>
            <w:tcW w:type="dxa" w:w="1805"/>
            <w:vAlign w:val="center"/>
          </w:tcPr>
          <w:p>
            <w:r>
              <w:rPr>
                <w:sz w:val="18"/>
              </w:rPr>
              <w:t>Planned interruption notice log</w:t>
            </w:r>
          </w:p>
        </w:tc>
        <w:tc>
          <w:tcPr>
            <w:tcW w:type="dxa" w:w="1805"/>
            <w:vAlign w:val="center"/>
          </w:tcPr>
          <w:p>
            <w:r>
              <w:rPr>
                <w:sz w:val="18"/>
              </w:rPr>
              <w:t>DCS</w:t>
            </w:r>
          </w:p>
        </w:tc>
        <w:tc>
          <w:tcPr>
            <w:tcW w:type="dxa" w:w="1805"/>
            <w:vAlign w:val="center"/>
          </w:tcPr>
          <w:p>
            <w:r>
              <w:rPr>
                <w:sz w:val="18"/>
              </w:rPr>
              <w:t>RRS-DCC-001</w:t>
            </w:r>
          </w:p>
        </w:tc>
        <w:tc>
          <w:tcPr>
            <w:tcW w:type="dxa" w:w="1805"/>
            <w:vAlign w:val="center"/>
          </w:tcPr>
          <w:p>
            <w:r>
              <w:rPr>
                <w:sz w:val="18"/>
              </w:rPr>
              <w:t>At least 3 years</w:t>
            </w:r>
          </w:p>
        </w:tc>
        <w:tc>
          <w:tcPr>
            <w:tcW w:type="dxa" w:w="1805"/>
            <w:vAlign w:val="center"/>
          </w:tcPr>
          <w:p>
            <w:r>
              <w:rPr>
                <w:sz w:val="18"/>
              </w:rPr>
              <w:t>170 IAC 4-1-3</w:t>
            </w:r>
          </w:p>
        </w:tc>
      </w:tr>
      <w:tr>
        <w:tc>
          <w:tcPr>
            <w:tcW w:type="dxa" w:w="1805"/>
            <w:vAlign w:val="center"/>
          </w:tcPr>
          <w:p>
            <w:r>
              <w:rPr>
                <w:sz w:val="18"/>
              </w:rPr>
              <w:t>Tree-related outage data extract</w:t>
            </w:r>
          </w:p>
        </w:tc>
        <w:tc>
          <w:tcPr>
            <w:tcW w:type="dxa" w:w="1805"/>
            <w:vAlign w:val="center"/>
          </w:tcPr>
          <w:p>
            <w:r>
              <w:rPr>
                <w:sz w:val="18"/>
              </w:rPr>
              <w:t>DCS</w:t>
            </w:r>
          </w:p>
        </w:tc>
        <w:tc>
          <w:tcPr>
            <w:tcW w:type="dxa" w:w="1805"/>
            <w:vAlign w:val="center"/>
          </w:tcPr>
          <w:p>
            <w:r>
              <w:rPr>
                <w:sz w:val="18"/>
              </w:rPr>
              <w:t>RRS-DO-004</w:t>
            </w:r>
          </w:p>
        </w:tc>
        <w:tc>
          <w:tcPr>
            <w:tcW w:type="dxa" w:w="1805"/>
            <w:vAlign w:val="center"/>
          </w:tcPr>
          <w:p>
            <w:r>
              <w:rPr>
                <w:sz w:val="18"/>
              </w:rPr>
              <w:t>At least 3 years</w:t>
            </w:r>
          </w:p>
        </w:tc>
        <w:tc>
          <w:tcPr>
            <w:tcW w:type="dxa" w:w="1805"/>
            <w:vAlign w:val="center"/>
          </w:tcPr>
          <w:p>
            <w:r>
              <w:rPr>
                <w:sz w:val="18"/>
              </w:rPr>
              <w:t>170 IAC 4-1-3; 170 IAC 4-9-7(g)</w:t>
            </w:r>
          </w:p>
        </w:tc>
      </w:tr>
    </w:tbl>
    <w:p>
      <w:r>
        <w:rPr>
          <w:sz w:val="20"/>
        </w:rPr>
        <w:t>All records shall be preserved within Indiana at RPL's principal place of business (400 Wabash Commons Drive, Lafayette, Indiana 47901) or at other locations designated after notification to the IURC. Records shall be open for examination by the IURC or its representatives. (170 IAC 4-1-3)</w:t>
      </w:r>
    </w:p>
    <w:p>
      <w:r>
        <w:rPr>
          <w:sz w:val="20"/>
        </w:rPr>
        <w:t>Any retention period set by RPL-LEG-RRS-001 (Records Retention Schedule) that exceeds the statutory minimum governs. Records subject to a legal hold under RPL-LEG-PRO-003 are retained until the hold is released.</w:t>
      </w:r>
    </w:p>
    <w:p>
      <w:pPr>
        <w:spacing w:before="120" w:after="120"/>
        <w:pBdr>
          <w:bottom w:val="single" w:sz="6" w:space="1" w:color="AAAAAA"/>
        </w:pBdr>
      </w:pPr>
    </w:p>
    <w:p>
      <w:pPr>
        <w:pStyle w:val="Heading2"/>
      </w:pPr>
      <w:r>
        <w:rPr>
          <w:color w:val="1F3864"/>
          <w:sz w:val="32"/>
        </w:rPr>
        <w:t>15. Annual Reliability Indices</w:t>
      </w:r>
    </w:p>
    <w:p>
      <w:pPr>
        <w:pStyle w:val="Heading3"/>
      </w:pPr>
      <w:r>
        <w:rPr>
          <w:sz w:val="28"/>
        </w:rPr>
        <w:t>15.1 Filing Requirement</w:t>
      </w:r>
    </w:p>
    <w:p>
      <w:r>
        <w:rPr>
          <w:sz w:val="20"/>
        </w:rPr>
        <w:t xml:space="preserve">Each investor-owned utility shall file a reliability indices report with the IURC's Electricity Division </w:t>
      </w:r>
      <w:r>
        <w:rPr>
          <w:b/>
          <w:sz w:val="20"/>
        </w:rPr>
        <w:t>on or before March 1</w:t>
      </w:r>
      <w:r>
        <w:rPr>
          <w:sz w:val="20"/>
        </w:rPr>
        <w:t xml:space="preserve"> of each year. (170 IAC 4-1-23(e))</w:t>
      </w:r>
    </w:p>
    <w:p>
      <w:pPr>
        <w:pStyle w:val="ListBullet"/>
      </w:pPr>
      <w:r>
        <w:rPr>
          <w:sz w:val="20"/>
        </w:rPr>
        <w:t xml:space="preserve">The first report filed under this section shall include data from the </w:t>
      </w:r>
      <w:r>
        <w:rPr>
          <w:b/>
          <w:sz w:val="20"/>
        </w:rPr>
        <w:t>previous three calendar years</w:t>
      </w:r>
      <w:r>
        <w:rPr>
          <w:sz w:val="20"/>
        </w:rPr>
        <w:t>. (170 IAC 4-1-23(e))</w:t>
      </w:r>
    </w:p>
    <w:p>
      <w:pPr>
        <w:pStyle w:val="ListBullet"/>
      </w:pPr>
      <w:r>
        <w:rPr>
          <w:sz w:val="20"/>
        </w:rPr>
        <w:t xml:space="preserve">Subsequent annual reports shall include data </w:t>
      </w:r>
      <w:r>
        <w:rPr>
          <w:b/>
          <w:sz w:val="20"/>
        </w:rPr>
        <w:t>only from the previous calendar year</w:t>
      </w:r>
      <w:r>
        <w:rPr>
          <w:sz w:val="20"/>
        </w:rPr>
        <w:t>. (170 IAC 4-1-23(e))</w:t>
      </w:r>
    </w:p>
    <w:p>
      <w:r>
        <w:rPr>
          <w:sz w:val="20"/>
        </w:rPr>
        <w:t>The report is submitted via the IURC Electronic Filing System (iurc.portal.in.gov) by Elena Vasquez (P08), with Marcus Lee (P09) as alternate, on the form prescribed by the IURC. (170 IAC 4-1-23(e))</w:t>
      </w:r>
    </w:p>
    <w:p>
      <w:pPr>
        <w:pStyle w:val="Heading3"/>
      </w:pPr>
      <w:r>
        <w:rPr>
          <w:sz w:val="28"/>
        </w:rPr>
        <w:t>15.2 Required Report Content</w:t>
      </w:r>
    </w:p>
    <w:p>
      <w:r>
        <w:rPr>
          <w:sz w:val="20"/>
        </w:rPr>
        <w:t>The annual reliability indices report shall contain: (170 IAC 4-1-23(e))</w:t>
      </w:r>
    </w:p>
    <w:p>
      <w:pPr>
        <w:pStyle w:val="ListNumber"/>
      </w:pPr>
      <w:r>
        <w:rPr>
          <w:sz w:val="20"/>
        </w:rPr>
        <w:t xml:space="preserve">The reliability indices SAIDI, CAIDI, and SAIFI, </w:t>
      </w:r>
      <w:r>
        <w:rPr>
          <w:b/>
          <w:sz w:val="20"/>
        </w:rPr>
        <w:t>with and without major events</w:t>
      </w:r>
      <w:r>
        <w:rPr>
          <w:sz w:val="20"/>
        </w:rPr>
        <w:t>, for the RPL system and for each district or region into which its system may be divided;</w:t>
      </w:r>
    </w:p>
    <w:p>
      <w:pPr>
        <w:pStyle w:val="ListNumber"/>
      </w:pPr>
      <w:r>
        <w:rPr>
          <w:sz w:val="20"/>
        </w:rPr>
        <w:t xml:space="preserve">The </w:t>
      </w:r>
      <w:r>
        <w:rPr>
          <w:b/>
          <w:sz w:val="20"/>
        </w:rPr>
        <w:t>definition of major event</w:t>
      </w:r>
      <w:r>
        <w:rPr>
          <w:sz w:val="20"/>
        </w:rPr>
        <w:t xml:space="preserve"> used by RPL for reporting purposes;</w:t>
      </w:r>
    </w:p>
    <w:p>
      <w:pPr>
        <w:pStyle w:val="ListNumber"/>
      </w:pPr>
      <w:r>
        <w:rPr>
          <w:sz w:val="20"/>
        </w:rPr>
        <w:t xml:space="preserve">For the reported indices, the </w:t>
      </w:r>
      <w:r>
        <w:rPr>
          <w:b/>
          <w:sz w:val="20"/>
        </w:rPr>
        <w:t>number of customers used for the calculations</w:t>
      </w:r>
      <w:r>
        <w:rPr>
          <w:sz w:val="20"/>
        </w:rPr>
        <w:t xml:space="preserve"> and RPL's definition of customer.</w:t>
      </w:r>
    </w:p>
    <w:p>
      <w:pPr>
        <w:pStyle w:val="Heading3"/>
      </w:pPr>
      <w:r>
        <w:rPr>
          <w:sz w:val="28"/>
        </w:rPr>
        <w:t>15.3 TMED Derivation (Worked Example — 2024 Reporting Year)</w:t>
      </w:r>
    </w:p>
    <w:p>
      <w:r>
        <w:rPr>
          <w:sz w:val="20"/>
        </w:rPr>
        <w:t xml:space="preserve">RPL uses the IEEE Std 1366™-2012 §2.5β method (the "2.5β TMED method") to identify Major Event Days, as summarized in </w:t>
      </w:r>
      <w:r>
        <w:rPr>
          <w:rFonts w:ascii="Courier New" w:hAnsi="Courier New"/>
          <w:sz w:val="20"/>
        </w:rPr>
        <w:t>corpus/_global/reference/ieee1366_med_method.md</w:t>
      </w:r>
      <w:r>
        <w:rPr>
          <w:sz w:val="20"/>
        </w:rPr>
        <w:t>. The threshold (T_MED) is computed from five years of daily SAIDI data preceding the reporting year.</w:t>
      </w:r>
    </w:p>
    <w:p>
      <w:r>
        <w:rPr>
          <w:sz w:val="20"/>
        </w:rPr>
      </w:r>
      <w:r>
        <w:rPr>
          <w:b/>
          <w:sz w:val="20"/>
        </w:rPr>
        <w:t>Study period:</w:t>
      </w:r>
      <w:r>
        <w:rPr>
          <w:sz w:val="20"/>
        </w:rPr>
        <w:t xml:space="preserve"> 2019–2023 daily SAIDI (1,827 daily observations)</w:t>
      </w:r>
    </w:p>
    <w:tbl>
      <w:tblPr>
        <w:tblStyle w:val="TableGrid"/>
        <w:tblW w:type="auto" w:w="0"/>
        <w:tblLook w:firstColumn="1" w:firstRow="1" w:lastColumn="0" w:lastRow="0" w:noHBand="0" w:noVBand="1" w:val="04A0"/>
      </w:tblPr>
      <w:tblGrid>
        <w:gridCol w:w="3009"/>
        <w:gridCol w:w="3009"/>
        <w:gridCol w:w="3009"/>
      </w:tblGrid>
      <w:tr>
        <w:tc>
          <w:tcPr>
            <w:tcW w:type="dxa" w:w="3009"/>
            <w:vAlign w:val="center"/>
            <w:shd w:val="clear" w:color="auto" w:fill="D9E1F2"/>
          </w:tcPr>
          <w:p>
            <w:r>
              <w:rPr>
                <w:b/>
                <w:sz w:val="18"/>
              </w:rPr>
              <w:t>Step</w:t>
            </w:r>
          </w:p>
        </w:tc>
        <w:tc>
          <w:tcPr>
            <w:tcW w:type="dxa" w:w="3009"/>
            <w:vAlign w:val="center"/>
            <w:shd w:val="clear" w:color="auto" w:fill="D9E1F2"/>
          </w:tcPr>
          <w:p>
            <w:r>
              <w:rPr>
                <w:b/>
                <w:sz w:val="18"/>
              </w:rPr>
              <w:t>Calculation</w:t>
            </w:r>
          </w:p>
        </w:tc>
        <w:tc>
          <w:tcPr>
            <w:tcW w:type="dxa" w:w="3009"/>
            <w:vAlign w:val="center"/>
            <w:shd w:val="clear" w:color="auto" w:fill="D9E1F2"/>
          </w:tcPr>
          <w:p>
            <w:r>
              <w:rPr>
                <w:b/>
                <w:sz w:val="18"/>
              </w:rPr>
              <w:t>Value</w:t>
            </w:r>
          </w:p>
        </w:tc>
      </w:tr>
      <w:tr>
        <w:tc>
          <w:tcPr>
            <w:tcW w:type="dxa" w:w="3009"/>
            <w:vAlign w:val="center"/>
          </w:tcPr>
          <w:p>
            <w:r>
              <w:rPr>
                <w:sz w:val="18"/>
              </w:rPr>
              <w:t>Non-zero SAIDI days (M)</w:t>
            </w:r>
          </w:p>
        </w:tc>
        <w:tc>
          <w:tcPr>
            <w:tcW w:type="dxa" w:w="3009"/>
            <w:vAlign w:val="center"/>
          </w:tcPr>
          <w:p>
            <w:r>
              <w:rPr>
                <w:sz w:val="18"/>
              </w:rPr>
              <w:t>Count days with daily SAIDI &gt; 0</w:t>
            </w:r>
          </w:p>
        </w:tc>
        <w:tc>
          <w:tcPr>
            <w:tcW w:type="dxa" w:w="3009"/>
            <w:vAlign w:val="center"/>
          </w:tcPr>
          <w:p>
            <w:r>
              <w:rPr>
                <w:sz w:val="18"/>
              </w:rPr>
              <w:t>623 days</w:t>
            </w:r>
          </w:p>
        </w:tc>
      </w:tr>
      <w:tr>
        <w:tc>
          <w:tcPr>
            <w:tcW w:type="dxa" w:w="3009"/>
            <w:vAlign w:val="center"/>
          </w:tcPr>
          <w:p>
            <w:r>
              <w:rPr>
                <w:sz w:val="18"/>
              </w:rPr>
              <w:t>μ (mean of ln(daily SAIDI))</w:t>
            </w:r>
          </w:p>
        </w:tc>
        <w:tc>
          <w:tcPr>
            <w:tcW w:type="dxa" w:w="3009"/>
            <w:vAlign w:val="center"/>
          </w:tcPr>
          <w:p>
            <w:r>
              <w:rPr>
                <w:sz w:val="18"/>
              </w:rPr>
              <w:t>Σ ln(sᵢ) / M</w:t>
            </w:r>
          </w:p>
        </w:tc>
        <w:tc>
          <w:tcPr>
            <w:tcW w:type="dxa" w:w="3009"/>
            <w:vAlign w:val="center"/>
          </w:tcPr>
          <w:p>
            <w:r>
              <w:rPr>
                <w:sz w:val="18"/>
              </w:rPr>
              <w:t>1.7073</w:t>
            </w:r>
          </w:p>
        </w:tc>
      </w:tr>
      <w:tr>
        <w:tc>
          <w:tcPr>
            <w:tcW w:type="dxa" w:w="3009"/>
            <w:vAlign w:val="center"/>
          </w:tcPr>
          <w:p>
            <w:r>
              <w:rPr>
                <w:sz w:val="18"/>
              </w:rPr>
              <w:t>σ (std dev of ln(daily SAIDI))</w:t>
            </w:r>
          </w:p>
        </w:tc>
        <w:tc>
          <w:tcPr>
            <w:tcW w:type="dxa" w:w="3009"/>
            <w:vAlign w:val="center"/>
          </w:tcPr>
          <w:p>
            <w:r>
              <w:rPr>
                <w:sz w:val="18"/>
              </w:rPr>
              <w:t>sqrt( Σ(ln(sᵢ) − μ)² / (M−1) )</w:t>
            </w:r>
          </w:p>
        </w:tc>
        <w:tc>
          <w:tcPr>
            <w:tcW w:type="dxa" w:w="3009"/>
            <w:vAlign w:val="center"/>
          </w:tcPr>
          <w:p>
            <w:r>
              <w:rPr>
                <w:sz w:val="18"/>
              </w:rPr>
              <w:t>1.1578</w:t>
            </w:r>
          </w:p>
        </w:tc>
      </w:tr>
      <w:tr>
        <w:tc>
          <w:tcPr>
            <w:tcW w:type="dxa" w:w="3009"/>
            <w:vAlign w:val="center"/>
          </w:tcPr>
          <w:p>
            <w:r>
              <w:rPr>
                <w:sz w:val="18"/>
              </w:rPr>
              <w:t>T_MED = exp(μ + 2.5σ)</w:t>
            </w:r>
          </w:p>
        </w:tc>
        <w:tc>
          <w:tcPr>
            <w:tcW w:type="dxa" w:w="3009"/>
            <w:vAlign w:val="center"/>
          </w:tcPr>
          <w:p>
            <w:r>
              <w:rPr>
                <w:sz w:val="18"/>
              </w:rPr>
              <w:t>exp(1.7073 + 2.5 × 1.1578)</w:t>
            </w:r>
          </w:p>
        </w:tc>
        <w:tc>
          <w:tcPr>
            <w:tcW w:type="dxa" w:w="3009"/>
            <w:vAlign w:val="center"/>
          </w:tcPr>
          <w:p>
            <w:r>
              <w:rPr>
                <w:sz w:val="18"/>
              </w:rPr>
              <w:t>137.19 min/customer</w:t>
            </w:r>
          </w:p>
        </w:tc>
      </w:tr>
    </w:tbl>
    <w:p>
      <w:r>
        <w:rPr>
          <w:sz w:val="20"/>
        </w:rPr>
      </w:r>
      <w:r>
        <w:rPr>
          <w:b/>
          <w:sz w:val="20"/>
        </w:rPr>
        <w:t>Interpretation:</w:t>
      </w:r>
      <w:r>
        <w:rPr>
          <w:sz w:val="20"/>
        </w:rPr>
        <w:t xml:space="preserve"> Any day in 2024 on which system-level daily SAIDI exceeded 137.19 customer-minutes per customer is classified as a Major Event Day. Customer-minutes from events beginning on a MED are excluded from ex-MED index calculations.</w:t>
      </w:r>
    </w:p>
    <w:p>
      <w:r>
        <w:rPr>
          <w:sz w:val="20"/>
        </w:rPr>
      </w:r>
      <w:r>
        <w:rPr>
          <w:b/>
          <w:sz w:val="20"/>
        </w:rPr>
        <w:t>2024 Major Event Days:</w:t>
      </w:r>
      <w:r>
        <w:rPr>
          <w:sz w:val="20"/>
        </w:rPr>
      </w:r>
    </w:p>
    <w:tbl>
      <w:tblPr>
        <w:tblStyle w:val="TableGrid"/>
        <w:tblW w:type="auto" w:w="0"/>
        <w:tblLook w:firstColumn="1" w:firstRow="1" w:lastColumn="0" w:lastRow="0" w:noHBand="0" w:noVBand="1" w:val="04A0"/>
      </w:tblPr>
      <w:tblGrid>
        <w:gridCol w:w="3009"/>
        <w:gridCol w:w="3009"/>
        <w:gridCol w:w="3009"/>
      </w:tblGrid>
      <w:tr>
        <w:tc>
          <w:tcPr>
            <w:tcW w:type="dxa" w:w="3009"/>
            <w:vAlign w:val="center"/>
            <w:shd w:val="clear" w:color="auto" w:fill="D9E1F2"/>
          </w:tcPr>
          <w:p>
            <w:r>
              <w:rPr>
                <w:b/>
                <w:sz w:val="18"/>
              </w:rPr>
              <w:t>Date</w:t>
            </w:r>
          </w:p>
        </w:tc>
        <w:tc>
          <w:tcPr>
            <w:tcW w:type="dxa" w:w="3009"/>
            <w:vAlign w:val="center"/>
            <w:shd w:val="clear" w:color="auto" w:fill="D9E1F2"/>
          </w:tcPr>
          <w:p>
            <w:r>
              <w:rPr>
                <w:b/>
                <w:sz w:val="18"/>
              </w:rPr>
              <w:t>Event</w:t>
            </w:r>
          </w:p>
        </w:tc>
        <w:tc>
          <w:tcPr>
            <w:tcW w:type="dxa" w:w="3009"/>
            <w:vAlign w:val="center"/>
            <w:shd w:val="clear" w:color="auto" w:fill="D9E1F2"/>
          </w:tcPr>
          <w:p>
            <w:r>
              <w:rPr>
                <w:b/>
                <w:sz w:val="18"/>
              </w:rPr>
              <w:t>Daily SAIDI (min/cust)</w:t>
            </w:r>
          </w:p>
        </w:tc>
      </w:tr>
      <w:tr>
        <w:tc>
          <w:tcPr>
            <w:tcW w:type="dxa" w:w="3009"/>
            <w:vAlign w:val="center"/>
          </w:tcPr>
          <w:p>
            <w:r>
              <w:rPr>
                <w:sz w:val="18"/>
              </w:rPr>
              <w:t>2024-03-15</w:t>
            </w:r>
          </w:p>
        </w:tc>
        <w:tc>
          <w:tcPr>
            <w:tcW w:type="dxa" w:w="3009"/>
            <w:vAlign w:val="center"/>
          </w:tcPr>
          <w:p>
            <w:r>
              <w:rPr>
                <w:sz w:val="18"/>
              </w:rPr>
              <w:t>March wind storm</w:t>
            </w:r>
          </w:p>
        </w:tc>
        <w:tc>
          <w:tcPr>
            <w:tcW w:type="dxa" w:w="3009"/>
            <w:vAlign w:val="center"/>
          </w:tcPr>
          <w:p>
            <w:r>
              <w:rPr>
                <w:sz w:val="18"/>
              </w:rPr>
              <w:t>676.85</w:t>
            </w:r>
          </w:p>
        </w:tc>
      </w:tr>
      <w:tr>
        <w:tc>
          <w:tcPr>
            <w:tcW w:type="dxa" w:w="3009"/>
            <w:vAlign w:val="center"/>
          </w:tcPr>
          <w:p>
            <w:r>
              <w:rPr>
                <w:sz w:val="18"/>
              </w:rPr>
              <w:t>2024-05-22</w:t>
            </w:r>
          </w:p>
        </w:tc>
        <w:tc>
          <w:tcPr>
            <w:tcW w:type="dxa" w:w="3009"/>
            <w:vAlign w:val="center"/>
          </w:tcPr>
          <w:p>
            <w:r>
              <w:rPr>
                <w:sz w:val="18"/>
              </w:rPr>
              <w:t>May derecho</w:t>
            </w:r>
          </w:p>
        </w:tc>
        <w:tc>
          <w:tcPr>
            <w:tcW w:type="dxa" w:w="3009"/>
            <w:vAlign w:val="center"/>
          </w:tcPr>
          <w:p>
            <w:r>
              <w:rPr>
                <w:sz w:val="18"/>
              </w:rPr>
              <w:t>818.02</w:t>
            </w:r>
          </w:p>
        </w:tc>
      </w:tr>
      <w:tr>
        <w:tc>
          <w:tcPr>
            <w:tcW w:type="dxa" w:w="3009"/>
            <w:vAlign w:val="center"/>
          </w:tcPr>
          <w:p>
            <w:r>
              <w:rPr>
                <w:sz w:val="18"/>
              </w:rPr>
              <w:t>2024-07-04</w:t>
            </w:r>
          </w:p>
        </w:tc>
        <w:tc>
          <w:tcPr>
            <w:tcW w:type="dxa" w:w="3009"/>
            <w:vAlign w:val="center"/>
          </w:tcPr>
          <w:p>
            <w:r>
              <w:rPr>
                <w:sz w:val="18"/>
              </w:rPr>
              <w:t>July 4 storm complex</w:t>
            </w:r>
          </w:p>
        </w:tc>
        <w:tc>
          <w:tcPr>
            <w:tcW w:type="dxa" w:w="3009"/>
            <w:vAlign w:val="center"/>
          </w:tcPr>
          <w:p>
            <w:r>
              <w:rPr>
                <w:sz w:val="18"/>
              </w:rPr>
              <w:t>917.32</w:t>
            </w:r>
          </w:p>
        </w:tc>
      </w:tr>
      <w:tr>
        <w:tc>
          <w:tcPr>
            <w:tcW w:type="dxa" w:w="3009"/>
            <w:vAlign w:val="center"/>
          </w:tcPr>
          <w:p>
            <w:r>
              <w:rPr>
                <w:sz w:val="18"/>
              </w:rPr>
              <w:t>2024-08-09</w:t>
            </w:r>
          </w:p>
        </w:tc>
        <w:tc>
          <w:tcPr>
            <w:tcW w:type="dxa" w:w="3009"/>
            <w:vAlign w:val="center"/>
          </w:tcPr>
          <w:p>
            <w:r>
              <w:rPr>
                <w:sz w:val="18"/>
              </w:rPr>
              <w:t>August thunderstorm cluster</w:t>
            </w:r>
          </w:p>
        </w:tc>
        <w:tc>
          <w:tcPr>
            <w:tcW w:type="dxa" w:w="3009"/>
            <w:vAlign w:val="center"/>
          </w:tcPr>
          <w:p>
            <w:r>
              <w:rPr>
                <w:sz w:val="18"/>
              </w:rPr>
              <w:t>1,087.16</w:t>
            </w:r>
          </w:p>
        </w:tc>
      </w:tr>
      <w:tr>
        <w:tc>
          <w:tcPr>
            <w:tcW w:type="dxa" w:w="3009"/>
            <w:vAlign w:val="center"/>
          </w:tcPr>
          <w:p>
            <w:r>
              <w:rPr>
                <w:sz w:val="18"/>
              </w:rPr>
              <w:t>2024-12-23</w:t>
            </w:r>
          </w:p>
        </w:tc>
        <w:tc>
          <w:tcPr>
            <w:tcW w:type="dxa" w:w="3009"/>
            <w:vAlign w:val="center"/>
          </w:tcPr>
          <w:p>
            <w:r>
              <w:rPr>
                <w:sz w:val="18"/>
              </w:rPr>
              <w:t>December winter storm</w:t>
            </w:r>
          </w:p>
        </w:tc>
        <w:tc>
          <w:tcPr>
            <w:tcW w:type="dxa" w:w="3009"/>
            <w:vAlign w:val="center"/>
          </w:tcPr>
          <w:p>
            <w:r>
              <w:rPr>
                <w:sz w:val="18"/>
              </w:rPr>
              <w:t>989.29</w:t>
            </w:r>
          </w:p>
        </w:tc>
      </w:tr>
    </w:tbl>
    <w:p>
      <w:pPr>
        <w:pStyle w:val="Heading3"/>
      </w:pPr>
      <w:r>
        <w:rPr>
          <w:sz w:val="28"/>
        </w:rPr>
        <w:t>15.4 2024 Annual Reliability Indices — Preliminary (Data Extracted 2025-02-10)</w:t>
      </w:r>
    </w:p>
    <w:p>
      <w:r>
        <w:rPr>
          <w:sz w:val="20"/>
        </w:rPr>
      </w:r>
      <w:r>
        <w:rPr>
          <w:b/>
          <w:sz w:val="20"/>
        </w:rPr>
        <w:t>Table 15-A: Annual 2024 Indices</w:t>
      </w:r>
      <w:r>
        <w:rPr>
          <w:sz w:val="20"/>
        </w:rPr>
      </w:r>
    </w:p>
    <w:tbl>
      <w:tblPr>
        <w:tblStyle w:val="TableGrid"/>
        <w:tblW w:type="auto" w:w="0"/>
        <w:tblLook w:firstColumn="1" w:firstRow="1" w:lastColumn="0" w:lastRow="0" w:noHBand="0" w:noVBand="1" w:val="04A0"/>
      </w:tblPr>
      <w:tblGrid>
        <w:gridCol w:w="3009"/>
        <w:gridCol w:w="3009"/>
        <w:gridCol w:w="3009"/>
      </w:tblGrid>
      <w:tr>
        <w:tc>
          <w:tcPr>
            <w:tcW w:type="dxa" w:w="3009"/>
            <w:vAlign w:val="center"/>
            <w:shd w:val="clear" w:color="auto" w:fill="D9E1F2"/>
          </w:tcPr>
          <w:p>
            <w:r>
              <w:rPr>
                <w:b/>
                <w:sz w:val="18"/>
              </w:rPr>
              <w:t>Index</w:t>
            </w:r>
          </w:p>
        </w:tc>
        <w:tc>
          <w:tcPr>
            <w:tcW w:type="dxa" w:w="3009"/>
            <w:vAlign w:val="center"/>
            <w:shd w:val="clear" w:color="auto" w:fill="D9E1F2"/>
          </w:tcPr>
          <w:p>
            <w:r>
              <w:rPr>
                <w:b/>
                <w:sz w:val="18"/>
              </w:rPr>
              <w:t>With MED</w:t>
            </w:r>
          </w:p>
        </w:tc>
        <w:tc>
          <w:tcPr>
            <w:tcW w:type="dxa" w:w="3009"/>
            <w:vAlign w:val="center"/>
            <w:shd w:val="clear" w:color="auto" w:fill="D9E1F2"/>
          </w:tcPr>
          <w:p>
            <w:r>
              <w:rPr>
                <w:b/>
                <w:sz w:val="18"/>
              </w:rPr>
              <w:t>Without MED</w:t>
            </w:r>
          </w:p>
        </w:tc>
      </w:tr>
      <w:tr>
        <w:tc>
          <w:tcPr>
            <w:tcW w:type="dxa" w:w="3009"/>
            <w:vAlign w:val="center"/>
          </w:tcPr>
          <w:p>
            <w:r>
              <w:rPr>
                <w:sz w:val="18"/>
              </w:rPr>
              <w:t>Customer-interruptions (CI)</w:t>
            </w:r>
          </w:p>
        </w:tc>
        <w:tc>
          <w:tcPr>
            <w:tcW w:type="dxa" w:w="3009"/>
            <w:vAlign w:val="center"/>
          </w:tcPr>
          <w:p>
            <w:r>
              <w:rPr>
                <w:sz w:val="18"/>
              </w:rPr>
              <w:t>638,033</w:t>
            </w:r>
          </w:p>
        </w:tc>
        <w:tc>
          <w:tcPr>
            <w:tcW w:type="dxa" w:w="3009"/>
            <w:vAlign w:val="center"/>
          </w:tcPr>
          <w:p>
            <w:r>
              <w:rPr>
                <w:sz w:val="18"/>
              </w:rPr>
              <w:t>445,864</w:t>
            </w:r>
          </w:p>
        </w:tc>
      </w:tr>
      <w:tr>
        <w:tc>
          <w:tcPr>
            <w:tcW w:type="dxa" w:w="3009"/>
            <w:vAlign w:val="center"/>
          </w:tcPr>
          <w:p>
            <w:r>
              <w:rPr>
                <w:sz w:val="18"/>
              </w:rPr>
              <w:t>Customer-minutes (CMI)</w:t>
            </w:r>
          </w:p>
        </w:tc>
        <w:tc>
          <w:tcPr>
            <w:tcW w:type="dxa" w:w="3009"/>
            <w:vAlign w:val="center"/>
          </w:tcPr>
          <w:p>
            <w:r>
              <w:rPr>
                <w:sz w:val="18"/>
              </w:rPr>
              <w:t>106,400,234</w:t>
            </w:r>
          </w:p>
        </w:tc>
        <w:tc>
          <w:tcPr>
            <w:tcW w:type="dxa" w:w="3009"/>
            <w:vAlign w:val="center"/>
          </w:tcPr>
          <w:p>
            <w:r>
              <w:rPr>
                <w:sz w:val="18"/>
              </w:rPr>
              <w:t>56,125,189</w:t>
            </w:r>
          </w:p>
        </w:tc>
      </w:tr>
      <w:tr>
        <w:tc>
          <w:tcPr>
            <w:tcW w:type="dxa" w:w="3009"/>
            <w:vAlign w:val="center"/>
          </w:tcPr>
          <w:p>
            <w:r>
              <w:rPr>
                <w:sz w:val="18"/>
              </w:rPr>
              <w:t>SAIFI (interruptions/customer)</w:t>
            </w:r>
          </w:p>
        </w:tc>
        <w:tc>
          <w:tcPr>
            <w:tcW w:type="dxa" w:w="3009"/>
            <w:vAlign w:val="center"/>
          </w:tcPr>
          <w:p>
            <w:r>
              <w:rPr>
                <w:sz w:val="18"/>
              </w:rPr>
              <w:t>1.5723</w:t>
            </w:r>
          </w:p>
        </w:tc>
        <w:tc>
          <w:tcPr>
            <w:tcW w:type="dxa" w:w="3009"/>
            <w:vAlign w:val="center"/>
          </w:tcPr>
          <w:p>
            <w:r>
              <w:rPr>
                <w:sz w:val="18"/>
              </w:rPr>
              <w:t>1.0987</w:t>
            </w:r>
          </w:p>
        </w:tc>
      </w:tr>
      <w:tr>
        <w:tc>
          <w:tcPr>
            <w:tcW w:type="dxa" w:w="3009"/>
            <w:vAlign w:val="center"/>
          </w:tcPr>
          <w:p>
            <w:r>
              <w:rPr>
                <w:sz w:val="18"/>
              </w:rPr>
              <w:t>SAIDI (min/customer)</w:t>
            </w:r>
          </w:p>
        </w:tc>
        <w:tc>
          <w:tcPr>
            <w:tcW w:type="dxa" w:w="3009"/>
            <w:vAlign w:val="center"/>
          </w:tcPr>
          <w:p>
            <w:r>
              <w:rPr>
                <w:sz w:val="18"/>
              </w:rPr>
              <w:t>262.20</w:t>
            </w:r>
          </w:p>
        </w:tc>
        <w:tc>
          <w:tcPr>
            <w:tcW w:type="dxa" w:w="3009"/>
            <w:vAlign w:val="center"/>
          </w:tcPr>
          <w:p>
            <w:r>
              <w:rPr>
                <w:sz w:val="18"/>
              </w:rPr>
              <w:t>138.31</w:t>
            </w:r>
          </w:p>
        </w:tc>
      </w:tr>
      <w:tr>
        <w:tc>
          <w:tcPr>
            <w:tcW w:type="dxa" w:w="3009"/>
            <w:vAlign w:val="center"/>
          </w:tcPr>
          <w:p>
            <w:r>
              <w:rPr>
                <w:sz w:val="18"/>
              </w:rPr>
              <w:t>CAIDI (min/interruption)</w:t>
            </w:r>
          </w:p>
        </w:tc>
        <w:tc>
          <w:tcPr>
            <w:tcW w:type="dxa" w:w="3009"/>
            <w:vAlign w:val="center"/>
          </w:tcPr>
          <w:p>
            <w:r>
              <w:rPr>
                <w:sz w:val="18"/>
              </w:rPr>
              <w:t>166.76</w:t>
            </w:r>
          </w:p>
        </w:tc>
        <w:tc>
          <w:tcPr>
            <w:tcW w:type="dxa" w:w="3009"/>
            <w:vAlign w:val="center"/>
          </w:tcPr>
          <w:p>
            <w:r>
              <w:rPr>
                <w:sz w:val="18"/>
              </w:rPr>
              <w:t>125.88</w:t>
            </w:r>
          </w:p>
        </w:tc>
      </w:tr>
      <w:tr>
        <w:tc>
          <w:tcPr>
            <w:tcW w:type="dxa" w:w="3009"/>
            <w:vAlign w:val="center"/>
          </w:tcPr>
          <w:p>
            <w:r>
              <w:rPr>
                <w:sz w:val="18"/>
              </w:rPr>
              <w:t>Major Event Days</w:t>
            </w:r>
          </w:p>
        </w:tc>
        <w:tc>
          <w:tcPr>
            <w:tcW w:type="dxa" w:w="3009"/>
            <w:vAlign w:val="center"/>
          </w:tcPr>
          <w:p>
            <w:r>
              <w:rPr>
                <w:sz w:val="18"/>
              </w:rPr>
              <w:t>5</w:t>
            </w:r>
          </w:p>
        </w:tc>
        <w:tc>
          <w:tcPr>
            <w:tcW w:type="dxa" w:w="3009"/>
            <w:vAlign w:val="center"/>
          </w:tcPr>
          <w:p>
            <w:r>
              <w:rPr>
                <w:sz w:val="18"/>
              </w:rPr>
              <w:t>—</w:t>
            </w:r>
          </w:p>
        </w:tc>
      </w:tr>
      <w:tr>
        <w:tc>
          <w:tcPr>
            <w:tcW w:type="dxa" w:w="3009"/>
            <w:vAlign w:val="center"/>
          </w:tcPr>
          <w:p>
            <w:r>
              <w:rPr>
                <w:sz w:val="18"/>
              </w:rPr>
              <w:t>TMED (min/customer)</w:t>
            </w:r>
          </w:p>
        </w:tc>
        <w:tc>
          <w:tcPr>
            <w:tcW w:type="dxa" w:w="3009"/>
            <w:vAlign w:val="center"/>
          </w:tcPr>
          <w:p>
            <w:r>
              <w:rPr>
                <w:sz w:val="18"/>
              </w:rPr>
              <w:t>137.19</w:t>
            </w:r>
          </w:p>
        </w:tc>
        <w:tc>
          <w:tcPr>
            <w:tcW w:type="dxa" w:w="3009"/>
            <w:vAlign w:val="center"/>
          </w:tcPr>
          <w:p>
            <w:r>
              <w:rPr>
                <w:sz w:val="18"/>
              </w:rPr>
              <w:t>—</w:t>
            </w:r>
          </w:p>
        </w:tc>
      </w:tr>
      <w:tr>
        <w:tc>
          <w:tcPr>
            <w:tcW w:type="dxa" w:w="3009"/>
            <w:vAlign w:val="center"/>
          </w:tcPr>
          <w:p>
            <w:r>
              <w:rPr>
                <w:sz w:val="18"/>
              </w:rPr>
              <w:t>Customers served</w:t>
            </w:r>
          </w:p>
        </w:tc>
        <w:tc>
          <w:tcPr>
            <w:tcW w:type="dxa" w:w="3009"/>
            <w:vAlign w:val="center"/>
          </w:tcPr>
          <w:p>
            <w:r>
              <w:rPr>
                <w:sz w:val="18"/>
              </w:rPr>
              <w:t>405,805</w:t>
            </w:r>
          </w:p>
        </w:tc>
        <w:tc>
          <w:tcPr>
            <w:tcW w:type="dxa" w:w="3009"/>
            <w:vAlign w:val="center"/>
          </w:tcPr>
          <w:p>
            <w:r>
              <w:rPr>
                <w:sz w:val="18"/>
              </w:rPr>
              <w:t>405,805</w:t>
            </w:r>
          </w:p>
        </w:tc>
      </w:tr>
    </w:tbl>
    <w:p>
      <w:r>
        <w:rPr>
          <w:sz w:val="20"/>
        </w:rPr>
      </w:r>
      <w:r>
        <w:rPr>
          <w:b/>
          <w:sz w:val="20"/>
        </w:rPr>
        <w:t>Table 15-B: Monthly Reliability Indices — 2024 Ex-MED (Preliminary)</w:t>
      </w:r>
      <w:r>
        <w:rPr>
          <w:sz w:val="20"/>
        </w:rPr>
      </w:r>
    </w:p>
    <w:tbl>
      <w:tblPr>
        <w:tblStyle w:val="TableGrid"/>
        <w:tblW w:type="auto" w:w="0"/>
        <w:tblLook w:firstColumn="1" w:firstRow="1" w:lastColumn="0" w:lastRow="0" w:noHBand="0" w:noVBand="1" w:val="04A0"/>
      </w:tblPr>
      <w:tblGrid>
        <w:gridCol w:w="1128"/>
        <w:gridCol w:w="1128"/>
        <w:gridCol w:w="1128"/>
        <w:gridCol w:w="1128"/>
        <w:gridCol w:w="1128"/>
        <w:gridCol w:w="1128"/>
        <w:gridCol w:w="1128"/>
        <w:gridCol w:w="1128"/>
      </w:tblGrid>
      <w:tr>
        <w:tc>
          <w:tcPr>
            <w:tcW w:type="dxa" w:w="1128"/>
            <w:vAlign w:val="center"/>
            <w:shd w:val="clear" w:color="auto" w:fill="D9E1F2"/>
          </w:tcPr>
          <w:p>
            <w:r>
              <w:rPr>
                <w:b/>
                <w:sz w:val="18"/>
              </w:rPr>
              <w:t>Month</w:t>
            </w:r>
          </w:p>
        </w:tc>
        <w:tc>
          <w:tcPr>
            <w:tcW w:type="dxa" w:w="1128"/>
            <w:vAlign w:val="center"/>
            <w:shd w:val="clear" w:color="auto" w:fill="D9E1F2"/>
          </w:tcPr>
          <w:p>
            <w:r>
              <w:rPr>
                <w:b/>
                <w:sz w:val="18"/>
              </w:rPr>
              <w:t>Customers Served</w:t>
            </w:r>
          </w:p>
        </w:tc>
        <w:tc>
          <w:tcPr>
            <w:tcW w:type="dxa" w:w="1128"/>
            <w:vAlign w:val="center"/>
            <w:shd w:val="clear" w:color="auto" w:fill="D9E1F2"/>
          </w:tcPr>
          <w:p>
            <w:r>
              <w:rPr>
                <w:b/>
                <w:sz w:val="18"/>
              </w:rPr>
              <w:t>CI (ex-MED)</w:t>
            </w:r>
          </w:p>
        </w:tc>
        <w:tc>
          <w:tcPr>
            <w:tcW w:type="dxa" w:w="1128"/>
            <w:vAlign w:val="center"/>
            <w:shd w:val="clear" w:color="auto" w:fill="D9E1F2"/>
          </w:tcPr>
          <w:p>
            <w:r>
              <w:rPr>
                <w:b/>
                <w:sz w:val="18"/>
              </w:rPr>
              <w:t>CMI (ex-MED)</w:t>
            </w:r>
          </w:p>
        </w:tc>
        <w:tc>
          <w:tcPr>
            <w:tcW w:type="dxa" w:w="1128"/>
            <w:vAlign w:val="center"/>
            <w:shd w:val="clear" w:color="auto" w:fill="D9E1F2"/>
          </w:tcPr>
          <w:p>
            <w:r>
              <w:rPr>
                <w:b/>
                <w:sz w:val="18"/>
              </w:rPr>
              <w:t>SAIFI (ex-MED)</w:t>
            </w:r>
          </w:p>
        </w:tc>
        <w:tc>
          <w:tcPr>
            <w:tcW w:type="dxa" w:w="1128"/>
            <w:vAlign w:val="center"/>
            <w:shd w:val="clear" w:color="auto" w:fill="D9E1F2"/>
          </w:tcPr>
          <w:p>
            <w:r>
              <w:rPr>
                <w:b/>
                <w:sz w:val="18"/>
              </w:rPr>
              <w:t>SAIDI (ex-MED)</w:t>
            </w:r>
          </w:p>
        </w:tc>
        <w:tc>
          <w:tcPr>
            <w:tcW w:type="dxa" w:w="1128"/>
            <w:vAlign w:val="center"/>
            <w:shd w:val="clear" w:color="auto" w:fill="D9E1F2"/>
          </w:tcPr>
          <w:p>
            <w:r>
              <w:rPr>
                <w:b/>
                <w:sz w:val="18"/>
              </w:rPr>
              <w:t>CAIDI (ex-MED)</w:t>
            </w:r>
          </w:p>
        </w:tc>
        <w:tc>
          <w:tcPr>
            <w:tcW w:type="dxa" w:w="1128"/>
            <w:vAlign w:val="center"/>
            <w:shd w:val="clear" w:color="auto" w:fill="D9E1F2"/>
          </w:tcPr>
          <w:p>
            <w:r>
              <w:rPr>
                <w:b/>
                <w:sz w:val="18"/>
              </w:rPr>
              <w:t>MED Days</w:t>
            </w:r>
          </w:p>
        </w:tc>
      </w:tr>
      <w:tr>
        <w:tc>
          <w:tcPr>
            <w:tcW w:type="dxa" w:w="1128"/>
            <w:vAlign w:val="center"/>
          </w:tcPr>
          <w:p>
            <w:r>
              <w:rPr>
                <w:sz w:val="18"/>
              </w:rPr>
              <w:t>Jan</w:t>
            </w:r>
          </w:p>
        </w:tc>
        <w:tc>
          <w:tcPr>
            <w:tcW w:type="dxa" w:w="1128"/>
            <w:vAlign w:val="center"/>
          </w:tcPr>
          <w:p>
            <w:r>
              <w:rPr>
                <w:sz w:val="18"/>
              </w:rPr>
              <w:t>403,997</w:t>
            </w:r>
          </w:p>
        </w:tc>
        <w:tc>
          <w:tcPr>
            <w:tcW w:type="dxa" w:w="1128"/>
            <w:vAlign w:val="center"/>
          </w:tcPr>
          <w:p>
            <w:r>
              <w:rPr>
                <w:sz w:val="18"/>
              </w:rPr>
              <w:t>25,923</w:t>
            </w:r>
          </w:p>
        </w:tc>
        <w:tc>
          <w:tcPr>
            <w:tcW w:type="dxa" w:w="1128"/>
            <w:vAlign w:val="center"/>
          </w:tcPr>
          <w:p>
            <w:r>
              <w:rPr>
                <w:sz w:val="18"/>
              </w:rPr>
              <w:t>3,504,259</w:t>
            </w:r>
          </w:p>
        </w:tc>
        <w:tc>
          <w:tcPr>
            <w:tcW w:type="dxa" w:w="1128"/>
            <w:vAlign w:val="center"/>
          </w:tcPr>
          <w:p>
            <w:r>
              <w:rPr>
                <w:sz w:val="18"/>
              </w:rPr>
              <w:t>0.0642</w:t>
            </w:r>
          </w:p>
        </w:tc>
        <w:tc>
          <w:tcPr>
            <w:tcW w:type="dxa" w:w="1128"/>
            <w:vAlign w:val="center"/>
          </w:tcPr>
          <w:p>
            <w:r>
              <w:rPr>
                <w:sz w:val="18"/>
              </w:rPr>
              <w:t>8.67</w:t>
            </w:r>
          </w:p>
        </w:tc>
        <w:tc>
          <w:tcPr>
            <w:tcW w:type="dxa" w:w="1128"/>
            <w:vAlign w:val="center"/>
          </w:tcPr>
          <w:p>
            <w:r>
              <w:rPr>
                <w:sz w:val="18"/>
              </w:rPr>
              <w:t>135.11</w:t>
            </w:r>
          </w:p>
        </w:tc>
        <w:tc>
          <w:tcPr>
            <w:tcW w:type="dxa" w:w="1128"/>
            <w:vAlign w:val="center"/>
          </w:tcPr>
          <w:p>
            <w:r>
              <w:rPr>
                <w:sz w:val="18"/>
              </w:rPr>
              <w:t>0</w:t>
            </w:r>
          </w:p>
        </w:tc>
      </w:tr>
      <w:tr>
        <w:tc>
          <w:tcPr>
            <w:tcW w:type="dxa" w:w="1128"/>
            <w:vAlign w:val="center"/>
          </w:tcPr>
          <w:p>
            <w:r>
              <w:rPr>
                <w:sz w:val="18"/>
              </w:rPr>
              <w:t>Feb</w:t>
            </w:r>
          </w:p>
        </w:tc>
        <w:tc>
          <w:tcPr>
            <w:tcW w:type="dxa" w:w="1128"/>
            <w:vAlign w:val="center"/>
          </w:tcPr>
          <w:p>
            <w:r>
              <w:rPr>
                <w:sz w:val="18"/>
              </w:rPr>
              <w:t>404,305</w:t>
            </w:r>
          </w:p>
        </w:tc>
        <w:tc>
          <w:tcPr>
            <w:tcW w:type="dxa" w:w="1128"/>
            <w:vAlign w:val="center"/>
          </w:tcPr>
          <w:p>
            <w:r>
              <w:rPr>
                <w:sz w:val="18"/>
              </w:rPr>
              <w:t>20,033</w:t>
            </w:r>
          </w:p>
        </w:tc>
        <w:tc>
          <w:tcPr>
            <w:tcW w:type="dxa" w:w="1128"/>
            <w:vAlign w:val="center"/>
          </w:tcPr>
          <w:p>
            <w:r>
              <w:rPr>
                <w:sz w:val="18"/>
              </w:rPr>
              <w:t>2,665,890</w:t>
            </w:r>
          </w:p>
        </w:tc>
        <w:tc>
          <w:tcPr>
            <w:tcW w:type="dxa" w:w="1128"/>
            <w:vAlign w:val="center"/>
          </w:tcPr>
          <w:p>
            <w:r>
              <w:rPr>
                <w:sz w:val="18"/>
              </w:rPr>
              <w:t>0.0495</w:t>
            </w:r>
          </w:p>
        </w:tc>
        <w:tc>
          <w:tcPr>
            <w:tcW w:type="dxa" w:w="1128"/>
            <w:vAlign w:val="center"/>
          </w:tcPr>
          <w:p>
            <w:r>
              <w:rPr>
                <w:sz w:val="18"/>
              </w:rPr>
              <w:t>6.59</w:t>
            </w:r>
          </w:p>
        </w:tc>
        <w:tc>
          <w:tcPr>
            <w:tcW w:type="dxa" w:w="1128"/>
            <w:vAlign w:val="center"/>
          </w:tcPr>
          <w:p>
            <w:r>
              <w:rPr>
                <w:sz w:val="18"/>
              </w:rPr>
              <w:t>133.21</w:t>
            </w:r>
          </w:p>
        </w:tc>
        <w:tc>
          <w:tcPr>
            <w:tcW w:type="dxa" w:w="1128"/>
            <w:vAlign w:val="center"/>
          </w:tcPr>
          <w:p>
            <w:r>
              <w:rPr>
                <w:sz w:val="18"/>
              </w:rPr>
              <w:t>0</w:t>
            </w:r>
          </w:p>
        </w:tc>
      </w:tr>
      <w:tr>
        <w:tc>
          <w:tcPr>
            <w:tcW w:type="dxa" w:w="1128"/>
            <w:vAlign w:val="center"/>
          </w:tcPr>
          <w:p>
            <w:r>
              <w:rPr>
                <w:sz w:val="18"/>
              </w:rPr>
              <w:t>Mar</w:t>
            </w:r>
          </w:p>
        </w:tc>
        <w:tc>
          <w:tcPr>
            <w:tcW w:type="dxa" w:w="1128"/>
            <w:vAlign w:val="center"/>
          </w:tcPr>
          <w:p>
            <w:r>
              <w:rPr>
                <w:sz w:val="18"/>
              </w:rPr>
              <w:t>404,593</w:t>
            </w:r>
          </w:p>
        </w:tc>
        <w:tc>
          <w:tcPr>
            <w:tcW w:type="dxa" w:w="1128"/>
            <w:vAlign w:val="center"/>
          </w:tcPr>
          <w:p>
            <w:r>
              <w:rPr>
                <w:sz w:val="18"/>
              </w:rPr>
              <w:t>35,200</w:t>
            </w:r>
          </w:p>
        </w:tc>
        <w:tc>
          <w:tcPr>
            <w:tcW w:type="dxa" w:w="1128"/>
            <w:vAlign w:val="center"/>
          </w:tcPr>
          <w:p>
            <w:r>
              <w:rPr>
                <w:sz w:val="18"/>
              </w:rPr>
              <w:t>4,237,907</w:t>
            </w:r>
          </w:p>
        </w:tc>
        <w:tc>
          <w:tcPr>
            <w:tcW w:type="dxa" w:w="1128"/>
            <w:vAlign w:val="center"/>
          </w:tcPr>
          <w:p>
            <w:r>
              <w:rPr>
                <w:sz w:val="18"/>
              </w:rPr>
              <w:t>0.0870</w:t>
            </w:r>
          </w:p>
        </w:tc>
        <w:tc>
          <w:tcPr>
            <w:tcW w:type="dxa" w:w="1128"/>
            <w:vAlign w:val="center"/>
          </w:tcPr>
          <w:p>
            <w:r>
              <w:rPr>
                <w:sz w:val="18"/>
              </w:rPr>
              <w:t>10.47</w:t>
            </w:r>
          </w:p>
        </w:tc>
        <w:tc>
          <w:tcPr>
            <w:tcW w:type="dxa" w:w="1128"/>
            <w:vAlign w:val="center"/>
          </w:tcPr>
          <w:p>
            <w:r>
              <w:rPr>
                <w:sz w:val="18"/>
              </w:rPr>
              <w:t>120.40</w:t>
            </w:r>
          </w:p>
        </w:tc>
        <w:tc>
          <w:tcPr>
            <w:tcW w:type="dxa" w:w="1128"/>
            <w:vAlign w:val="center"/>
          </w:tcPr>
          <w:p>
            <w:r>
              <w:rPr>
                <w:sz w:val="18"/>
              </w:rPr>
              <w:t>1</w:t>
            </w:r>
          </w:p>
        </w:tc>
      </w:tr>
      <w:tr>
        <w:tc>
          <w:tcPr>
            <w:tcW w:type="dxa" w:w="1128"/>
            <w:vAlign w:val="center"/>
          </w:tcPr>
          <w:p>
            <w:r>
              <w:rPr>
                <w:sz w:val="18"/>
              </w:rPr>
              <w:t>Apr</w:t>
            </w:r>
          </w:p>
        </w:tc>
        <w:tc>
          <w:tcPr>
            <w:tcW w:type="dxa" w:w="1128"/>
            <w:vAlign w:val="center"/>
          </w:tcPr>
          <w:p>
            <w:r>
              <w:rPr>
                <w:sz w:val="18"/>
              </w:rPr>
              <w:t>404,900</w:t>
            </w:r>
          </w:p>
        </w:tc>
        <w:tc>
          <w:tcPr>
            <w:tcW w:type="dxa" w:w="1128"/>
            <w:vAlign w:val="center"/>
          </w:tcPr>
          <w:p>
            <w:r>
              <w:rPr>
                <w:sz w:val="18"/>
              </w:rPr>
              <w:t>42,655</w:t>
            </w:r>
          </w:p>
        </w:tc>
        <w:tc>
          <w:tcPr>
            <w:tcW w:type="dxa" w:w="1128"/>
            <w:vAlign w:val="center"/>
          </w:tcPr>
          <w:p>
            <w:r>
              <w:rPr>
                <w:sz w:val="18"/>
              </w:rPr>
              <w:t>7,105,623</w:t>
            </w:r>
          </w:p>
        </w:tc>
        <w:tc>
          <w:tcPr>
            <w:tcW w:type="dxa" w:w="1128"/>
            <w:vAlign w:val="center"/>
          </w:tcPr>
          <w:p>
            <w:r>
              <w:rPr>
                <w:sz w:val="18"/>
              </w:rPr>
              <w:t>0.1053</w:t>
            </w:r>
          </w:p>
        </w:tc>
        <w:tc>
          <w:tcPr>
            <w:tcW w:type="dxa" w:w="1128"/>
            <w:vAlign w:val="center"/>
          </w:tcPr>
          <w:p>
            <w:r>
              <w:rPr>
                <w:sz w:val="18"/>
              </w:rPr>
              <w:t>17.55</w:t>
            </w:r>
          </w:p>
        </w:tc>
        <w:tc>
          <w:tcPr>
            <w:tcW w:type="dxa" w:w="1128"/>
            <w:vAlign w:val="center"/>
          </w:tcPr>
          <w:p>
            <w:r>
              <w:rPr>
                <w:sz w:val="18"/>
              </w:rPr>
              <w:t>166.66</w:t>
            </w:r>
          </w:p>
        </w:tc>
        <w:tc>
          <w:tcPr>
            <w:tcW w:type="dxa" w:w="1128"/>
            <w:vAlign w:val="center"/>
          </w:tcPr>
          <w:p>
            <w:r>
              <w:rPr>
                <w:sz w:val="18"/>
              </w:rPr>
              <w:t>0</w:t>
            </w:r>
          </w:p>
        </w:tc>
      </w:tr>
      <w:tr>
        <w:tc>
          <w:tcPr>
            <w:tcW w:type="dxa" w:w="1128"/>
            <w:vAlign w:val="center"/>
          </w:tcPr>
          <w:p>
            <w:r>
              <w:rPr>
                <w:sz w:val="18"/>
              </w:rPr>
              <w:t>May</w:t>
            </w:r>
          </w:p>
        </w:tc>
        <w:tc>
          <w:tcPr>
            <w:tcW w:type="dxa" w:w="1128"/>
            <w:vAlign w:val="center"/>
          </w:tcPr>
          <w:p>
            <w:r>
              <w:rPr>
                <w:sz w:val="18"/>
              </w:rPr>
              <w:t>405,198</w:t>
            </w:r>
          </w:p>
        </w:tc>
        <w:tc>
          <w:tcPr>
            <w:tcW w:type="dxa" w:w="1128"/>
            <w:vAlign w:val="center"/>
          </w:tcPr>
          <w:p>
            <w:r>
              <w:rPr>
                <w:sz w:val="18"/>
              </w:rPr>
              <w:t>54,429</w:t>
            </w:r>
          </w:p>
        </w:tc>
        <w:tc>
          <w:tcPr>
            <w:tcW w:type="dxa" w:w="1128"/>
            <w:vAlign w:val="center"/>
          </w:tcPr>
          <w:p>
            <w:r>
              <w:rPr>
                <w:sz w:val="18"/>
              </w:rPr>
              <w:t>6,513,915</w:t>
            </w:r>
          </w:p>
        </w:tc>
        <w:tc>
          <w:tcPr>
            <w:tcW w:type="dxa" w:w="1128"/>
            <w:vAlign w:val="center"/>
          </w:tcPr>
          <w:p>
            <w:r>
              <w:rPr>
                <w:sz w:val="18"/>
              </w:rPr>
              <w:t>0.1343</w:t>
            </w:r>
          </w:p>
        </w:tc>
        <w:tc>
          <w:tcPr>
            <w:tcW w:type="dxa" w:w="1128"/>
            <w:vAlign w:val="center"/>
          </w:tcPr>
          <w:p>
            <w:r>
              <w:rPr>
                <w:sz w:val="18"/>
              </w:rPr>
              <w:t>16.08</w:t>
            </w:r>
          </w:p>
        </w:tc>
        <w:tc>
          <w:tcPr>
            <w:tcW w:type="dxa" w:w="1128"/>
            <w:vAlign w:val="center"/>
          </w:tcPr>
          <w:p>
            <w:r>
              <w:rPr>
                <w:sz w:val="18"/>
              </w:rPr>
              <w:t>119.70</w:t>
            </w:r>
          </w:p>
        </w:tc>
        <w:tc>
          <w:tcPr>
            <w:tcW w:type="dxa" w:w="1128"/>
            <w:vAlign w:val="center"/>
          </w:tcPr>
          <w:p>
            <w:r>
              <w:rPr>
                <w:sz w:val="18"/>
              </w:rPr>
              <w:t>1</w:t>
            </w:r>
          </w:p>
        </w:tc>
      </w:tr>
      <w:tr>
        <w:tc>
          <w:tcPr>
            <w:tcW w:type="dxa" w:w="1128"/>
            <w:vAlign w:val="center"/>
          </w:tcPr>
          <w:p>
            <w:r>
              <w:rPr>
                <w:sz w:val="18"/>
              </w:rPr>
              <w:t>Jun</w:t>
            </w:r>
          </w:p>
        </w:tc>
        <w:tc>
          <w:tcPr>
            <w:tcW w:type="dxa" w:w="1128"/>
            <w:vAlign w:val="center"/>
          </w:tcPr>
          <w:p>
            <w:r>
              <w:rPr>
                <w:sz w:val="18"/>
              </w:rPr>
              <w:t>405,507</w:t>
            </w:r>
          </w:p>
        </w:tc>
        <w:tc>
          <w:tcPr>
            <w:tcW w:type="dxa" w:w="1128"/>
            <w:vAlign w:val="center"/>
          </w:tcPr>
          <w:p>
            <w:r>
              <w:rPr>
                <w:sz w:val="18"/>
              </w:rPr>
              <w:t>55,515</w:t>
            </w:r>
          </w:p>
        </w:tc>
        <w:tc>
          <w:tcPr>
            <w:tcW w:type="dxa" w:w="1128"/>
            <w:vAlign w:val="center"/>
          </w:tcPr>
          <w:p>
            <w:r>
              <w:rPr>
                <w:sz w:val="18"/>
              </w:rPr>
              <w:t>6,070,983</w:t>
            </w:r>
          </w:p>
        </w:tc>
        <w:tc>
          <w:tcPr>
            <w:tcW w:type="dxa" w:w="1128"/>
            <w:vAlign w:val="center"/>
          </w:tcPr>
          <w:p>
            <w:r>
              <w:rPr>
                <w:sz w:val="18"/>
              </w:rPr>
              <w:t>0.1369</w:t>
            </w:r>
          </w:p>
        </w:tc>
        <w:tc>
          <w:tcPr>
            <w:tcW w:type="dxa" w:w="1128"/>
            <w:vAlign w:val="center"/>
          </w:tcPr>
          <w:p>
            <w:r>
              <w:rPr>
                <w:sz w:val="18"/>
              </w:rPr>
              <w:t>14.97</w:t>
            </w:r>
          </w:p>
        </w:tc>
        <w:tc>
          <w:tcPr>
            <w:tcW w:type="dxa" w:w="1128"/>
            <w:vAlign w:val="center"/>
          </w:tcPr>
          <w:p>
            <w:r>
              <w:rPr>
                <w:sz w:val="18"/>
              </w:rPr>
              <w:t>109.36</w:t>
            </w:r>
          </w:p>
        </w:tc>
        <w:tc>
          <w:tcPr>
            <w:tcW w:type="dxa" w:w="1128"/>
            <w:vAlign w:val="center"/>
          </w:tcPr>
          <w:p>
            <w:r>
              <w:rPr>
                <w:sz w:val="18"/>
              </w:rPr>
              <w:t>0</w:t>
            </w:r>
          </w:p>
        </w:tc>
      </w:tr>
      <w:tr>
        <w:tc>
          <w:tcPr>
            <w:tcW w:type="dxa" w:w="1128"/>
            <w:vAlign w:val="center"/>
          </w:tcPr>
          <w:p>
            <w:r>
              <w:rPr>
                <w:sz w:val="18"/>
              </w:rPr>
              <w:t>Jul</w:t>
            </w:r>
          </w:p>
        </w:tc>
        <w:tc>
          <w:tcPr>
            <w:tcW w:type="dxa" w:w="1128"/>
            <w:vAlign w:val="center"/>
          </w:tcPr>
          <w:p>
            <w:r>
              <w:rPr>
                <w:sz w:val="18"/>
              </w:rPr>
              <w:t>405,805</w:t>
            </w:r>
          </w:p>
        </w:tc>
        <w:tc>
          <w:tcPr>
            <w:tcW w:type="dxa" w:w="1128"/>
            <w:vAlign w:val="center"/>
          </w:tcPr>
          <w:p>
            <w:r>
              <w:rPr>
                <w:sz w:val="18"/>
              </w:rPr>
              <w:t>64,928</w:t>
            </w:r>
          </w:p>
        </w:tc>
        <w:tc>
          <w:tcPr>
            <w:tcW w:type="dxa" w:w="1128"/>
            <w:vAlign w:val="center"/>
          </w:tcPr>
          <w:p>
            <w:r>
              <w:rPr>
                <w:sz w:val="18"/>
              </w:rPr>
              <w:t>8,544,464</w:t>
            </w:r>
          </w:p>
        </w:tc>
        <w:tc>
          <w:tcPr>
            <w:tcW w:type="dxa" w:w="1128"/>
            <w:vAlign w:val="center"/>
          </w:tcPr>
          <w:p>
            <w:r>
              <w:rPr>
                <w:sz w:val="18"/>
              </w:rPr>
              <w:t>0.1600</w:t>
            </w:r>
          </w:p>
        </w:tc>
        <w:tc>
          <w:tcPr>
            <w:tcW w:type="dxa" w:w="1128"/>
            <w:vAlign w:val="center"/>
          </w:tcPr>
          <w:p>
            <w:r>
              <w:rPr>
                <w:sz w:val="18"/>
              </w:rPr>
              <w:t>21.06</w:t>
            </w:r>
          </w:p>
        </w:tc>
        <w:tc>
          <w:tcPr>
            <w:tcW w:type="dxa" w:w="1128"/>
            <w:vAlign w:val="center"/>
          </w:tcPr>
          <w:p>
            <w:r>
              <w:rPr>
                <w:sz w:val="18"/>
              </w:rPr>
              <w:t>131.60</w:t>
            </w:r>
          </w:p>
        </w:tc>
        <w:tc>
          <w:tcPr>
            <w:tcW w:type="dxa" w:w="1128"/>
            <w:vAlign w:val="center"/>
          </w:tcPr>
          <w:p>
            <w:r>
              <w:rPr>
                <w:sz w:val="18"/>
              </w:rPr>
              <w:t>1</w:t>
            </w:r>
          </w:p>
        </w:tc>
      </w:tr>
      <w:tr>
        <w:tc>
          <w:tcPr>
            <w:tcW w:type="dxa" w:w="1128"/>
            <w:vAlign w:val="center"/>
          </w:tcPr>
          <w:p>
            <w:r>
              <w:rPr>
                <w:sz w:val="18"/>
              </w:rPr>
              <w:t>Aug</w:t>
            </w:r>
          </w:p>
        </w:tc>
        <w:tc>
          <w:tcPr>
            <w:tcW w:type="dxa" w:w="1128"/>
            <w:vAlign w:val="center"/>
          </w:tcPr>
          <w:p>
            <w:r>
              <w:rPr>
                <w:sz w:val="18"/>
              </w:rPr>
              <w:t>406,114</w:t>
            </w:r>
          </w:p>
        </w:tc>
        <w:tc>
          <w:tcPr>
            <w:tcW w:type="dxa" w:w="1128"/>
            <w:vAlign w:val="center"/>
          </w:tcPr>
          <w:p>
            <w:r>
              <w:rPr>
                <w:sz w:val="18"/>
              </w:rPr>
              <w:t>31,419</w:t>
            </w:r>
          </w:p>
        </w:tc>
        <w:tc>
          <w:tcPr>
            <w:tcW w:type="dxa" w:w="1128"/>
            <w:vAlign w:val="center"/>
          </w:tcPr>
          <w:p>
            <w:r>
              <w:rPr>
                <w:sz w:val="18"/>
              </w:rPr>
              <w:t>3,245,236</w:t>
            </w:r>
          </w:p>
        </w:tc>
        <w:tc>
          <w:tcPr>
            <w:tcW w:type="dxa" w:w="1128"/>
            <w:vAlign w:val="center"/>
          </w:tcPr>
          <w:p>
            <w:r>
              <w:rPr>
                <w:sz w:val="18"/>
              </w:rPr>
              <w:t>0.0774</w:t>
            </w:r>
          </w:p>
        </w:tc>
        <w:tc>
          <w:tcPr>
            <w:tcW w:type="dxa" w:w="1128"/>
            <w:vAlign w:val="center"/>
          </w:tcPr>
          <w:p>
            <w:r>
              <w:rPr>
                <w:sz w:val="18"/>
              </w:rPr>
              <w:t>7.99</w:t>
            </w:r>
          </w:p>
        </w:tc>
        <w:tc>
          <w:tcPr>
            <w:tcW w:type="dxa" w:w="1128"/>
            <w:vAlign w:val="center"/>
          </w:tcPr>
          <w:p>
            <w:r>
              <w:rPr>
                <w:sz w:val="18"/>
              </w:rPr>
              <w:t>103.24</w:t>
            </w:r>
          </w:p>
        </w:tc>
        <w:tc>
          <w:tcPr>
            <w:tcW w:type="dxa" w:w="1128"/>
            <w:vAlign w:val="center"/>
          </w:tcPr>
          <w:p>
            <w:r>
              <w:rPr>
                <w:sz w:val="18"/>
              </w:rPr>
              <w:t>1</w:t>
            </w:r>
          </w:p>
        </w:tc>
      </w:tr>
      <w:tr>
        <w:tc>
          <w:tcPr>
            <w:tcW w:type="dxa" w:w="1128"/>
            <w:vAlign w:val="center"/>
          </w:tcPr>
          <w:p>
            <w:r>
              <w:rPr>
                <w:sz w:val="18"/>
              </w:rPr>
              <w:t>Sep</w:t>
            </w:r>
          </w:p>
        </w:tc>
        <w:tc>
          <w:tcPr>
            <w:tcW w:type="dxa" w:w="1128"/>
            <w:vAlign w:val="center"/>
          </w:tcPr>
          <w:p>
            <w:r>
              <w:rPr>
                <w:sz w:val="18"/>
              </w:rPr>
              <w:t>406,423</w:t>
            </w:r>
          </w:p>
        </w:tc>
        <w:tc>
          <w:tcPr>
            <w:tcW w:type="dxa" w:w="1128"/>
            <w:vAlign w:val="center"/>
          </w:tcPr>
          <w:p>
            <w:r>
              <w:rPr>
                <w:sz w:val="18"/>
              </w:rPr>
              <w:t>35,413</w:t>
            </w:r>
          </w:p>
        </w:tc>
        <w:tc>
          <w:tcPr>
            <w:tcW w:type="dxa" w:w="1128"/>
            <w:vAlign w:val="center"/>
          </w:tcPr>
          <w:p>
            <w:r>
              <w:rPr>
                <w:sz w:val="18"/>
              </w:rPr>
              <w:t>3,319,003</w:t>
            </w:r>
          </w:p>
        </w:tc>
        <w:tc>
          <w:tcPr>
            <w:tcW w:type="dxa" w:w="1128"/>
            <w:vAlign w:val="center"/>
          </w:tcPr>
          <w:p>
            <w:r>
              <w:rPr>
                <w:sz w:val="18"/>
              </w:rPr>
              <w:t>0.0871</w:t>
            </w:r>
          </w:p>
        </w:tc>
        <w:tc>
          <w:tcPr>
            <w:tcW w:type="dxa" w:w="1128"/>
            <w:vAlign w:val="center"/>
          </w:tcPr>
          <w:p>
            <w:r>
              <w:rPr>
                <w:sz w:val="18"/>
              </w:rPr>
              <w:t>8.17</w:t>
            </w:r>
          </w:p>
        </w:tc>
        <w:tc>
          <w:tcPr>
            <w:tcW w:type="dxa" w:w="1128"/>
            <w:vAlign w:val="center"/>
          </w:tcPr>
          <w:p>
            <w:r>
              <w:rPr>
                <w:sz w:val="18"/>
              </w:rPr>
              <w:t>93.76</w:t>
            </w:r>
          </w:p>
        </w:tc>
        <w:tc>
          <w:tcPr>
            <w:tcW w:type="dxa" w:w="1128"/>
            <w:vAlign w:val="center"/>
          </w:tcPr>
          <w:p>
            <w:r>
              <w:rPr>
                <w:sz w:val="18"/>
              </w:rPr>
              <w:t>0</w:t>
            </w:r>
          </w:p>
        </w:tc>
      </w:tr>
      <w:tr>
        <w:tc>
          <w:tcPr>
            <w:tcW w:type="dxa" w:w="1128"/>
            <w:vAlign w:val="center"/>
          </w:tcPr>
          <w:p>
            <w:r>
              <w:rPr>
                <w:sz w:val="18"/>
              </w:rPr>
              <w:t>Oct</w:t>
            </w:r>
          </w:p>
        </w:tc>
        <w:tc>
          <w:tcPr>
            <w:tcW w:type="dxa" w:w="1128"/>
            <w:vAlign w:val="center"/>
          </w:tcPr>
          <w:p>
            <w:r>
              <w:rPr>
                <w:sz w:val="18"/>
              </w:rPr>
              <w:t>406,722</w:t>
            </w:r>
          </w:p>
        </w:tc>
        <w:tc>
          <w:tcPr>
            <w:tcW w:type="dxa" w:w="1128"/>
            <w:vAlign w:val="center"/>
          </w:tcPr>
          <w:p>
            <w:r>
              <w:rPr>
                <w:sz w:val="18"/>
              </w:rPr>
              <w:t>30,631</w:t>
            </w:r>
          </w:p>
        </w:tc>
        <w:tc>
          <w:tcPr>
            <w:tcW w:type="dxa" w:w="1128"/>
            <w:vAlign w:val="center"/>
          </w:tcPr>
          <w:p>
            <w:r>
              <w:rPr>
                <w:sz w:val="18"/>
              </w:rPr>
              <w:t>4,669,077</w:t>
            </w:r>
          </w:p>
        </w:tc>
        <w:tc>
          <w:tcPr>
            <w:tcW w:type="dxa" w:w="1128"/>
            <w:vAlign w:val="center"/>
          </w:tcPr>
          <w:p>
            <w:r>
              <w:rPr>
                <w:sz w:val="18"/>
              </w:rPr>
              <w:t>0.0753</w:t>
            </w:r>
          </w:p>
        </w:tc>
        <w:tc>
          <w:tcPr>
            <w:tcW w:type="dxa" w:w="1128"/>
            <w:vAlign w:val="center"/>
          </w:tcPr>
          <w:p>
            <w:r>
              <w:rPr>
                <w:sz w:val="18"/>
              </w:rPr>
              <w:t>11.48</w:t>
            </w:r>
          </w:p>
        </w:tc>
        <w:tc>
          <w:tcPr>
            <w:tcW w:type="dxa" w:w="1128"/>
            <w:vAlign w:val="center"/>
          </w:tcPr>
          <w:p>
            <w:r>
              <w:rPr>
                <w:sz w:val="18"/>
              </w:rPr>
              <w:t>152.45</w:t>
            </w:r>
          </w:p>
        </w:tc>
        <w:tc>
          <w:tcPr>
            <w:tcW w:type="dxa" w:w="1128"/>
            <w:vAlign w:val="center"/>
          </w:tcPr>
          <w:p>
            <w:r>
              <w:rPr>
                <w:sz w:val="18"/>
              </w:rPr>
              <w:t>0</w:t>
            </w:r>
          </w:p>
        </w:tc>
      </w:tr>
      <w:tr>
        <w:tc>
          <w:tcPr>
            <w:tcW w:type="dxa" w:w="1128"/>
            <w:vAlign w:val="center"/>
          </w:tcPr>
          <w:p>
            <w:r>
              <w:rPr>
                <w:sz w:val="18"/>
              </w:rPr>
              <w:t>Nov</w:t>
            </w:r>
          </w:p>
        </w:tc>
        <w:tc>
          <w:tcPr>
            <w:tcW w:type="dxa" w:w="1128"/>
            <w:vAlign w:val="center"/>
          </w:tcPr>
          <w:p>
            <w:r>
              <w:rPr>
                <w:sz w:val="18"/>
              </w:rPr>
              <w:t>407,031</w:t>
            </w:r>
          </w:p>
        </w:tc>
        <w:tc>
          <w:tcPr>
            <w:tcW w:type="dxa" w:w="1128"/>
            <w:vAlign w:val="center"/>
          </w:tcPr>
          <w:p>
            <w:r>
              <w:rPr>
                <w:sz w:val="18"/>
              </w:rPr>
              <w:t>18,896</w:t>
            </w:r>
          </w:p>
        </w:tc>
        <w:tc>
          <w:tcPr>
            <w:tcW w:type="dxa" w:w="1128"/>
            <w:vAlign w:val="center"/>
          </w:tcPr>
          <w:p>
            <w:r>
              <w:rPr>
                <w:sz w:val="18"/>
              </w:rPr>
              <w:t>1,702,462</w:t>
            </w:r>
          </w:p>
        </w:tc>
        <w:tc>
          <w:tcPr>
            <w:tcW w:type="dxa" w:w="1128"/>
            <w:vAlign w:val="center"/>
          </w:tcPr>
          <w:p>
            <w:r>
              <w:rPr>
                <w:sz w:val="18"/>
              </w:rPr>
              <w:t>0.0464</w:t>
            </w:r>
          </w:p>
        </w:tc>
        <w:tc>
          <w:tcPr>
            <w:tcW w:type="dxa" w:w="1128"/>
            <w:vAlign w:val="center"/>
          </w:tcPr>
          <w:p>
            <w:r>
              <w:rPr>
                <w:sz w:val="18"/>
              </w:rPr>
              <w:t>4.18</w:t>
            </w:r>
          </w:p>
        </w:tc>
        <w:tc>
          <w:tcPr>
            <w:tcW w:type="dxa" w:w="1128"/>
            <w:vAlign w:val="center"/>
          </w:tcPr>
          <w:p>
            <w:r>
              <w:rPr>
                <w:sz w:val="18"/>
              </w:rPr>
              <w:t>90.14</w:t>
            </w:r>
          </w:p>
        </w:tc>
        <w:tc>
          <w:tcPr>
            <w:tcW w:type="dxa" w:w="1128"/>
            <w:vAlign w:val="center"/>
          </w:tcPr>
          <w:p>
            <w:r>
              <w:rPr>
                <w:sz w:val="18"/>
              </w:rPr>
              <w:t>0</w:t>
            </w:r>
          </w:p>
        </w:tc>
      </w:tr>
      <w:tr>
        <w:tc>
          <w:tcPr>
            <w:tcW w:type="dxa" w:w="1128"/>
            <w:vAlign w:val="center"/>
          </w:tcPr>
          <w:p>
            <w:r>
              <w:rPr>
                <w:sz w:val="18"/>
              </w:rPr>
              <w:t>Dec</w:t>
            </w:r>
          </w:p>
        </w:tc>
        <w:tc>
          <w:tcPr>
            <w:tcW w:type="dxa" w:w="1128"/>
            <w:vAlign w:val="center"/>
          </w:tcPr>
          <w:p>
            <w:r>
              <w:rPr>
                <w:sz w:val="18"/>
              </w:rPr>
              <w:t>407,331</w:t>
            </w:r>
          </w:p>
        </w:tc>
        <w:tc>
          <w:tcPr>
            <w:tcW w:type="dxa" w:w="1128"/>
            <w:vAlign w:val="center"/>
          </w:tcPr>
          <w:p>
            <w:r>
              <w:rPr>
                <w:sz w:val="18"/>
              </w:rPr>
              <w:t>30,822</w:t>
            </w:r>
          </w:p>
        </w:tc>
        <w:tc>
          <w:tcPr>
            <w:tcW w:type="dxa" w:w="1128"/>
            <w:vAlign w:val="center"/>
          </w:tcPr>
          <w:p>
            <w:r>
              <w:rPr>
                <w:sz w:val="18"/>
              </w:rPr>
              <w:t>4,546,370</w:t>
            </w:r>
          </w:p>
        </w:tc>
        <w:tc>
          <w:tcPr>
            <w:tcW w:type="dxa" w:w="1128"/>
            <w:vAlign w:val="center"/>
          </w:tcPr>
          <w:p>
            <w:r>
              <w:rPr>
                <w:sz w:val="18"/>
              </w:rPr>
              <w:t>0.0757</w:t>
            </w:r>
          </w:p>
        </w:tc>
        <w:tc>
          <w:tcPr>
            <w:tcW w:type="dxa" w:w="1128"/>
            <w:vAlign w:val="center"/>
          </w:tcPr>
          <w:p>
            <w:r>
              <w:rPr>
                <w:sz w:val="18"/>
              </w:rPr>
              <w:t>11.16</w:t>
            </w:r>
          </w:p>
        </w:tc>
        <w:tc>
          <w:tcPr>
            <w:tcW w:type="dxa" w:w="1128"/>
            <w:vAlign w:val="center"/>
          </w:tcPr>
          <w:p>
            <w:r>
              <w:rPr>
                <w:sz w:val="18"/>
              </w:rPr>
              <w:t>147.44</w:t>
            </w:r>
          </w:p>
        </w:tc>
        <w:tc>
          <w:tcPr>
            <w:tcW w:type="dxa" w:w="1128"/>
            <w:vAlign w:val="center"/>
          </w:tcPr>
          <w:p>
            <w:r>
              <w:rPr>
                <w:sz w:val="18"/>
              </w:rPr>
              <w:t>1</w:t>
            </w:r>
          </w:p>
        </w:tc>
      </w:tr>
      <w:tr>
        <w:tc>
          <w:tcPr>
            <w:tcW w:type="dxa" w:w="1128"/>
            <w:vAlign w:val="center"/>
          </w:tcPr>
          <w:p>
            <w:r>
              <w:rPr>
                <w:sz w:val="18"/>
              </w:rPr>
              <w:t>Annual</w:t>
            </w:r>
          </w:p>
        </w:tc>
        <w:tc>
          <w:tcPr>
            <w:tcW w:type="dxa" w:w="1128"/>
            <w:vAlign w:val="center"/>
          </w:tcPr>
          <w:p>
            <w:r>
              <w:rPr>
                <w:sz w:val="18"/>
              </w:rPr>
              <w:t>405,805</w:t>
            </w:r>
          </w:p>
        </w:tc>
        <w:tc>
          <w:tcPr>
            <w:tcW w:type="dxa" w:w="1128"/>
            <w:vAlign w:val="center"/>
          </w:tcPr>
          <w:p>
            <w:r>
              <w:rPr>
                <w:sz w:val="18"/>
              </w:rPr>
              <w:t>445,864</w:t>
            </w:r>
          </w:p>
        </w:tc>
        <w:tc>
          <w:tcPr>
            <w:tcW w:type="dxa" w:w="1128"/>
            <w:vAlign w:val="center"/>
          </w:tcPr>
          <w:p>
            <w:r>
              <w:rPr>
                <w:sz w:val="18"/>
              </w:rPr>
              <w:t>56,125,189</w:t>
            </w:r>
          </w:p>
        </w:tc>
        <w:tc>
          <w:tcPr>
            <w:tcW w:type="dxa" w:w="1128"/>
            <w:vAlign w:val="center"/>
          </w:tcPr>
          <w:p>
            <w:r>
              <w:rPr>
                <w:sz w:val="18"/>
              </w:rPr>
              <w:t>1.0987</w:t>
            </w:r>
          </w:p>
        </w:tc>
        <w:tc>
          <w:tcPr>
            <w:tcW w:type="dxa" w:w="1128"/>
            <w:vAlign w:val="center"/>
          </w:tcPr>
          <w:p>
            <w:r>
              <w:rPr>
                <w:sz w:val="18"/>
              </w:rPr>
              <w:t>138.31</w:t>
            </w:r>
          </w:p>
        </w:tc>
        <w:tc>
          <w:tcPr>
            <w:tcW w:type="dxa" w:w="1128"/>
            <w:vAlign w:val="center"/>
          </w:tcPr>
          <w:p>
            <w:r>
              <w:rPr>
                <w:sz w:val="18"/>
              </w:rPr>
              <w:t>125.88</w:t>
            </w:r>
          </w:p>
        </w:tc>
        <w:tc>
          <w:tcPr>
            <w:tcW w:type="dxa" w:w="1128"/>
            <w:vAlign w:val="center"/>
          </w:tcPr>
          <w:p>
            <w:r>
              <w:rPr>
                <w:sz w:val="18"/>
              </w:rPr>
              <w:t>5</w:t>
            </w:r>
          </w:p>
        </w:tc>
      </w:tr>
    </w:tbl>
    <w:p>
      <w:r>
        <w:rPr>
          <w:sz w:val="20"/>
        </w:rPr>
      </w:r>
      <w:r>
        <w:rPr>
          <w:b/>
          <w:sz w:val="20"/>
        </w:rPr>
        <w:t>Table 15-C: Vegetation Cause Contribution to 2024 SAIFI/SAIDI (With MED, Preliminary)</w:t>
      </w:r>
      <w:r>
        <w:rPr>
          <w:sz w:val="20"/>
        </w:rPr>
      </w:r>
    </w:p>
    <w:tbl>
      <w:tblPr>
        <w:tblStyle w:val="TableGrid"/>
        <w:tblW w:type="auto" w:w="0"/>
        <w:tblLook w:firstColumn="1" w:firstRow="1" w:lastColumn="0" w:lastRow="0" w:noHBand="0" w:noVBand="1" w:val="04A0"/>
      </w:tblPr>
      <w:tblGrid>
        <w:gridCol w:w="3009"/>
        <w:gridCol w:w="3009"/>
        <w:gridCol w:w="3009"/>
      </w:tblGrid>
      <w:tr>
        <w:tc>
          <w:tcPr>
            <w:tcW w:type="dxa" w:w="3009"/>
            <w:vAlign w:val="center"/>
            <w:shd w:val="clear" w:color="auto" w:fill="D9E1F2"/>
          </w:tcPr>
          <w:p>
            <w:r>
              <w:rPr>
                <w:b/>
                <w:sz w:val="18"/>
              </w:rPr>
              <w:t>Metric</w:t>
            </w:r>
          </w:p>
        </w:tc>
        <w:tc>
          <w:tcPr>
            <w:tcW w:type="dxa" w:w="3009"/>
            <w:vAlign w:val="center"/>
            <w:shd w:val="clear" w:color="auto" w:fill="D9E1F2"/>
          </w:tcPr>
          <w:p>
            <w:r>
              <w:rPr>
                <w:b/>
                <w:sz w:val="18"/>
              </w:rPr>
              <w:t>Vegetation Total</w:t>
            </w:r>
          </w:p>
        </w:tc>
        <w:tc>
          <w:tcPr>
            <w:tcW w:type="dxa" w:w="3009"/>
            <w:vAlign w:val="center"/>
            <w:shd w:val="clear" w:color="auto" w:fill="D9E1F2"/>
          </w:tcPr>
          <w:p>
            <w:r>
              <w:rPr>
                <w:b/>
                <w:sz w:val="18"/>
              </w:rPr>
              <w:t>% of System (with MED)</w:t>
            </w:r>
          </w:p>
        </w:tc>
      </w:tr>
      <w:tr>
        <w:tc>
          <w:tcPr>
            <w:tcW w:type="dxa" w:w="3009"/>
            <w:vAlign w:val="center"/>
          </w:tcPr>
          <w:p>
            <w:r>
              <w:rPr>
                <w:sz w:val="18"/>
              </w:rPr>
              <w:t>CI (customer-interruptions)</w:t>
            </w:r>
          </w:p>
        </w:tc>
        <w:tc>
          <w:tcPr>
            <w:tcW w:type="dxa" w:w="3009"/>
            <w:vAlign w:val="center"/>
          </w:tcPr>
          <w:p>
            <w:r>
              <w:rPr>
                <w:sz w:val="18"/>
              </w:rPr>
              <w:t>213,856</w:t>
            </w:r>
          </w:p>
        </w:tc>
        <w:tc>
          <w:tcPr>
            <w:tcW w:type="dxa" w:w="3009"/>
            <w:vAlign w:val="center"/>
          </w:tcPr>
          <w:p>
            <w:r>
              <w:rPr>
                <w:sz w:val="18"/>
              </w:rPr>
              <w:t>33.5%</w:t>
            </w:r>
          </w:p>
        </w:tc>
      </w:tr>
      <w:tr>
        <w:tc>
          <w:tcPr>
            <w:tcW w:type="dxa" w:w="3009"/>
            <w:vAlign w:val="center"/>
          </w:tcPr>
          <w:p>
            <w:r>
              <w:rPr>
                <w:sz w:val="18"/>
              </w:rPr>
              <w:t>CMI (customer-minutes)</w:t>
            </w:r>
          </w:p>
        </w:tc>
        <w:tc>
          <w:tcPr>
            <w:tcW w:type="dxa" w:w="3009"/>
            <w:vAlign w:val="center"/>
          </w:tcPr>
          <w:p>
            <w:r>
              <w:rPr>
                <w:sz w:val="18"/>
              </w:rPr>
              <w:t>40,238,410</w:t>
            </w:r>
          </w:p>
        </w:tc>
        <w:tc>
          <w:tcPr>
            <w:tcW w:type="dxa" w:w="3009"/>
            <w:vAlign w:val="center"/>
          </w:tcPr>
          <w:p>
            <w:r>
              <w:rPr>
                <w:sz w:val="18"/>
              </w:rPr>
              <w:t>37.8%</w:t>
            </w:r>
          </w:p>
        </w:tc>
      </w:tr>
      <w:tr>
        <w:tc>
          <w:tcPr>
            <w:tcW w:type="dxa" w:w="3009"/>
            <w:vAlign w:val="center"/>
          </w:tcPr>
          <w:p>
            <w:r>
              <w:rPr>
                <w:sz w:val="18"/>
              </w:rPr>
              <w:t>SAIFI</w:t>
            </w:r>
          </w:p>
        </w:tc>
        <w:tc>
          <w:tcPr>
            <w:tcW w:type="dxa" w:w="3009"/>
            <w:vAlign w:val="center"/>
          </w:tcPr>
          <w:p>
            <w:r>
              <w:rPr>
                <w:sz w:val="18"/>
              </w:rPr>
              <w:t>0.5270</w:t>
            </w:r>
          </w:p>
        </w:tc>
        <w:tc>
          <w:tcPr>
            <w:tcW w:type="dxa" w:w="3009"/>
            <w:vAlign w:val="center"/>
          </w:tcPr>
          <w:p>
            <w:r>
              <w:rPr>
                <w:sz w:val="18"/>
              </w:rPr>
              <w:t>—</w:t>
            </w:r>
          </w:p>
        </w:tc>
      </w:tr>
      <w:tr>
        <w:tc>
          <w:tcPr>
            <w:tcW w:type="dxa" w:w="3009"/>
            <w:vAlign w:val="center"/>
          </w:tcPr>
          <w:p>
            <w:r>
              <w:rPr>
                <w:sz w:val="18"/>
              </w:rPr>
              <w:t>SAIDI</w:t>
            </w:r>
          </w:p>
        </w:tc>
        <w:tc>
          <w:tcPr>
            <w:tcW w:type="dxa" w:w="3009"/>
            <w:vAlign w:val="center"/>
          </w:tcPr>
          <w:p>
            <w:r>
              <w:rPr>
                <w:sz w:val="18"/>
              </w:rPr>
              <w:t>99.16 min/customer</w:t>
            </w:r>
          </w:p>
        </w:tc>
        <w:tc>
          <w:tcPr>
            <w:tcW w:type="dxa" w:w="3009"/>
            <w:vAlign w:val="center"/>
          </w:tcPr>
          <w:p>
            <w:r>
              <w:rPr>
                <w:sz w:val="18"/>
              </w:rPr>
              <w:t>—</w:t>
            </w:r>
          </w:p>
        </w:tc>
      </w:tr>
      <w:tr>
        <w:tc>
          <w:tcPr>
            <w:tcW w:type="dxa" w:w="3009"/>
            <w:vAlign w:val="center"/>
          </w:tcPr>
          <w:p>
            <w:r>
              <w:rPr>
                <w:sz w:val="18"/>
              </w:rPr>
              <w:t>Inside-ROW CI</w:t>
            </w:r>
          </w:p>
        </w:tc>
        <w:tc>
          <w:tcPr>
            <w:tcW w:type="dxa" w:w="3009"/>
            <w:vAlign w:val="center"/>
          </w:tcPr>
          <w:p>
            <w:r>
              <w:rPr>
                <w:sz w:val="18"/>
              </w:rPr>
              <w:t>127,457</w:t>
            </w:r>
          </w:p>
        </w:tc>
        <w:tc>
          <w:tcPr>
            <w:tcW w:type="dxa" w:w="3009"/>
            <w:vAlign w:val="center"/>
          </w:tcPr>
          <w:p>
            <w:r>
              <w:rPr>
                <w:sz w:val="18"/>
              </w:rPr>
              <w:t>59.6% of veg CI</w:t>
            </w:r>
          </w:p>
        </w:tc>
      </w:tr>
      <w:tr>
        <w:tc>
          <w:tcPr>
            <w:tcW w:type="dxa" w:w="3009"/>
            <w:vAlign w:val="center"/>
          </w:tcPr>
          <w:p>
            <w:r>
              <w:rPr>
                <w:sz w:val="18"/>
              </w:rPr>
              <w:t>Outside-ROW CI</w:t>
            </w:r>
          </w:p>
        </w:tc>
        <w:tc>
          <w:tcPr>
            <w:tcW w:type="dxa" w:w="3009"/>
            <w:vAlign w:val="center"/>
          </w:tcPr>
          <w:p>
            <w:r>
              <w:rPr>
                <w:sz w:val="18"/>
              </w:rPr>
              <w:t>44,526</w:t>
            </w:r>
          </w:p>
        </w:tc>
        <w:tc>
          <w:tcPr>
            <w:tcW w:type="dxa" w:w="3009"/>
            <w:vAlign w:val="center"/>
          </w:tcPr>
          <w:p>
            <w:r>
              <w:rPr>
                <w:sz w:val="18"/>
              </w:rPr>
              <w:t>20.8% of veg CI</w:t>
            </w:r>
          </w:p>
        </w:tc>
      </w:tr>
    </w:tbl>
    <w:p>
      <w:pPr>
        <w:spacing w:before="120" w:after="120"/>
        <w:pBdr>
          <w:bottom w:val="single" w:sz="6" w:space="1" w:color="AAAAAA"/>
        </w:pBdr>
      </w:pPr>
    </w:p>
    <w:p>
      <w:pPr>
        <w:pStyle w:val="Heading2"/>
      </w:pPr>
      <w:r>
        <w:rPr>
          <w:color w:val="1F3864"/>
          <w:sz w:val="32"/>
        </w:rPr>
        <w:t>16. Worst-Performing Circuits Review</w:t>
      </w:r>
    </w:p>
    <w:p>
      <w:pPr>
        <w:pStyle w:val="Heading3"/>
      </w:pPr>
      <w:r>
        <w:rPr>
          <w:sz w:val="28"/>
        </w:rPr>
        <w:t>16.1 Process</w:t>
      </w:r>
    </w:p>
    <w:p>
      <w:r>
        <w:rPr>
          <w:sz w:val="20"/>
        </w:rPr>
        <w:t>Company practice: The DCC Manager (P23) compiles and presents a worst-performing circuits analysis to the Director, Distribution Operations (P21) quarterly. The analysis uses ex-MED data for the trailing 12 months.</w:t>
      </w:r>
    </w:p>
    <w:p>
      <w:pPr>
        <w:pStyle w:val="Heading3"/>
      </w:pPr>
      <w:r>
        <w:rPr>
          <w:sz w:val="28"/>
        </w:rPr>
        <w:t>16.2 Top 10 Worst-Performing Circuits — 2024 (Preliminary, Ex-MED)</w:t>
      </w:r>
    </w:p>
    <w:p>
      <w:r>
        <w:rPr>
          <w:sz w:val="20"/>
        </w:rPr>
      </w:r>
      <w:r>
        <w:rPr>
          <w:b/>
          <w:sz w:val="20"/>
        </w:rPr>
        <w:t>Note:</w:t>
      </w:r>
      <w:r>
        <w:rPr>
          <w:sz w:val="20"/>
        </w:rPr>
        <w:t xml:space="preserve"> Circuit rankings are based on customer-interruptions (CI) ex-MED from the 2024 outage events dataset (data extracted 2025-02-10).</w:t>
      </w:r>
    </w:p>
    <w:tbl>
      <w:tblPr>
        <w:tblStyle w:val="TableGrid"/>
        <w:tblW w:type="auto" w:w="0"/>
        <w:tblLook w:firstColumn="1" w:firstRow="1" w:lastColumn="0" w:lastRow="0" w:noHBand="0" w:noVBand="1" w:val="04A0"/>
      </w:tblPr>
      <w:tblGrid>
        <w:gridCol w:w="1128"/>
        <w:gridCol w:w="1128"/>
        <w:gridCol w:w="1128"/>
        <w:gridCol w:w="1128"/>
        <w:gridCol w:w="1128"/>
        <w:gridCol w:w="1128"/>
        <w:gridCol w:w="1128"/>
        <w:gridCol w:w="1128"/>
      </w:tblGrid>
      <w:tr>
        <w:tc>
          <w:tcPr>
            <w:tcW w:type="dxa" w:w="1128"/>
            <w:vAlign w:val="center"/>
            <w:shd w:val="clear" w:color="auto" w:fill="D9E1F2"/>
          </w:tcPr>
          <w:p>
            <w:r>
              <w:rPr>
                <w:b/>
                <w:sz w:val="18"/>
              </w:rPr>
              <w:t>Rank</w:t>
            </w:r>
          </w:p>
        </w:tc>
        <w:tc>
          <w:tcPr>
            <w:tcW w:type="dxa" w:w="1128"/>
            <w:vAlign w:val="center"/>
            <w:shd w:val="clear" w:color="auto" w:fill="D9E1F2"/>
          </w:tcPr>
          <w:p>
            <w:r>
              <w:rPr>
                <w:b/>
                <w:sz w:val="18"/>
              </w:rPr>
              <w:t>Circuit ID</w:t>
            </w:r>
          </w:p>
        </w:tc>
        <w:tc>
          <w:tcPr>
            <w:tcW w:type="dxa" w:w="1128"/>
            <w:vAlign w:val="center"/>
            <w:shd w:val="clear" w:color="auto" w:fill="D9E1F2"/>
          </w:tcPr>
          <w:p>
            <w:r>
              <w:rPr>
                <w:b/>
                <w:sz w:val="18"/>
              </w:rPr>
              <w:t>Service Center</w:t>
            </w:r>
          </w:p>
        </w:tc>
        <w:tc>
          <w:tcPr>
            <w:tcW w:type="dxa" w:w="1128"/>
            <w:vAlign w:val="center"/>
            <w:shd w:val="clear" w:color="auto" w:fill="D9E1F2"/>
          </w:tcPr>
          <w:p>
            <w:r>
              <w:rPr>
                <w:b/>
                <w:sz w:val="18"/>
              </w:rPr>
              <w:t>County</w:t>
            </w:r>
          </w:p>
        </w:tc>
        <w:tc>
          <w:tcPr>
            <w:tcW w:type="dxa" w:w="1128"/>
            <w:vAlign w:val="center"/>
            <w:shd w:val="clear" w:color="auto" w:fill="D9E1F2"/>
          </w:tcPr>
          <w:p>
            <w:r>
              <w:rPr>
                <w:b/>
                <w:sz w:val="18"/>
              </w:rPr>
              <w:t>CI (ex-MED)</w:t>
            </w:r>
          </w:p>
        </w:tc>
        <w:tc>
          <w:tcPr>
            <w:tcW w:type="dxa" w:w="1128"/>
            <w:vAlign w:val="center"/>
            <w:shd w:val="clear" w:color="auto" w:fill="D9E1F2"/>
          </w:tcPr>
          <w:p>
            <w:r>
              <w:rPr>
                <w:b/>
                <w:sz w:val="18"/>
              </w:rPr>
              <w:t>CMI (ex-MED)</w:t>
            </w:r>
          </w:p>
        </w:tc>
        <w:tc>
          <w:tcPr>
            <w:tcW w:type="dxa" w:w="1128"/>
            <w:vAlign w:val="center"/>
            <w:shd w:val="clear" w:color="auto" w:fill="D9E1F2"/>
          </w:tcPr>
          <w:p>
            <w:r>
              <w:rPr>
                <w:b/>
                <w:sz w:val="18"/>
              </w:rPr>
              <w:t>Primary Cause</w:t>
            </w:r>
          </w:p>
        </w:tc>
        <w:tc>
          <w:tcPr>
            <w:tcW w:type="dxa" w:w="1128"/>
            <w:vAlign w:val="center"/>
            <w:shd w:val="clear" w:color="auto" w:fill="D9E1F2"/>
          </w:tcPr>
          <w:p>
            <w:r>
              <w:rPr>
                <w:b/>
                <w:sz w:val="18"/>
              </w:rPr>
              <w:t>Action Plan Status</w:t>
            </w:r>
          </w:p>
        </w:tc>
      </w:tr>
      <w:tr>
        <w:tc>
          <w:tcPr>
            <w:tcW w:type="dxa" w:w="1128"/>
            <w:vAlign w:val="center"/>
          </w:tcPr>
          <w:p>
            <w:r>
              <w:rPr>
                <w:sz w:val="18"/>
              </w:rPr>
              <w:t>1</w:t>
            </w:r>
          </w:p>
        </w:tc>
        <w:tc>
          <w:tcPr>
            <w:tcW w:type="dxa" w:w="1128"/>
            <w:vAlign w:val="center"/>
          </w:tcPr>
          <w:p>
            <w:r>
              <w:rPr>
                <w:sz w:val="18"/>
              </w:rPr>
              <w:t>THT-001-1</w:t>
            </w:r>
          </w:p>
        </w:tc>
        <w:tc>
          <w:tcPr>
            <w:tcW w:type="dxa" w:w="1128"/>
            <w:vAlign w:val="center"/>
          </w:tcPr>
          <w:p>
            <w:r>
              <w:rPr>
                <w:sz w:val="18"/>
              </w:rPr>
              <w:t>THT</w:t>
            </w:r>
          </w:p>
        </w:tc>
        <w:tc>
          <w:tcPr>
            <w:tcW w:type="dxa" w:w="1128"/>
            <w:vAlign w:val="center"/>
          </w:tcPr>
          <w:p>
            <w:r>
              <w:rPr>
                <w:sz w:val="18"/>
              </w:rPr>
              <w:t>Vigo</w:t>
            </w:r>
          </w:p>
        </w:tc>
        <w:tc>
          <w:tcPr>
            <w:tcW w:type="dxa" w:w="1128"/>
            <w:vAlign w:val="center"/>
          </w:tcPr>
          <w:p>
            <w:r>
              <w:rPr>
                <w:sz w:val="18"/>
              </w:rPr>
              <w:t>(from dataset)</w:t>
            </w:r>
          </w:p>
        </w:tc>
        <w:tc>
          <w:tcPr>
            <w:tcW w:type="dxa" w:w="1128"/>
            <w:vAlign w:val="center"/>
          </w:tcPr>
          <w:p>
            <w:r>
              <w:rPr>
                <w:sz w:val="18"/>
              </w:rPr>
              <w:t>(from dataset)</w:t>
            </w:r>
          </w:p>
        </w:tc>
        <w:tc>
          <w:tcPr>
            <w:tcW w:type="dxa" w:w="1128"/>
            <w:vAlign w:val="center"/>
          </w:tcPr>
          <w:p>
            <w:r>
              <w:rPr>
                <w:sz w:val="18"/>
              </w:rPr>
              <w:t>vegetation</w:t>
            </w:r>
          </w:p>
        </w:tc>
        <w:tc>
          <w:tcPr>
            <w:tcW w:type="dxa" w:w="1128"/>
            <w:vAlign w:val="center"/>
          </w:tcPr>
          <w:p>
            <w:r>
              <w:rPr>
                <w:sz w:val="18"/>
              </w:rPr>
              <w:t>In vegetation cycle plan RPL-DO-PLN-002</w:t>
            </w:r>
          </w:p>
        </w:tc>
      </w:tr>
      <w:tr>
        <w:tc>
          <w:tcPr>
            <w:tcW w:type="dxa" w:w="1128"/>
            <w:vAlign w:val="center"/>
          </w:tcPr>
          <w:p>
            <w:r>
              <w:rPr>
                <w:sz w:val="18"/>
              </w:rPr>
              <w:t>2</w:t>
            </w:r>
          </w:p>
        </w:tc>
        <w:tc>
          <w:tcPr>
            <w:tcW w:type="dxa" w:w="1128"/>
            <w:vAlign w:val="center"/>
          </w:tcPr>
          <w:p>
            <w:r>
              <w:rPr>
                <w:sz w:val="18"/>
              </w:rPr>
              <w:t>LAF-003-2</w:t>
            </w:r>
          </w:p>
        </w:tc>
        <w:tc>
          <w:tcPr>
            <w:tcW w:type="dxa" w:w="1128"/>
            <w:vAlign w:val="center"/>
          </w:tcPr>
          <w:p>
            <w:r>
              <w:rPr>
                <w:sz w:val="18"/>
              </w:rPr>
              <w:t>LAF</w:t>
            </w:r>
          </w:p>
        </w:tc>
        <w:tc>
          <w:tcPr>
            <w:tcW w:type="dxa" w:w="1128"/>
            <w:vAlign w:val="center"/>
          </w:tcPr>
          <w:p>
            <w:r>
              <w:rPr>
                <w:sz w:val="18"/>
              </w:rPr>
              <w:t>Tippecanoe</w:t>
            </w:r>
          </w:p>
        </w:tc>
        <w:tc>
          <w:tcPr>
            <w:tcW w:type="dxa" w:w="1128"/>
            <w:vAlign w:val="center"/>
          </w:tcPr>
          <w:p>
            <w:r>
              <w:rPr>
                <w:sz w:val="18"/>
              </w:rPr>
              <w:t>(from dataset)</w:t>
            </w:r>
          </w:p>
        </w:tc>
        <w:tc>
          <w:tcPr>
            <w:tcW w:type="dxa" w:w="1128"/>
            <w:vAlign w:val="center"/>
          </w:tcPr>
          <w:p>
            <w:r>
              <w:rPr>
                <w:sz w:val="18"/>
              </w:rPr>
              <w:t>(from dataset)</w:t>
            </w:r>
          </w:p>
        </w:tc>
        <w:tc>
          <w:tcPr>
            <w:tcW w:type="dxa" w:w="1128"/>
            <w:vAlign w:val="center"/>
          </w:tcPr>
          <w:p>
            <w:r>
              <w:rPr>
                <w:sz w:val="18"/>
              </w:rPr>
              <w:t>equipment</w:t>
            </w:r>
          </w:p>
        </w:tc>
        <w:tc>
          <w:tcPr>
            <w:tcW w:type="dxa" w:w="1128"/>
            <w:vAlign w:val="center"/>
          </w:tcPr>
          <w:p>
            <w:r>
              <w:rPr>
                <w:sz w:val="18"/>
              </w:rPr>
              <w:t>Conductor replacement scheduled Q3 2025</w:t>
            </w:r>
          </w:p>
        </w:tc>
      </w:tr>
      <w:tr>
        <w:tc>
          <w:tcPr>
            <w:tcW w:type="dxa" w:w="1128"/>
            <w:vAlign w:val="center"/>
          </w:tcPr>
          <w:p>
            <w:r>
              <w:rPr>
                <w:sz w:val="18"/>
              </w:rPr>
              <w:t>3</w:t>
            </w:r>
          </w:p>
        </w:tc>
        <w:tc>
          <w:tcPr>
            <w:tcW w:type="dxa" w:w="1128"/>
            <w:vAlign w:val="center"/>
          </w:tcPr>
          <w:p>
            <w:r>
              <w:rPr>
                <w:sz w:val="18"/>
              </w:rPr>
              <w:t>CRW-005-1</w:t>
            </w:r>
          </w:p>
        </w:tc>
        <w:tc>
          <w:tcPr>
            <w:tcW w:type="dxa" w:w="1128"/>
            <w:vAlign w:val="center"/>
          </w:tcPr>
          <w:p>
            <w:r>
              <w:rPr>
                <w:sz w:val="18"/>
              </w:rPr>
              <w:t>CRW</w:t>
            </w:r>
          </w:p>
        </w:tc>
        <w:tc>
          <w:tcPr>
            <w:tcW w:type="dxa" w:w="1128"/>
            <w:vAlign w:val="center"/>
          </w:tcPr>
          <w:p>
            <w:r>
              <w:rPr>
                <w:sz w:val="18"/>
              </w:rPr>
              <w:t>Montgomery</w:t>
            </w:r>
          </w:p>
        </w:tc>
        <w:tc>
          <w:tcPr>
            <w:tcW w:type="dxa" w:w="1128"/>
            <w:vAlign w:val="center"/>
          </w:tcPr>
          <w:p>
            <w:r>
              <w:rPr>
                <w:sz w:val="18"/>
              </w:rPr>
              <w:t>(from dataset)</w:t>
            </w:r>
          </w:p>
        </w:tc>
        <w:tc>
          <w:tcPr>
            <w:tcW w:type="dxa" w:w="1128"/>
            <w:vAlign w:val="center"/>
          </w:tcPr>
          <w:p>
            <w:r>
              <w:rPr>
                <w:sz w:val="18"/>
              </w:rPr>
              <w:t>(from dataset)</w:t>
            </w:r>
          </w:p>
        </w:tc>
        <w:tc>
          <w:tcPr>
            <w:tcW w:type="dxa" w:w="1128"/>
            <w:vAlign w:val="center"/>
          </w:tcPr>
          <w:p>
            <w:r>
              <w:rPr>
                <w:sz w:val="18"/>
              </w:rPr>
              <w:t>vegetation</w:t>
            </w:r>
          </w:p>
        </w:tc>
        <w:tc>
          <w:tcPr>
            <w:tcW w:type="dxa" w:w="1128"/>
            <w:vAlign w:val="center"/>
          </w:tcPr>
          <w:p>
            <w:r>
              <w:rPr>
                <w:sz w:val="18"/>
              </w:rPr>
              <w:t>Priority trim block 2025-A</w:t>
            </w:r>
          </w:p>
        </w:tc>
      </w:tr>
      <w:tr>
        <w:tc>
          <w:tcPr>
            <w:tcW w:type="dxa" w:w="1128"/>
            <w:vAlign w:val="center"/>
          </w:tcPr>
          <w:p>
            <w:r>
              <w:rPr>
                <w:sz w:val="18"/>
              </w:rPr>
              <w:t>4–10</w:t>
            </w:r>
          </w:p>
        </w:tc>
        <w:tc>
          <w:tcPr>
            <w:tcW w:type="dxa" w:w="1128"/>
            <w:vAlign w:val="center"/>
          </w:tcPr>
          <w:p>
            <w:r>
              <w:rPr>
                <w:sz w:val="18"/>
              </w:rPr>
              <w:t>(circuit detail in data/outage_events_2024-01-01_2025-01-31.csv)</w:t>
            </w:r>
          </w:p>
        </w:tc>
        <w:tc>
          <w:tcPr>
            <w:tcW w:type="dxa" w:w="1128"/>
            <w:vAlign w:val="center"/>
          </w:tcPr>
          <w:p>
            <w:r>
              <w:rPr>
                <w:sz w:val="18"/>
              </w:rPr>
              <w:t>—</w:t>
            </w:r>
          </w:p>
        </w:tc>
        <w:tc>
          <w:tcPr>
            <w:tcW w:type="dxa" w:w="1128"/>
            <w:vAlign w:val="center"/>
          </w:tcPr>
          <w:p>
            <w:r>
              <w:rPr>
                <w:sz w:val="18"/>
              </w:rPr>
              <w:t>—</w:t>
            </w:r>
          </w:p>
        </w:tc>
        <w:tc>
          <w:tcPr>
            <w:tcW w:type="dxa" w:w="1128"/>
            <w:vAlign w:val="center"/>
          </w:tcPr>
          <w:p>
            <w:r>
              <w:rPr>
                <w:sz w:val="18"/>
              </w:rPr>
              <w:t>—</w:t>
            </w:r>
          </w:p>
        </w:tc>
        <w:tc>
          <w:tcPr>
            <w:tcW w:type="dxa" w:w="1128"/>
            <w:vAlign w:val="center"/>
          </w:tcPr>
          <w:p>
            <w:r>
              <w:rPr>
                <w:sz w:val="18"/>
              </w:rPr>
              <w:t>—</w:t>
            </w:r>
          </w:p>
        </w:tc>
        <w:tc>
          <w:tcPr>
            <w:tcW w:type="dxa" w:w="1128"/>
            <w:vAlign w:val="center"/>
          </w:tcPr>
          <w:p>
            <w:r>
              <w:rPr>
                <w:sz w:val="18"/>
              </w:rPr>
              <w:t>—</w:t>
            </w:r>
          </w:p>
        </w:tc>
        <w:tc>
          <w:tcPr>
            <w:tcW w:type="dxa" w:w="1128"/>
            <w:vAlign w:val="center"/>
          </w:tcPr>
          <w:p>
            <w:r>
              <w:rPr>
                <w:sz w:val="18"/>
              </w:rPr>
              <w:t>Per quarterly review</w:t>
            </w:r>
          </w:p>
        </w:tc>
      </w:tr>
    </w:tbl>
    <w:p>
      <w:r>
        <w:rPr>
          <w:sz w:val="20"/>
        </w:rPr>
        <w:t>Internal performance target: Circuits in the worst-performing top 10 for two consecutive years trigger a root-cause investigation and a corrective action plan filed in WAM.</w:t>
      </w:r>
    </w:p>
    <w:p>
      <w:pPr>
        <w:pStyle w:val="Heading3"/>
      </w:pPr>
      <w:r>
        <w:rPr>
          <w:sz w:val="28"/>
        </w:rPr>
        <w:t>16.3 Link to Vegetation Management</w:t>
      </w:r>
    </w:p>
    <w:p>
      <w:r>
        <w:rPr>
          <w:sz w:val="20"/>
        </w:rPr>
        <w:t>Circuits with vegetation as the primary cause are referred to the Vegetation Management Program (RPL-DO-PLN-002) for priority trim scheduling. The DCC Manager (P23) provides the monthly extract per §17 to the Manager, Vegetation Management Program (P22).</w:t>
      </w:r>
    </w:p>
    <w:p>
      <w:pPr>
        <w:spacing w:before="120" w:after="120"/>
        <w:pBdr>
          <w:bottom w:val="single" w:sz="6" w:space="1" w:color="AAAAAA"/>
        </w:pBdr>
      </w:pPr>
    </w:p>
    <w:p>
      <w:pPr>
        <w:pStyle w:val="Heading2"/>
      </w:pPr>
      <w:r>
        <w:rPr>
          <w:color w:val="1F3864"/>
          <w:sz w:val="32"/>
        </w:rPr>
        <w:t>17. Tree-Related Outage Data Handoff</w:t>
      </w:r>
    </w:p>
    <w:p>
      <w:pPr>
        <w:pStyle w:val="Heading3"/>
      </w:pPr>
      <w:r>
        <w:rPr>
          <w:sz w:val="28"/>
        </w:rPr>
        <w:t>17.1 Annual Reporting Obligation</w:t>
      </w:r>
    </w:p>
    <w:p>
      <w:r>
        <w:rPr>
          <w:sz w:val="20"/>
        </w:rPr>
        <w:t xml:space="preserve">A utility shall file a separate report regarding tree-related outages </w:t>
      </w:r>
      <w:r>
        <w:rPr>
          <w:b/>
          <w:sz w:val="20"/>
        </w:rPr>
        <w:t>by March 31 annually</w:t>
      </w:r>
      <w:r>
        <w:rPr>
          <w:sz w:val="20"/>
        </w:rPr>
        <w:t xml:space="preserve"> and whenever the utility makes a change to its vegetation management plan. The report shall include: (170 IAC 4-9-7(g))</w:t>
      </w:r>
    </w:p>
    <w:p>
      <w:pPr>
        <w:pStyle w:val="ListNumber"/>
      </w:pPr>
      <w:r>
        <w:rPr>
          <w:sz w:val="20"/>
        </w:rPr>
        <w:t>The utility's vegetation management budget;</w:t>
      </w:r>
    </w:p>
    <w:p>
      <w:pPr>
        <w:pStyle w:val="ListNumber"/>
      </w:pPr>
      <w:r>
        <w:rPr>
          <w:sz w:val="20"/>
        </w:rPr>
        <w:t>Actual expenditures for the prior calendar year;</w:t>
      </w:r>
    </w:p>
    <w:p>
      <w:pPr>
        <w:pStyle w:val="ListNumber"/>
      </w:pPr>
      <w:r>
        <w:rPr>
          <w:sz w:val="20"/>
        </w:rPr>
        <w:t>The number of customer complaints related to tree trimming;</w:t>
      </w:r>
    </w:p>
    <w:p>
      <w:pPr>
        <w:pStyle w:val="ListNumber"/>
      </w:pPr>
      <w:r>
        <w:rPr>
          <w:sz w:val="20"/>
        </w:rPr>
        <w:t>The manner in which complaints were addressed or resolved;</w:t>
      </w:r>
    </w:p>
    <w:p>
      <w:pPr>
        <w:pStyle w:val="ListNumber"/>
      </w:pPr>
      <w:r>
        <w:rPr>
          <w:sz w:val="20"/>
        </w:rPr>
        <w:t>Tree-related outages as a percentage of total outages.</w:t>
      </w:r>
    </w:p>
    <w:p>
      <w:r>
        <w:rPr>
          <w:sz w:val="20"/>
        </w:rPr>
        <w:t>This report is prepared by the Manager, Vegetation Management Program (P22) from the data extract described in §17.2, using the annual filing procedures in RPL-DO-PLN-002.</w:t>
      </w:r>
    </w:p>
    <w:p>
      <w:pPr>
        <w:pStyle w:val="Heading3"/>
      </w:pPr>
      <w:r>
        <w:rPr>
          <w:sz w:val="28"/>
        </w:rPr>
        <w:t>17.2 Monthly Extract Protocol</w:t>
      </w:r>
    </w:p>
    <w:p>
      <w:pPr>
        <w:pStyle w:val="ListNumber"/>
      </w:pPr>
      <w:r>
        <w:rPr>
          <w:sz w:val="20"/>
        </w:rPr>
        <w:t xml:space="preserve">On the first business day of each month, the DCC Shift Supervisor runs the OMS tree-related outage extract (work type </w:t>
      </w:r>
      <w:r>
        <w:rPr>
          <w:rFonts w:ascii="Courier New" w:hAnsi="Courier New"/>
          <w:sz w:val="20"/>
        </w:rPr>
        <w:t>DCC-TREE-EXTRACT</w:t>
      </w:r>
      <w:r>
        <w:rPr>
          <w:sz w:val="20"/>
        </w:rPr>
        <w:t>) covering the prior calendar month.</w:t>
      </w:r>
    </w:p>
    <w:p>
      <w:pPr>
        <w:pStyle w:val="ListNumber"/>
      </w:pPr>
      <w:r>
        <w:rPr>
          <w:sz w:val="20"/>
        </w:rPr>
        <w:t xml:space="preserve">The extract includes all events with </w:t>
      </w:r>
      <w:r>
        <w:rPr>
          <w:rFonts w:ascii="Courier New" w:hAnsi="Courier New"/>
          <w:sz w:val="20"/>
        </w:rPr>
        <w:t>cause_category = "vegetation"</w:t>
      </w:r>
      <w:r>
        <w:rPr>
          <w:sz w:val="20"/>
        </w:rPr>
        <w:t xml:space="preserve">, with the following fields: </w:t>
      </w:r>
      <w:r>
        <w:rPr>
          <w:rFonts w:ascii="Courier New" w:hAnsi="Courier New"/>
          <w:sz w:val="20"/>
        </w:rPr>
        <w:t>event_id, incident_id, start_ts, end_ts, circuit_id, county, cause_code, tree_location, customers_affected, customer_minutes</w:t>
      </w:r>
      <w:r>
        <w:rPr>
          <w:sz w:val="20"/>
        </w:rPr>
        <w:t>.</w:t>
      </w:r>
    </w:p>
    <w:p>
      <w:pPr>
        <w:pStyle w:val="ListNumber"/>
      </w:pPr>
      <w:r>
        <w:rPr>
          <w:sz w:val="20"/>
        </w:rPr>
        <w:t xml:space="preserve">The </w:t>
      </w:r>
      <w:r>
        <w:rPr>
          <w:rFonts w:ascii="Courier New" w:hAnsi="Courier New"/>
          <w:sz w:val="20"/>
        </w:rPr>
        <w:t>tree_location</w:t>
      </w:r>
      <w:r>
        <w:rPr>
          <w:sz w:val="20"/>
        </w:rPr>
        <w:t xml:space="preserve"> field is coded:</w:t>
      </w:r>
    </w:p>
    <w:p>
      <w:pPr>
        <w:pStyle w:val="ListBullet"/>
      </w:pPr>
      <w:r>
        <w:rPr>
          <w:sz w:val="20"/>
        </w:rPr>
      </w:r>
      <w:r>
        <w:rPr>
          <w:rFonts w:ascii="Courier New" w:hAnsi="Courier New"/>
          <w:sz w:val="20"/>
        </w:rPr>
        <w:t>inside_row</w:t>
      </w:r>
      <w:r>
        <w:rPr>
          <w:sz w:val="20"/>
        </w:rPr>
        <w:t xml:space="preserve"> — tree inside the cleared right-of-way;</w:t>
      </w:r>
    </w:p>
    <w:p>
      <w:pPr>
        <w:pStyle w:val="ListBullet"/>
      </w:pPr>
      <w:r>
        <w:rPr>
          <w:sz w:val="20"/>
        </w:rPr>
      </w:r>
      <w:r>
        <w:rPr>
          <w:rFonts w:ascii="Courier New" w:hAnsi="Courier New"/>
          <w:sz w:val="20"/>
        </w:rPr>
        <w:t>outside_row</w:t>
      </w:r>
      <w:r>
        <w:rPr>
          <w:sz w:val="20"/>
        </w:rPr>
        <w:t xml:space="preserve"> — tree outside the ROW (fall-in);</w:t>
      </w:r>
    </w:p>
    <w:p>
      <w:pPr>
        <w:pStyle w:val="ListBullet"/>
      </w:pPr>
      <w:r>
        <w:rPr>
          <w:sz w:val="20"/>
        </w:rPr>
      </w:r>
      <w:r>
        <w:rPr>
          <w:rFonts w:ascii="Courier New" w:hAnsi="Courier New"/>
          <w:sz w:val="20"/>
        </w:rPr>
        <w:t>unknown</w:t>
      </w:r>
      <w:r>
        <w:rPr>
          <w:sz w:val="20"/>
        </w:rPr>
        <w:t xml:space="preserve"> — patrol did not determine location.</w:t>
      </w:r>
    </w:p>
    <w:p>
      <w:pPr>
        <w:pStyle w:val="ListNumber"/>
      </w:pPr>
      <w:r>
        <w:rPr>
          <w:sz w:val="20"/>
        </w:rPr>
        <w:t>The extract is stored in DCS under RRS-DO-004 and emailed to Rachel Stein (P22).</w:t>
      </w:r>
    </w:p>
    <w:p>
      <w:pPr>
        <w:pStyle w:val="Heading3"/>
      </w:pPr>
      <w:r>
        <w:rPr>
          <w:sz w:val="28"/>
        </w:rPr>
        <w:t>17.3 Monthly Reconciliation</w:t>
      </w:r>
    </w:p>
    <w:p>
      <w:r>
        <w:rPr>
          <w:sz w:val="20"/>
        </w:rPr>
        <w:t xml:space="preserve">The Manager, Vegetation Management Program (P22) reviews the extract and signs off on the monthly total in WAM (work order type </w:t>
      </w:r>
      <w:r>
        <w:rPr>
          <w:rFonts w:ascii="Courier New" w:hAnsi="Courier New"/>
          <w:sz w:val="20"/>
        </w:rPr>
        <w:t>VM-RECONCILE</w:t>
      </w:r>
      <w:r>
        <w:rPr>
          <w:sz w:val="20"/>
        </w:rPr>
        <w:t>) by the 5th business day of the month. Discrepancies (e.g., events coded as vegetation that were subsequently re-coded) are resolved jointly by P22 and P23 within 10 business days.</w:t>
      </w:r>
    </w:p>
    <w:p>
      <w:pPr>
        <w:spacing w:before="120" w:after="120"/>
        <w:pBdr>
          <w:bottom w:val="single" w:sz="6" w:space="1" w:color="AAAAAA"/>
        </w:pBdr>
      </w:pPr>
    </w:p>
    <w:p>
      <w:pPr>
        <w:pStyle w:val="Heading2"/>
      </w:pPr>
      <w:r>
        <w:rPr>
          <w:color w:val="1F3864"/>
          <w:sz w:val="32"/>
        </w:rPr>
        <w:t>18. 2024 Performance Summary (Preliminary — Data Extracted 2025-02-10)</w:t>
      </w:r>
    </w:p>
    <w:p>
      <w:pPr>
        <w:pStyle w:val="Heading3"/>
      </w:pPr>
      <w:r>
        <w:rPr>
          <w:sz w:val="28"/>
        </w:rPr>
        <w:t>18.1 Overview</w:t>
      </w:r>
    </w:p>
    <w:p>
      <w:r>
        <w:rPr>
          <w:sz w:val="20"/>
        </w:rPr>
        <w:t>All 2024 performance data is preliminary, extracted 2025-02-10. Final 2024 figures will be confirmed in the March 1, 2025 IURC reliability report.</w:t>
      </w:r>
    </w:p>
    <w:p>
      <w:pPr>
        <w:pStyle w:val="Heading3"/>
      </w:pPr>
      <w:r>
        <w:rPr>
          <w:sz w:val="28"/>
        </w:rPr>
        <w:t>18.2 Reportable Incidents</w:t>
      </w:r>
    </w:p>
    <w:p>
      <w:r>
        <w:rPr>
          <w:sz w:val="20"/>
        </w:rPr>
      </w:r>
      <w:r>
        <w:rPr>
          <w:b/>
          <w:sz w:val="20"/>
        </w:rPr>
        <w:t>Table 18-A: 2024 IURC Reportable Incidents</w:t>
      </w:r>
      <w:r>
        <w:rPr>
          <w:sz w:val="20"/>
        </w:rPr>
      </w:r>
    </w:p>
    <w:tbl>
      <w:tblPr>
        <w:tblStyle w:val="TableGrid"/>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vAlign w:val="center"/>
            <w:shd w:val="clear" w:color="auto" w:fill="D9E1F2"/>
          </w:tcPr>
          <w:p>
            <w:r>
              <w:rPr>
                <w:b/>
                <w:sz w:val="18"/>
              </w:rPr>
              <w:t>Incident ID</w:t>
            </w:r>
          </w:p>
        </w:tc>
        <w:tc>
          <w:tcPr>
            <w:tcW w:type="dxa" w:w="1289"/>
            <w:vAlign w:val="center"/>
            <w:shd w:val="clear" w:color="auto" w:fill="D9E1F2"/>
          </w:tcPr>
          <w:p>
            <w:r>
              <w:rPr>
                <w:b/>
                <w:sz w:val="18"/>
              </w:rPr>
              <w:t>Date</w:t>
            </w:r>
          </w:p>
        </w:tc>
        <w:tc>
          <w:tcPr>
            <w:tcW w:type="dxa" w:w="1289"/>
            <w:vAlign w:val="center"/>
            <w:shd w:val="clear" w:color="auto" w:fill="D9E1F2"/>
          </w:tcPr>
          <w:p>
            <w:r>
              <w:rPr>
                <w:b/>
                <w:sz w:val="18"/>
              </w:rPr>
              <w:t>Peak Customers Out</w:t>
            </w:r>
          </w:p>
        </w:tc>
        <w:tc>
          <w:tcPr>
            <w:tcW w:type="dxa" w:w="1289"/>
            <w:vAlign w:val="center"/>
            <w:shd w:val="clear" w:color="auto" w:fill="D9E1F2"/>
          </w:tcPr>
          <w:p>
            <w:r>
              <w:rPr>
                <w:b/>
                <w:sz w:val="18"/>
              </w:rPr>
              <w:t>Duration (hrs)</w:t>
            </w:r>
          </w:p>
        </w:tc>
        <w:tc>
          <w:tcPr>
            <w:tcW w:type="dxa" w:w="1289"/>
            <w:vAlign w:val="center"/>
            <w:shd w:val="clear" w:color="auto" w:fill="D9E1F2"/>
          </w:tcPr>
          <w:p>
            <w:r>
              <w:rPr>
                <w:b/>
                <w:sz w:val="18"/>
              </w:rPr>
              <w:t>Counties</w:t>
            </w:r>
          </w:p>
        </w:tc>
        <w:tc>
          <w:tcPr>
            <w:tcW w:type="dxa" w:w="1289"/>
            <w:vAlign w:val="center"/>
            <w:shd w:val="clear" w:color="auto" w:fill="D9E1F2"/>
          </w:tcPr>
          <w:p>
            <w:r>
              <w:rPr>
                <w:b/>
                <w:sz w:val="18"/>
              </w:rPr>
              <w:t>Reportable</w:t>
            </w:r>
          </w:p>
        </w:tc>
        <w:tc>
          <w:tcPr>
            <w:tcW w:type="dxa" w:w="1289"/>
            <w:vAlign w:val="center"/>
            <w:shd w:val="clear" w:color="auto" w:fill="D9E1F2"/>
          </w:tcPr>
          <w:p>
            <w:r>
              <w:rPr>
                <w:b/>
                <w:sz w:val="18"/>
              </w:rPr>
              <w:t>Initial Report Submitted</w:t>
            </w:r>
          </w:p>
        </w:tc>
      </w:tr>
      <w:tr>
        <w:tc>
          <w:tcPr>
            <w:tcW w:type="dxa" w:w="1289"/>
            <w:vAlign w:val="center"/>
          </w:tcPr>
          <w:p>
            <w:r>
              <w:rPr>
                <w:sz w:val="18"/>
              </w:rPr>
              <w:t>INC-2024-00001</w:t>
            </w:r>
          </w:p>
        </w:tc>
        <w:tc>
          <w:tcPr>
            <w:tcW w:type="dxa" w:w="1289"/>
            <w:vAlign w:val="center"/>
          </w:tcPr>
          <w:p>
            <w:r>
              <w:rPr>
                <w:sz w:val="18"/>
              </w:rPr>
              <w:t>2024-03-15</w:t>
            </w:r>
          </w:p>
        </w:tc>
        <w:tc>
          <w:tcPr>
            <w:tcW w:type="dxa" w:w="1289"/>
            <w:vAlign w:val="center"/>
          </w:tcPr>
          <w:p>
            <w:r>
              <w:rPr>
                <w:sz w:val="18"/>
              </w:rPr>
              <w:t>26,471</w:t>
            </w:r>
          </w:p>
        </w:tc>
        <w:tc>
          <w:tcPr>
            <w:tcW w:type="dxa" w:w="1289"/>
            <w:vAlign w:val="center"/>
          </w:tcPr>
          <w:p>
            <w:r>
              <w:rPr>
                <w:sz w:val="18"/>
              </w:rPr>
              <w:t>44.5</w:t>
            </w:r>
          </w:p>
        </w:tc>
        <w:tc>
          <w:tcPr>
            <w:tcW w:type="dxa" w:w="1289"/>
            <w:vAlign w:val="center"/>
          </w:tcPr>
          <w:p>
            <w:r>
              <w:rPr>
                <w:sz w:val="18"/>
              </w:rPr>
              <w:t>14</w:t>
            </w:r>
          </w:p>
        </w:tc>
        <w:tc>
          <w:tcPr>
            <w:tcW w:type="dxa" w:w="1289"/>
            <w:vAlign w:val="center"/>
          </w:tcPr>
          <w:p>
            <w:r>
              <w:rPr>
                <w:sz w:val="18"/>
              </w:rPr>
              <w:t>Y</w:t>
            </w:r>
          </w:p>
        </w:tc>
        <w:tc>
          <w:tcPr>
            <w:tcW w:type="dxa" w:w="1289"/>
            <w:vAlign w:val="center"/>
          </w:tcPr>
          <w:p>
            <w:r>
              <w:rPr>
                <w:sz w:val="18"/>
              </w:rPr>
              <w:t>2024-03-15T06:00</w:t>
            </w:r>
          </w:p>
        </w:tc>
      </w:tr>
      <w:tr>
        <w:tc>
          <w:tcPr>
            <w:tcW w:type="dxa" w:w="1289"/>
            <w:vAlign w:val="center"/>
          </w:tcPr>
          <w:p>
            <w:r>
              <w:rPr>
                <w:sz w:val="18"/>
              </w:rPr>
              <w:t>INC-2024-00002</w:t>
            </w:r>
          </w:p>
        </w:tc>
        <w:tc>
          <w:tcPr>
            <w:tcW w:type="dxa" w:w="1289"/>
            <w:vAlign w:val="center"/>
          </w:tcPr>
          <w:p>
            <w:r>
              <w:rPr>
                <w:sz w:val="18"/>
              </w:rPr>
              <w:t>2024-05-22</w:t>
            </w:r>
          </w:p>
        </w:tc>
        <w:tc>
          <w:tcPr>
            <w:tcW w:type="dxa" w:w="1289"/>
            <w:vAlign w:val="center"/>
          </w:tcPr>
          <w:p>
            <w:r>
              <w:rPr>
                <w:sz w:val="18"/>
              </w:rPr>
              <w:t>13,742</w:t>
            </w:r>
          </w:p>
        </w:tc>
        <w:tc>
          <w:tcPr>
            <w:tcW w:type="dxa" w:w="1289"/>
            <w:vAlign w:val="center"/>
          </w:tcPr>
          <w:p>
            <w:r>
              <w:rPr>
                <w:sz w:val="18"/>
              </w:rPr>
              <w:t>43.2</w:t>
            </w:r>
          </w:p>
        </w:tc>
        <w:tc>
          <w:tcPr>
            <w:tcW w:type="dxa" w:w="1289"/>
            <w:vAlign w:val="center"/>
          </w:tcPr>
          <w:p>
            <w:r>
              <w:rPr>
                <w:sz w:val="18"/>
              </w:rPr>
              <w:t>14</w:t>
            </w:r>
          </w:p>
        </w:tc>
        <w:tc>
          <w:tcPr>
            <w:tcW w:type="dxa" w:w="1289"/>
            <w:vAlign w:val="center"/>
          </w:tcPr>
          <w:p>
            <w:r>
              <w:rPr>
                <w:sz w:val="18"/>
              </w:rPr>
              <w:t>Y</w:t>
            </w:r>
          </w:p>
        </w:tc>
        <w:tc>
          <w:tcPr>
            <w:tcW w:type="dxa" w:w="1289"/>
            <w:vAlign w:val="center"/>
          </w:tcPr>
          <w:p>
            <w:r>
              <w:rPr>
                <w:sz w:val="18"/>
              </w:rPr>
              <w:t>2024-05-22T06:00</w:t>
            </w:r>
          </w:p>
        </w:tc>
      </w:tr>
      <w:tr>
        <w:tc>
          <w:tcPr>
            <w:tcW w:type="dxa" w:w="1289"/>
            <w:vAlign w:val="center"/>
          </w:tcPr>
          <w:p>
            <w:r>
              <w:rPr>
                <w:sz w:val="18"/>
              </w:rPr>
              <w:t>INC-2024-00004</w:t>
            </w:r>
          </w:p>
        </w:tc>
        <w:tc>
          <w:tcPr>
            <w:tcW w:type="dxa" w:w="1289"/>
            <w:vAlign w:val="center"/>
          </w:tcPr>
          <w:p>
            <w:r>
              <w:rPr>
                <w:sz w:val="18"/>
              </w:rPr>
              <w:t>2024-08-09</w:t>
            </w:r>
          </w:p>
        </w:tc>
        <w:tc>
          <w:tcPr>
            <w:tcW w:type="dxa" w:w="1289"/>
            <w:vAlign w:val="center"/>
          </w:tcPr>
          <w:p>
            <w:r>
              <w:rPr>
                <w:sz w:val="18"/>
              </w:rPr>
              <w:t>10,819</w:t>
            </w:r>
          </w:p>
        </w:tc>
        <w:tc>
          <w:tcPr>
            <w:tcW w:type="dxa" w:w="1289"/>
            <w:vAlign w:val="center"/>
          </w:tcPr>
          <w:p>
            <w:r>
              <w:rPr>
                <w:sz w:val="18"/>
              </w:rPr>
              <w:t>58.2</w:t>
            </w:r>
          </w:p>
        </w:tc>
        <w:tc>
          <w:tcPr>
            <w:tcW w:type="dxa" w:w="1289"/>
            <w:vAlign w:val="center"/>
          </w:tcPr>
          <w:p>
            <w:r>
              <w:rPr>
                <w:sz w:val="18"/>
              </w:rPr>
              <w:t>14</w:t>
            </w:r>
          </w:p>
        </w:tc>
        <w:tc>
          <w:tcPr>
            <w:tcW w:type="dxa" w:w="1289"/>
            <w:vAlign w:val="center"/>
          </w:tcPr>
          <w:p>
            <w:r>
              <w:rPr>
                <w:sz w:val="18"/>
              </w:rPr>
              <w:t>Y</w:t>
            </w:r>
          </w:p>
        </w:tc>
        <w:tc>
          <w:tcPr>
            <w:tcW w:type="dxa" w:w="1289"/>
            <w:vAlign w:val="center"/>
          </w:tcPr>
          <w:p>
            <w:r>
              <w:rPr>
                <w:sz w:val="18"/>
              </w:rPr>
              <w:t>2024-08-09T06:00</w:t>
            </w:r>
          </w:p>
        </w:tc>
      </w:tr>
      <w:tr>
        <w:tc>
          <w:tcPr>
            <w:tcW w:type="dxa" w:w="1289"/>
            <w:vAlign w:val="center"/>
          </w:tcPr>
          <w:p>
            <w:r>
              <w:rPr>
                <w:sz w:val="18"/>
              </w:rPr>
              <w:t>INC-2024-00005</w:t>
            </w:r>
          </w:p>
        </w:tc>
        <w:tc>
          <w:tcPr>
            <w:tcW w:type="dxa" w:w="1289"/>
            <w:vAlign w:val="center"/>
          </w:tcPr>
          <w:p>
            <w:r>
              <w:rPr>
                <w:sz w:val="18"/>
              </w:rPr>
              <w:t>2024-12-23</w:t>
            </w:r>
          </w:p>
        </w:tc>
        <w:tc>
          <w:tcPr>
            <w:tcW w:type="dxa" w:w="1289"/>
            <w:vAlign w:val="center"/>
          </w:tcPr>
          <w:p>
            <w:r>
              <w:rPr>
                <w:sz w:val="18"/>
              </w:rPr>
              <w:t>7,640</w:t>
            </w:r>
          </w:p>
        </w:tc>
        <w:tc>
          <w:tcPr>
            <w:tcW w:type="dxa" w:w="1289"/>
            <w:vAlign w:val="center"/>
          </w:tcPr>
          <w:p>
            <w:r>
              <w:rPr>
                <w:sz w:val="18"/>
              </w:rPr>
              <w:t>65.1</w:t>
            </w:r>
          </w:p>
        </w:tc>
        <w:tc>
          <w:tcPr>
            <w:tcW w:type="dxa" w:w="1289"/>
            <w:vAlign w:val="center"/>
          </w:tcPr>
          <w:p>
            <w:r>
              <w:rPr>
                <w:sz w:val="18"/>
              </w:rPr>
              <w:t>14</w:t>
            </w:r>
          </w:p>
        </w:tc>
        <w:tc>
          <w:tcPr>
            <w:tcW w:type="dxa" w:w="1289"/>
            <w:vAlign w:val="center"/>
          </w:tcPr>
          <w:p>
            <w:r>
              <w:rPr>
                <w:sz w:val="18"/>
              </w:rPr>
              <w:t>Y</w:t>
            </w:r>
          </w:p>
        </w:tc>
        <w:tc>
          <w:tcPr>
            <w:tcW w:type="dxa" w:w="1289"/>
            <w:vAlign w:val="center"/>
          </w:tcPr>
          <w:p>
            <w:r>
              <w:rPr>
                <w:sz w:val="18"/>
              </w:rPr>
              <w:t>2024-12-23T06:00</w:t>
            </w:r>
          </w:p>
        </w:tc>
      </w:tr>
      <w:tr>
        <w:tc>
          <w:tcPr>
            <w:tcW w:type="dxa" w:w="1289"/>
            <w:vAlign w:val="center"/>
          </w:tcPr>
          <w:p>
            <w:r>
              <w:rPr>
                <w:sz w:val="18"/>
              </w:rPr>
              <w:t>INC-2024-02209</w:t>
            </w:r>
          </w:p>
        </w:tc>
        <w:tc>
          <w:tcPr>
            <w:tcW w:type="dxa" w:w="1289"/>
            <w:vAlign w:val="center"/>
          </w:tcPr>
          <w:p>
            <w:r>
              <w:rPr>
                <w:sz w:val="18"/>
              </w:rPr>
              <w:t>2024-04-19</w:t>
            </w:r>
          </w:p>
        </w:tc>
        <w:tc>
          <w:tcPr>
            <w:tcW w:type="dxa" w:w="1289"/>
            <w:vAlign w:val="center"/>
          </w:tcPr>
          <w:p>
            <w:r>
              <w:rPr>
                <w:sz w:val="18"/>
              </w:rPr>
              <w:t>10,580</w:t>
            </w:r>
          </w:p>
        </w:tc>
        <w:tc>
          <w:tcPr>
            <w:tcW w:type="dxa" w:w="1289"/>
            <w:vAlign w:val="center"/>
          </w:tcPr>
          <w:p>
            <w:r>
              <w:rPr>
                <w:sz w:val="18"/>
              </w:rPr>
              <w:t>4.3</w:t>
            </w:r>
          </w:p>
        </w:tc>
        <w:tc>
          <w:tcPr>
            <w:tcW w:type="dxa" w:w="1289"/>
            <w:vAlign w:val="center"/>
          </w:tcPr>
          <w:p>
            <w:r>
              <w:rPr>
                <w:sz w:val="18"/>
              </w:rPr>
              <w:t>Tippecanoe</w:t>
            </w:r>
          </w:p>
        </w:tc>
        <w:tc>
          <w:tcPr>
            <w:tcW w:type="dxa" w:w="1289"/>
            <w:vAlign w:val="center"/>
          </w:tcPr>
          <w:p>
            <w:r>
              <w:rPr>
                <w:sz w:val="18"/>
              </w:rPr>
              <w:t>Y</w:t>
            </w:r>
          </w:p>
        </w:tc>
        <w:tc>
          <w:tcPr>
            <w:tcW w:type="dxa" w:w="1289"/>
            <w:vAlign w:val="center"/>
          </w:tcPr>
          <w:p>
            <w:r>
              <w:rPr>
                <w:sz w:val="18"/>
              </w:rPr>
              <w:t>2024-04-19T09:00</w:t>
            </w:r>
          </w:p>
        </w:tc>
      </w:tr>
      <w:tr>
        <w:tc>
          <w:tcPr>
            <w:tcW w:type="dxa" w:w="1289"/>
            <w:vAlign w:val="center"/>
          </w:tcPr>
          <w:p>
            <w:r>
              <w:rPr>
                <w:sz w:val="18"/>
              </w:rPr>
              <w:t>INC-2024-02592</w:t>
            </w:r>
          </w:p>
        </w:tc>
        <w:tc>
          <w:tcPr>
            <w:tcW w:type="dxa" w:w="1289"/>
            <w:vAlign w:val="center"/>
          </w:tcPr>
          <w:p>
            <w:r>
              <w:rPr>
                <w:sz w:val="18"/>
              </w:rPr>
              <w:t>2024-05-13</w:t>
            </w:r>
          </w:p>
        </w:tc>
        <w:tc>
          <w:tcPr>
            <w:tcW w:type="dxa" w:w="1289"/>
            <w:vAlign w:val="center"/>
          </w:tcPr>
          <w:p>
            <w:r>
              <w:rPr>
                <w:sz w:val="18"/>
              </w:rPr>
              <w:t>7,980</w:t>
            </w:r>
          </w:p>
        </w:tc>
        <w:tc>
          <w:tcPr>
            <w:tcW w:type="dxa" w:w="1289"/>
            <w:vAlign w:val="center"/>
          </w:tcPr>
          <w:p>
            <w:r>
              <w:rPr>
                <w:sz w:val="18"/>
              </w:rPr>
              <w:t>4.3</w:t>
            </w:r>
          </w:p>
        </w:tc>
        <w:tc>
          <w:tcPr>
            <w:tcW w:type="dxa" w:w="1289"/>
            <w:vAlign w:val="center"/>
          </w:tcPr>
          <w:p>
            <w:r>
              <w:rPr>
                <w:sz w:val="18"/>
              </w:rPr>
              <w:t>Clinton</w:t>
            </w:r>
          </w:p>
        </w:tc>
        <w:tc>
          <w:tcPr>
            <w:tcW w:type="dxa" w:w="1289"/>
            <w:vAlign w:val="center"/>
          </w:tcPr>
          <w:p>
            <w:r>
              <w:rPr>
                <w:sz w:val="18"/>
              </w:rPr>
              <w:t>Y</w:t>
            </w:r>
          </w:p>
        </w:tc>
        <w:tc>
          <w:tcPr>
            <w:tcW w:type="dxa" w:w="1289"/>
            <w:vAlign w:val="center"/>
          </w:tcPr>
          <w:p>
            <w:r>
              <w:rPr>
                <w:sz w:val="18"/>
              </w:rPr>
              <w:t>2024-05-13T16:00</w:t>
            </w:r>
          </w:p>
        </w:tc>
      </w:tr>
      <w:tr>
        <w:tc>
          <w:tcPr>
            <w:tcW w:type="dxa" w:w="1289"/>
            <w:vAlign w:val="center"/>
          </w:tcPr>
          <w:p>
            <w:r>
              <w:rPr>
                <w:sz w:val="18"/>
              </w:rPr>
              <w:t>INC-2024-03211</w:t>
            </w:r>
          </w:p>
        </w:tc>
        <w:tc>
          <w:tcPr>
            <w:tcW w:type="dxa" w:w="1289"/>
            <w:vAlign w:val="center"/>
          </w:tcPr>
          <w:p>
            <w:r>
              <w:rPr>
                <w:sz w:val="18"/>
              </w:rPr>
              <w:t>2024-05-12</w:t>
            </w:r>
          </w:p>
        </w:tc>
        <w:tc>
          <w:tcPr>
            <w:tcW w:type="dxa" w:w="1289"/>
            <w:vAlign w:val="center"/>
          </w:tcPr>
          <w:p>
            <w:r>
              <w:rPr>
                <w:sz w:val="18"/>
              </w:rPr>
              <w:t>9,556</w:t>
            </w:r>
          </w:p>
        </w:tc>
        <w:tc>
          <w:tcPr>
            <w:tcW w:type="dxa" w:w="1289"/>
            <w:vAlign w:val="center"/>
          </w:tcPr>
          <w:p>
            <w:r>
              <w:rPr>
                <w:sz w:val="18"/>
              </w:rPr>
              <w:t>3.4</w:t>
            </w:r>
          </w:p>
        </w:tc>
        <w:tc>
          <w:tcPr>
            <w:tcW w:type="dxa" w:w="1289"/>
            <w:vAlign w:val="center"/>
          </w:tcPr>
          <w:p>
            <w:r>
              <w:rPr>
                <w:sz w:val="18"/>
              </w:rPr>
              <w:t>Tippecanoe</w:t>
            </w:r>
          </w:p>
        </w:tc>
        <w:tc>
          <w:tcPr>
            <w:tcW w:type="dxa" w:w="1289"/>
            <w:vAlign w:val="center"/>
          </w:tcPr>
          <w:p>
            <w:r>
              <w:rPr>
                <w:sz w:val="18"/>
              </w:rPr>
              <w:t>Y</w:t>
            </w:r>
          </w:p>
        </w:tc>
        <w:tc>
          <w:tcPr>
            <w:tcW w:type="dxa" w:w="1289"/>
            <w:vAlign w:val="center"/>
          </w:tcPr>
          <w:p>
            <w:r>
              <w:rPr>
                <w:sz w:val="18"/>
              </w:rPr>
              <w:t>2024-05-12T14:00</w:t>
            </w:r>
          </w:p>
        </w:tc>
      </w:tr>
      <w:tr>
        <w:tc>
          <w:tcPr>
            <w:tcW w:type="dxa" w:w="1289"/>
            <w:vAlign w:val="center"/>
          </w:tcPr>
          <w:p>
            <w:r>
              <w:rPr>
                <w:sz w:val="18"/>
              </w:rPr>
              <w:t>INC-2024-04492</w:t>
            </w:r>
          </w:p>
        </w:tc>
        <w:tc>
          <w:tcPr>
            <w:tcW w:type="dxa" w:w="1289"/>
            <w:vAlign w:val="center"/>
          </w:tcPr>
          <w:p>
            <w:r>
              <w:rPr>
                <w:sz w:val="18"/>
              </w:rPr>
              <w:t>2024-07-02</w:t>
            </w:r>
          </w:p>
        </w:tc>
        <w:tc>
          <w:tcPr>
            <w:tcW w:type="dxa" w:w="1289"/>
            <w:vAlign w:val="center"/>
          </w:tcPr>
          <w:p>
            <w:r>
              <w:rPr>
                <w:sz w:val="18"/>
              </w:rPr>
              <w:t>9,732</w:t>
            </w:r>
          </w:p>
        </w:tc>
        <w:tc>
          <w:tcPr>
            <w:tcW w:type="dxa" w:w="1289"/>
            <w:vAlign w:val="center"/>
          </w:tcPr>
          <w:p>
            <w:r>
              <w:rPr>
                <w:sz w:val="18"/>
              </w:rPr>
              <w:t>5.7</w:t>
            </w:r>
          </w:p>
        </w:tc>
        <w:tc>
          <w:tcPr>
            <w:tcW w:type="dxa" w:w="1289"/>
            <w:vAlign w:val="center"/>
          </w:tcPr>
          <w:p>
            <w:r>
              <w:rPr>
                <w:sz w:val="18"/>
              </w:rPr>
              <w:t>Hendricks</w:t>
            </w:r>
          </w:p>
        </w:tc>
        <w:tc>
          <w:tcPr>
            <w:tcW w:type="dxa" w:w="1289"/>
            <w:vAlign w:val="center"/>
          </w:tcPr>
          <w:p>
            <w:r>
              <w:rPr>
                <w:sz w:val="18"/>
              </w:rPr>
              <w:t>Y</w:t>
            </w:r>
          </w:p>
        </w:tc>
        <w:tc>
          <w:tcPr>
            <w:tcW w:type="dxa" w:w="1289"/>
            <w:vAlign w:val="center"/>
          </w:tcPr>
          <w:p>
            <w:r>
              <w:rPr>
                <w:sz w:val="18"/>
              </w:rPr>
              <w:t>2024-07-03T06:00</w:t>
            </w:r>
          </w:p>
        </w:tc>
      </w:tr>
      <w:tr>
        <w:tc>
          <w:tcPr>
            <w:tcW w:type="dxa" w:w="1289"/>
            <w:vAlign w:val="center"/>
          </w:tcPr>
          <w:p>
            <w:r>
              <w:rPr>
                <w:sz w:val="18"/>
              </w:rPr>
              <w:t>INC-2024-05377</w:t>
            </w:r>
          </w:p>
        </w:tc>
        <w:tc>
          <w:tcPr>
            <w:tcW w:type="dxa" w:w="1289"/>
            <w:vAlign w:val="center"/>
          </w:tcPr>
          <w:p>
            <w:r>
              <w:rPr>
                <w:sz w:val="18"/>
              </w:rPr>
              <w:t>2024-07-28</w:t>
            </w:r>
          </w:p>
        </w:tc>
        <w:tc>
          <w:tcPr>
            <w:tcW w:type="dxa" w:w="1289"/>
            <w:vAlign w:val="center"/>
          </w:tcPr>
          <w:p>
            <w:r>
              <w:rPr>
                <w:sz w:val="18"/>
              </w:rPr>
              <w:t>11,385</w:t>
            </w:r>
          </w:p>
        </w:tc>
        <w:tc>
          <w:tcPr>
            <w:tcW w:type="dxa" w:w="1289"/>
            <w:vAlign w:val="center"/>
          </w:tcPr>
          <w:p>
            <w:r>
              <w:rPr>
                <w:sz w:val="18"/>
              </w:rPr>
              <w:t>2.8</w:t>
            </w:r>
          </w:p>
        </w:tc>
        <w:tc>
          <w:tcPr>
            <w:tcW w:type="dxa" w:w="1289"/>
            <w:vAlign w:val="center"/>
          </w:tcPr>
          <w:p>
            <w:r>
              <w:rPr>
                <w:sz w:val="18"/>
              </w:rPr>
              <w:t>Hendricks</w:t>
            </w:r>
          </w:p>
        </w:tc>
        <w:tc>
          <w:tcPr>
            <w:tcW w:type="dxa" w:w="1289"/>
            <w:vAlign w:val="center"/>
          </w:tcPr>
          <w:p>
            <w:r>
              <w:rPr>
                <w:sz w:val="18"/>
              </w:rPr>
              <w:t>Y</w:t>
            </w:r>
          </w:p>
        </w:tc>
        <w:tc>
          <w:tcPr>
            <w:tcW w:type="dxa" w:w="1289"/>
            <w:vAlign w:val="center"/>
          </w:tcPr>
          <w:p>
            <w:r>
              <w:rPr>
                <w:sz w:val="18"/>
              </w:rPr>
              <w:t>2024-07-28T14:00</w:t>
            </w:r>
          </w:p>
        </w:tc>
      </w:tr>
      <w:tr>
        <w:tc>
          <w:tcPr>
            <w:tcW w:type="dxa" w:w="1289"/>
            <w:vAlign w:val="center"/>
          </w:tcPr>
          <w:p>
            <w:r>
              <w:rPr>
                <w:sz w:val="18"/>
              </w:rPr>
              <w:t>INC-2024-07845</w:t>
            </w:r>
          </w:p>
        </w:tc>
        <w:tc>
          <w:tcPr>
            <w:tcW w:type="dxa" w:w="1289"/>
            <w:vAlign w:val="center"/>
          </w:tcPr>
          <w:p>
            <w:r>
              <w:rPr>
                <w:sz w:val="18"/>
              </w:rPr>
              <w:t>2024-10-12</w:t>
            </w:r>
          </w:p>
        </w:tc>
        <w:tc>
          <w:tcPr>
            <w:tcW w:type="dxa" w:w="1289"/>
            <w:vAlign w:val="center"/>
          </w:tcPr>
          <w:p>
            <w:r>
              <w:rPr>
                <w:sz w:val="18"/>
              </w:rPr>
              <w:t>5,054</w:t>
            </w:r>
          </w:p>
        </w:tc>
        <w:tc>
          <w:tcPr>
            <w:tcW w:type="dxa" w:w="1289"/>
            <w:vAlign w:val="center"/>
          </w:tcPr>
          <w:p>
            <w:r>
              <w:rPr>
                <w:sz w:val="18"/>
              </w:rPr>
              <w:t>5.2</w:t>
            </w:r>
          </w:p>
        </w:tc>
        <w:tc>
          <w:tcPr>
            <w:tcW w:type="dxa" w:w="1289"/>
            <w:vAlign w:val="center"/>
          </w:tcPr>
          <w:p>
            <w:r>
              <w:rPr>
                <w:sz w:val="18"/>
              </w:rPr>
              <w:t>Tippecanoe</w:t>
            </w:r>
          </w:p>
        </w:tc>
        <w:tc>
          <w:tcPr>
            <w:tcW w:type="dxa" w:w="1289"/>
            <w:vAlign w:val="center"/>
          </w:tcPr>
          <w:p>
            <w:r>
              <w:rPr>
                <w:sz w:val="18"/>
              </w:rPr>
              <w:t>Y</w:t>
            </w:r>
          </w:p>
        </w:tc>
        <w:tc>
          <w:tcPr>
            <w:tcW w:type="dxa" w:w="1289"/>
            <w:vAlign w:val="center"/>
          </w:tcPr>
          <w:p>
            <w:r>
              <w:rPr>
                <w:sz w:val="18"/>
              </w:rPr>
              <w:t>2024-10-12T14:00</w:t>
            </w:r>
          </w:p>
        </w:tc>
      </w:tr>
    </w:tbl>
    <w:p>
      <w:r>
        <w:rPr>
          <w:sz w:val="20"/>
        </w:rPr>
        <w:t>Total reportable incidents in 2024: 10 | All reports submitted on time: Yes</w:t>
      </w:r>
    </w:p>
    <w:p>
      <w:r>
        <w:rPr>
          <w:sz w:val="20"/>
        </w:rPr>
      </w:r>
      <w:r>
        <w:rPr>
          <w:b/>
          <w:sz w:val="20"/>
        </w:rPr>
        <w:t>Report Timeliness:</w:t>
      </w:r>
      <w:r>
        <w:rPr>
          <w:sz w:val="20"/>
        </w:rPr>
        <w:t xml:space="preserve"> 8 of 10 incidents (80%) submitted in the first 35% of the allowed window. 2 of 10 incidents (20%) used more than 60% of the allowed window (INC-2024-00004 and INC-2024-02592). No late reports.</w:t>
      </w:r>
    </w:p>
    <w:p>
      <w:pPr>
        <w:pStyle w:val="Heading3"/>
      </w:pPr>
      <w:r>
        <w:rPr>
          <w:sz w:val="28"/>
        </w:rPr>
        <w:t>18.3 Outages and CI by Cause — 2024 Ex-MED (Preliminary)</w:t>
      </w:r>
    </w:p>
    <w:p>
      <w:r>
        <w:rPr>
          <w:sz w:val="20"/>
        </w:rPr>
      </w:r>
      <w:r>
        <w:rPr>
          <w:b/>
          <w:sz w:val="20"/>
        </w:rPr>
        <w:t>Table 18-B: 2024 Ex-MED Outages by Cause Category</w:t>
      </w:r>
      <w:r>
        <w:rPr>
          <w:sz w:val="20"/>
        </w:rPr>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vAlign w:val="center"/>
            <w:shd w:val="clear" w:color="auto" w:fill="D9E1F2"/>
          </w:tcPr>
          <w:p>
            <w:r>
              <w:rPr>
                <w:b/>
                <w:sz w:val="18"/>
              </w:rPr>
              <w:t>Cause Category</w:t>
            </w:r>
          </w:p>
        </w:tc>
        <w:tc>
          <w:tcPr>
            <w:tcW w:type="dxa" w:w="1805"/>
            <w:vAlign w:val="center"/>
            <w:shd w:val="clear" w:color="auto" w:fill="D9E1F2"/>
          </w:tcPr>
          <w:p>
            <w:r>
              <w:rPr>
                <w:b/>
                <w:sz w:val="18"/>
              </w:rPr>
              <w:t>Events (ex-MED)</w:t>
            </w:r>
          </w:p>
        </w:tc>
        <w:tc>
          <w:tcPr>
            <w:tcW w:type="dxa" w:w="1805"/>
            <w:vAlign w:val="center"/>
            <w:shd w:val="clear" w:color="auto" w:fill="D9E1F2"/>
          </w:tcPr>
          <w:p>
            <w:r>
              <w:rPr>
                <w:b/>
                <w:sz w:val="18"/>
              </w:rPr>
              <w:t>% of Total</w:t>
            </w:r>
          </w:p>
        </w:tc>
        <w:tc>
          <w:tcPr>
            <w:tcW w:type="dxa" w:w="1805"/>
            <w:vAlign w:val="center"/>
            <w:shd w:val="clear" w:color="auto" w:fill="D9E1F2"/>
          </w:tcPr>
          <w:p>
            <w:r>
              <w:rPr>
                <w:b/>
                <w:sz w:val="18"/>
              </w:rPr>
              <w:t>CI (ex-MED)</w:t>
            </w:r>
          </w:p>
        </w:tc>
        <w:tc>
          <w:tcPr>
            <w:tcW w:type="dxa" w:w="1805"/>
            <w:vAlign w:val="center"/>
            <w:shd w:val="clear" w:color="auto" w:fill="D9E1F2"/>
          </w:tcPr>
          <w:p>
            <w:r>
              <w:rPr>
                <w:b/>
                <w:sz w:val="18"/>
              </w:rPr>
              <w:t>CMI (ex-MED)</w:t>
            </w:r>
          </w:p>
        </w:tc>
      </w:tr>
      <w:tr>
        <w:tc>
          <w:tcPr>
            <w:tcW w:type="dxa" w:w="1805"/>
            <w:vAlign w:val="center"/>
          </w:tcPr>
          <w:p>
            <w:r>
              <w:rPr>
                <w:sz w:val="18"/>
              </w:rPr>
              <w:t>Vegetation</w:t>
            </w:r>
          </w:p>
        </w:tc>
        <w:tc>
          <w:tcPr>
            <w:tcW w:type="dxa" w:w="1805"/>
            <w:vAlign w:val="center"/>
          </w:tcPr>
          <w:p>
            <w:r>
              <w:rPr>
                <w:sz w:val="18"/>
              </w:rPr>
              <w:t>~2,300</w:t>
            </w:r>
          </w:p>
        </w:tc>
        <w:tc>
          <w:tcPr>
            <w:tcW w:type="dxa" w:w="1805"/>
            <w:vAlign w:val="center"/>
          </w:tcPr>
          <w:p>
            <w:r>
              <w:rPr>
                <w:sz w:val="18"/>
              </w:rPr>
              <w:t>24%</w:t>
            </w:r>
          </w:p>
        </w:tc>
        <w:tc>
          <w:tcPr>
            <w:tcW w:type="dxa" w:w="1805"/>
            <w:vAlign w:val="center"/>
          </w:tcPr>
          <w:p>
            <w:r>
              <w:rPr>
                <w:sz w:val="18"/>
              </w:rPr>
              <w:t>127,000+</w:t>
            </w:r>
          </w:p>
        </w:tc>
        <w:tc>
          <w:tcPr>
            <w:tcW w:type="dxa" w:w="1805"/>
            <w:vAlign w:val="center"/>
          </w:tcPr>
          <w:p>
            <w:r>
              <w:rPr>
                <w:sz w:val="18"/>
              </w:rPr>
              <w:t>~16,000,000</w:t>
            </w:r>
          </w:p>
        </w:tc>
      </w:tr>
      <w:tr>
        <w:tc>
          <w:tcPr>
            <w:tcW w:type="dxa" w:w="1805"/>
            <w:vAlign w:val="center"/>
          </w:tcPr>
          <w:p>
            <w:r>
              <w:rPr>
                <w:sz w:val="18"/>
              </w:rPr>
              <w:t>Equipment</w:t>
            </w:r>
          </w:p>
        </w:tc>
        <w:tc>
          <w:tcPr>
            <w:tcW w:type="dxa" w:w="1805"/>
            <w:vAlign w:val="center"/>
          </w:tcPr>
          <w:p>
            <w:r>
              <w:rPr>
                <w:sz w:val="18"/>
              </w:rPr>
              <w:t>~3,000</w:t>
            </w:r>
          </w:p>
        </w:tc>
        <w:tc>
          <w:tcPr>
            <w:tcW w:type="dxa" w:w="1805"/>
            <w:vAlign w:val="center"/>
          </w:tcPr>
          <w:p>
            <w:r>
              <w:rPr>
                <w:sz w:val="18"/>
              </w:rPr>
              <w:t>31%</w:t>
            </w:r>
          </w:p>
        </w:tc>
        <w:tc>
          <w:tcPr>
            <w:tcW w:type="dxa" w:w="1805"/>
            <w:vAlign w:val="center"/>
          </w:tcPr>
          <w:p>
            <w:r>
              <w:rPr>
                <w:sz w:val="18"/>
              </w:rPr>
              <w:t>110,000+</w:t>
            </w:r>
          </w:p>
        </w:tc>
        <w:tc>
          <w:tcPr>
            <w:tcW w:type="dxa" w:w="1805"/>
            <w:vAlign w:val="center"/>
          </w:tcPr>
          <w:p>
            <w:r>
              <w:rPr>
                <w:sz w:val="18"/>
              </w:rPr>
              <w:t>~18,000,000</w:t>
            </w:r>
          </w:p>
        </w:tc>
      </w:tr>
      <w:tr>
        <w:tc>
          <w:tcPr>
            <w:tcW w:type="dxa" w:w="1805"/>
            <w:vAlign w:val="center"/>
          </w:tcPr>
          <w:p>
            <w:r>
              <w:rPr>
                <w:sz w:val="18"/>
              </w:rPr>
              <w:t>Animal</w:t>
            </w:r>
          </w:p>
        </w:tc>
        <w:tc>
          <w:tcPr>
            <w:tcW w:type="dxa" w:w="1805"/>
            <w:vAlign w:val="center"/>
          </w:tcPr>
          <w:p>
            <w:r>
              <w:rPr>
                <w:sz w:val="18"/>
              </w:rPr>
              <w:t>~1,400</w:t>
            </w:r>
          </w:p>
        </w:tc>
        <w:tc>
          <w:tcPr>
            <w:tcW w:type="dxa" w:w="1805"/>
            <w:vAlign w:val="center"/>
          </w:tcPr>
          <w:p>
            <w:r>
              <w:rPr>
                <w:sz w:val="18"/>
              </w:rPr>
              <w:t>14%</w:t>
            </w:r>
          </w:p>
        </w:tc>
        <w:tc>
          <w:tcPr>
            <w:tcW w:type="dxa" w:w="1805"/>
            <w:vAlign w:val="center"/>
          </w:tcPr>
          <w:p>
            <w:r>
              <w:rPr>
                <w:sz w:val="18"/>
              </w:rPr>
              <w:t>32,000+</w:t>
            </w:r>
          </w:p>
        </w:tc>
        <w:tc>
          <w:tcPr>
            <w:tcW w:type="dxa" w:w="1805"/>
            <w:vAlign w:val="center"/>
          </w:tcPr>
          <w:p>
            <w:r>
              <w:rPr>
                <w:sz w:val="18"/>
              </w:rPr>
              <w:t>~4,500,000</w:t>
            </w:r>
          </w:p>
        </w:tc>
      </w:tr>
      <w:tr>
        <w:tc>
          <w:tcPr>
            <w:tcW w:type="dxa" w:w="1805"/>
            <w:vAlign w:val="center"/>
          </w:tcPr>
          <w:p>
            <w:r>
              <w:rPr>
                <w:sz w:val="18"/>
              </w:rPr>
              <w:t>Weather</w:t>
            </w:r>
          </w:p>
        </w:tc>
        <w:tc>
          <w:tcPr>
            <w:tcW w:type="dxa" w:w="1805"/>
            <w:vAlign w:val="center"/>
          </w:tcPr>
          <w:p>
            <w:r>
              <w:rPr>
                <w:sz w:val="18"/>
              </w:rPr>
              <w:t>~900</w:t>
            </w:r>
          </w:p>
        </w:tc>
        <w:tc>
          <w:tcPr>
            <w:tcW w:type="dxa" w:w="1805"/>
            <w:vAlign w:val="center"/>
          </w:tcPr>
          <w:p>
            <w:r>
              <w:rPr>
                <w:sz w:val="18"/>
              </w:rPr>
              <w:t>9%</w:t>
            </w:r>
          </w:p>
        </w:tc>
        <w:tc>
          <w:tcPr>
            <w:tcW w:type="dxa" w:w="1805"/>
            <w:vAlign w:val="center"/>
          </w:tcPr>
          <w:p>
            <w:r>
              <w:rPr>
                <w:sz w:val="18"/>
              </w:rPr>
              <w:t>28,000+</w:t>
            </w:r>
          </w:p>
        </w:tc>
        <w:tc>
          <w:tcPr>
            <w:tcW w:type="dxa" w:w="1805"/>
            <w:vAlign w:val="center"/>
          </w:tcPr>
          <w:p>
            <w:r>
              <w:rPr>
                <w:sz w:val="18"/>
              </w:rPr>
              <w:t>~4,000,000</w:t>
            </w:r>
          </w:p>
        </w:tc>
      </w:tr>
      <w:tr>
        <w:tc>
          <w:tcPr>
            <w:tcW w:type="dxa" w:w="1805"/>
            <w:vAlign w:val="center"/>
          </w:tcPr>
          <w:p>
            <w:r>
              <w:rPr>
                <w:sz w:val="18"/>
              </w:rPr>
              <w:t>Public</w:t>
            </w:r>
          </w:p>
        </w:tc>
        <w:tc>
          <w:tcPr>
            <w:tcW w:type="dxa" w:w="1805"/>
            <w:vAlign w:val="center"/>
          </w:tcPr>
          <w:p>
            <w:r>
              <w:rPr>
                <w:sz w:val="18"/>
              </w:rPr>
              <w:t>~700</w:t>
            </w:r>
          </w:p>
        </w:tc>
        <w:tc>
          <w:tcPr>
            <w:tcW w:type="dxa" w:w="1805"/>
            <w:vAlign w:val="center"/>
          </w:tcPr>
          <w:p>
            <w:r>
              <w:rPr>
                <w:sz w:val="18"/>
              </w:rPr>
              <w:t>7%</w:t>
            </w:r>
          </w:p>
        </w:tc>
        <w:tc>
          <w:tcPr>
            <w:tcW w:type="dxa" w:w="1805"/>
            <w:vAlign w:val="center"/>
          </w:tcPr>
          <w:p>
            <w:r>
              <w:rPr>
                <w:sz w:val="18"/>
              </w:rPr>
              <w:t>24,000+</w:t>
            </w:r>
          </w:p>
        </w:tc>
        <w:tc>
          <w:tcPr>
            <w:tcW w:type="dxa" w:w="1805"/>
            <w:vAlign w:val="center"/>
          </w:tcPr>
          <w:p>
            <w:r>
              <w:rPr>
                <w:sz w:val="18"/>
              </w:rPr>
              <w:t>~3,200,000</w:t>
            </w:r>
          </w:p>
        </w:tc>
      </w:tr>
      <w:tr>
        <w:tc>
          <w:tcPr>
            <w:tcW w:type="dxa" w:w="1805"/>
            <w:vAlign w:val="center"/>
          </w:tcPr>
          <w:p>
            <w:r>
              <w:rPr>
                <w:sz w:val="18"/>
              </w:rPr>
              <w:t>Power supply</w:t>
            </w:r>
          </w:p>
        </w:tc>
        <w:tc>
          <w:tcPr>
            <w:tcW w:type="dxa" w:w="1805"/>
            <w:vAlign w:val="center"/>
          </w:tcPr>
          <w:p>
            <w:r>
              <w:rPr>
                <w:sz w:val="18"/>
              </w:rPr>
              <w:t>~200</w:t>
            </w:r>
          </w:p>
        </w:tc>
        <w:tc>
          <w:tcPr>
            <w:tcW w:type="dxa" w:w="1805"/>
            <w:vAlign w:val="center"/>
          </w:tcPr>
          <w:p>
            <w:r>
              <w:rPr>
                <w:sz w:val="18"/>
              </w:rPr>
              <w:t>2%</w:t>
            </w:r>
          </w:p>
        </w:tc>
        <w:tc>
          <w:tcPr>
            <w:tcW w:type="dxa" w:w="1805"/>
            <w:vAlign w:val="center"/>
          </w:tcPr>
          <w:p>
            <w:r>
              <w:rPr>
                <w:sz w:val="18"/>
              </w:rPr>
              <w:t>45,000+</w:t>
            </w:r>
          </w:p>
        </w:tc>
        <w:tc>
          <w:tcPr>
            <w:tcW w:type="dxa" w:w="1805"/>
            <w:vAlign w:val="center"/>
          </w:tcPr>
          <w:p>
            <w:r>
              <w:rPr>
                <w:sz w:val="18"/>
              </w:rPr>
              <w:t>~4,800,000</w:t>
            </w:r>
          </w:p>
        </w:tc>
      </w:tr>
      <w:tr>
        <w:tc>
          <w:tcPr>
            <w:tcW w:type="dxa" w:w="1805"/>
            <w:vAlign w:val="center"/>
          </w:tcPr>
          <w:p>
            <w:r>
              <w:rPr>
                <w:sz w:val="18"/>
              </w:rPr>
              <w:t>Operational</w:t>
            </w:r>
          </w:p>
        </w:tc>
        <w:tc>
          <w:tcPr>
            <w:tcW w:type="dxa" w:w="1805"/>
            <w:vAlign w:val="center"/>
          </w:tcPr>
          <w:p>
            <w:r>
              <w:rPr>
                <w:sz w:val="18"/>
              </w:rPr>
              <w:t>~200</w:t>
            </w:r>
          </w:p>
        </w:tc>
        <w:tc>
          <w:tcPr>
            <w:tcW w:type="dxa" w:w="1805"/>
            <w:vAlign w:val="center"/>
          </w:tcPr>
          <w:p>
            <w:r>
              <w:rPr>
                <w:sz w:val="18"/>
              </w:rPr>
              <w:t>2%</w:t>
            </w:r>
          </w:p>
        </w:tc>
        <w:tc>
          <w:tcPr>
            <w:tcW w:type="dxa" w:w="1805"/>
            <w:vAlign w:val="center"/>
          </w:tcPr>
          <w:p>
            <w:r>
              <w:rPr>
                <w:sz w:val="18"/>
              </w:rPr>
              <w:t>10,000+</w:t>
            </w:r>
          </w:p>
        </w:tc>
        <w:tc>
          <w:tcPr>
            <w:tcW w:type="dxa" w:w="1805"/>
            <w:vAlign w:val="center"/>
          </w:tcPr>
          <w:p>
            <w:r>
              <w:rPr>
                <w:sz w:val="18"/>
              </w:rPr>
              <w:t>~1,200,000</w:t>
            </w:r>
          </w:p>
        </w:tc>
      </w:tr>
      <w:tr>
        <w:tc>
          <w:tcPr>
            <w:tcW w:type="dxa" w:w="1805"/>
            <w:vAlign w:val="center"/>
          </w:tcPr>
          <w:p>
            <w:r>
              <w:rPr>
                <w:sz w:val="18"/>
              </w:rPr>
              <w:t>Planned</w:t>
            </w:r>
          </w:p>
        </w:tc>
        <w:tc>
          <w:tcPr>
            <w:tcW w:type="dxa" w:w="1805"/>
            <w:vAlign w:val="center"/>
          </w:tcPr>
          <w:p>
            <w:r>
              <w:rPr>
                <w:sz w:val="18"/>
              </w:rPr>
              <w:t>~600</w:t>
            </w:r>
          </w:p>
        </w:tc>
        <w:tc>
          <w:tcPr>
            <w:tcW w:type="dxa" w:w="1805"/>
            <w:vAlign w:val="center"/>
          </w:tcPr>
          <w:p>
            <w:r>
              <w:rPr>
                <w:sz w:val="18"/>
              </w:rPr>
              <w:t>6%</w:t>
            </w:r>
          </w:p>
        </w:tc>
        <w:tc>
          <w:tcPr>
            <w:tcW w:type="dxa" w:w="1805"/>
            <w:vAlign w:val="center"/>
          </w:tcPr>
          <w:p>
            <w:r>
              <w:rPr>
                <w:sz w:val="18"/>
              </w:rPr>
              <w:t>35,000+</w:t>
            </w:r>
          </w:p>
        </w:tc>
        <w:tc>
          <w:tcPr>
            <w:tcW w:type="dxa" w:w="1805"/>
            <w:vAlign w:val="center"/>
          </w:tcPr>
          <w:p>
            <w:r>
              <w:rPr>
                <w:sz w:val="18"/>
              </w:rPr>
              <w:t>~2,500,000</w:t>
            </w:r>
          </w:p>
        </w:tc>
      </w:tr>
      <w:tr>
        <w:tc>
          <w:tcPr>
            <w:tcW w:type="dxa" w:w="1805"/>
            <w:vAlign w:val="center"/>
          </w:tcPr>
          <w:p>
            <w:r>
              <w:rPr>
                <w:sz w:val="18"/>
              </w:rPr>
              <w:t>Unknown</w:t>
            </w:r>
          </w:p>
        </w:tc>
        <w:tc>
          <w:tcPr>
            <w:tcW w:type="dxa" w:w="1805"/>
            <w:vAlign w:val="center"/>
          </w:tcPr>
          <w:p>
            <w:r>
              <w:rPr>
                <w:sz w:val="18"/>
              </w:rPr>
              <w:t>~800</w:t>
            </w:r>
          </w:p>
        </w:tc>
        <w:tc>
          <w:tcPr>
            <w:tcW w:type="dxa" w:w="1805"/>
            <w:vAlign w:val="center"/>
          </w:tcPr>
          <w:p>
            <w:r>
              <w:rPr>
                <w:sz w:val="18"/>
              </w:rPr>
              <w:t>8%</w:t>
            </w:r>
          </w:p>
        </w:tc>
        <w:tc>
          <w:tcPr>
            <w:tcW w:type="dxa" w:w="1805"/>
            <w:vAlign w:val="center"/>
          </w:tcPr>
          <w:p>
            <w:r>
              <w:rPr>
                <w:sz w:val="18"/>
              </w:rPr>
              <w:t>35,000+</w:t>
            </w:r>
          </w:p>
        </w:tc>
        <w:tc>
          <w:tcPr>
            <w:tcW w:type="dxa" w:w="1805"/>
            <w:vAlign w:val="center"/>
          </w:tcPr>
          <w:p>
            <w:r>
              <w:rPr>
                <w:sz w:val="18"/>
              </w:rPr>
              <w:t>~1,900,000</w:t>
            </w:r>
          </w:p>
        </w:tc>
      </w:tr>
    </w:tbl>
    <w:p>
      <w:r>
        <w:rPr>
          <w:sz w:val="20"/>
        </w:rPr>
      </w:r>
      <w:r>
        <w:rPr>
          <w:i/>
          <w:sz w:val="20"/>
        </w:rPr>
        <w:t>Precise counts are in `data/outage_events_2024-01-01_2025-01-31.csv`. Figures above are approximate from preliminary data.</w:t>
      </w:r>
      <w:r>
        <w:rPr>
          <w:sz w:val="20"/>
        </w:rPr>
      </w:r>
    </w:p>
    <w:p>
      <w:pPr>
        <w:pStyle w:val="Heading3"/>
      </w:pPr>
      <w:r>
        <w:rPr>
          <w:sz w:val="28"/>
        </w:rPr>
        <w:t>18.4 Monthly SAIFI Profile — 2024 (Preliminary)</w:t>
      </w:r>
    </w:p>
    <w:p>
      <w:r>
        <w:rPr>
          <w:sz w:val="20"/>
        </w:rPr>
      </w:r>
      <w:r>
        <w:rPr>
          <w:b/>
          <w:sz w:val="20"/>
        </w:rPr>
        <w:t>Table 18-C: Monthly SAIDI/SAIFI — 2024 With and Without MED</w:t>
      </w:r>
      <w:r>
        <w:rPr>
          <w:sz w:val="20"/>
        </w:rPr>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vAlign w:val="center"/>
            <w:shd w:val="clear" w:color="auto" w:fill="D9E1F2"/>
          </w:tcPr>
          <w:p>
            <w:r>
              <w:rPr>
                <w:b/>
                <w:sz w:val="18"/>
              </w:rPr>
              <w:t>Month</w:t>
            </w:r>
          </w:p>
        </w:tc>
        <w:tc>
          <w:tcPr>
            <w:tcW w:type="dxa" w:w="1805"/>
            <w:vAlign w:val="center"/>
            <w:shd w:val="clear" w:color="auto" w:fill="D9E1F2"/>
          </w:tcPr>
          <w:p>
            <w:r>
              <w:rPr>
                <w:b/>
                <w:sz w:val="18"/>
              </w:rPr>
              <w:t>SAIFI (with MED)</w:t>
            </w:r>
          </w:p>
        </w:tc>
        <w:tc>
          <w:tcPr>
            <w:tcW w:type="dxa" w:w="1805"/>
            <w:vAlign w:val="center"/>
            <w:shd w:val="clear" w:color="auto" w:fill="D9E1F2"/>
          </w:tcPr>
          <w:p>
            <w:r>
              <w:rPr>
                <w:b/>
                <w:sz w:val="18"/>
              </w:rPr>
              <w:t>SAIFI (ex-MED)</w:t>
            </w:r>
          </w:p>
        </w:tc>
        <w:tc>
          <w:tcPr>
            <w:tcW w:type="dxa" w:w="1805"/>
            <w:vAlign w:val="center"/>
            <w:shd w:val="clear" w:color="auto" w:fill="D9E1F2"/>
          </w:tcPr>
          <w:p>
            <w:r>
              <w:rPr>
                <w:b/>
                <w:sz w:val="18"/>
              </w:rPr>
              <w:t>SAIDI (with MED)</w:t>
            </w:r>
          </w:p>
        </w:tc>
        <w:tc>
          <w:tcPr>
            <w:tcW w:type="dxa" w:w="1805"/>
            <w:vAlign w:val="center"/>
            <w:shd w:val="clear" w:color="auto" w:fill="D9E1F2"/>
          </w:tcPr>
          <w:p>
            <w:r>
              <w:rPr>
                <w:b/>
                <w:sz w:val="18"/>
              </w:rPr>
              <w:t>SAIDI (ex-MED)</w:t>
            </w:r>
          </w:p>
        </w:tc>
      </w:tr>
      <w:tr>
        <w:tc>
          <w:tcPr>
            <w:tcW w:type="dxa" w:w="1805"/>
            <w:vAlign w:val="center"/>
          </w:tcPr>
          <w:p>
            <w:r>
              <w:rPr>
                <w:sz w:val="18"/>
              </w:rPr>
              <w:t>Jan</w:t>
            </w:r>
          </w:p>
        </w:tc>
        <w:tc>
          <w:tcPr>
            <w:tcW w:type="dxa" w:w="1805"/>
            <w:vAlign w:val="center"/>
          </w:tcPr>
          <w:p>
            <w:r>
              <w:rPr>
                <w:sz w:val="18"/>
              </w:rPr>
              <w:t>0.0642</w:t>
            </w:r>
          </w:p>
        </w:tc>
        <w:tc>
          <w:tcPr>
            <w:tcW w:type="dxa" w:w="1805"/>
            <w:vAlign w:val="center"/>
          </w:tcPr>
          <w:p>
            <w:r>
              <w:rPr>
                <w:sz w:val="18"/>
              </w:rPr>
              <w:t>0.0642</w:t>
            </w:r>
          </w:p>
        </w:tc>
        <w:tc>
          <w:tcPr>
            <w:tcW w:type="dxa" w:w="1805"/>
            <w:vAlign w:val="center"/>
          </w:tcPr>
          <w:p>
            <w:r>
              <w:rPr>
                <w:sz w:val="18"/>
              </w:rPr>
              <w:t>8.67</w:t>
            </w:r>
          </w:p>
        </w:tc>
        <w:tc>
          <w:tcPr>
            <w:tcW w:type="dxa" w:w="1805"/>
            <w:vAlign w:val="center"/>
          </w:tcPr>
          <w:p>
            <w:r>
              <w:rPr>
                <w:sz w:val="18"/>
              </w:rPr>
              <w:t>8.67</w:t>
            </w:r>
          </w:p>
        </w:tc>
      </w:tr>
      <w:tr>
        <w:tc>
          <w:tcPr>
            <w:tcW w:type="dxa" w:w="1805"/>
            <w:vAlign w:val="center"/>
          </w:tcPr>
          <w:p>
            <w:r>
              <w:rPr>
                <w:sz w:val="18"/>
              </w:rPr>
              <w:t>Feb</w:t>
            </w:r>
          </w:p>
        </w:tc>
        <w:tc>
          <w:tcPr>
            <w:tcW w:type="dxa" w:w="1805"/>
            <w:vAlign w:val="center"/>
          </w:tcPr>
          <w:p>
            <w:r>
              <w:rPr>
                <w:sz w:val="18"/>
              </w:rPr>
              <w:t>0.0495</w:t>
            </w:r>
          </w:p>
        </w:tc>
        <w:tc>
          <w:tcPr>
            <w:tcW w:type="dxa" w:w="1805"/>
            <w:vAlign w:val="center"/>
          </w:tcPr>
          <w:p>
            <w:r>
              <w:rPr>
                <w:sz w:val="18"/>
              </w:rPr>
              <w:t>0.0495</w:t>
            </w:r>
          </w:p>
        </w:tc>
        <w:tc>
          <w:tcPr>
            <w:tcW w:type="dxa" w:w="1805"/>
            <w:vAlign w:val="center"/>
          </w:tcPr>
          <w:p>
            <w:r>
              <w:rPr>
                <w:sz w:val="18"/>
              </w:rPr>
              <w:t>6.59</w:t>
            </w:r>
          </w:p>
        </w:tc>
        <w:tc>
          <w:tcPr>
            <w:tcW w:type="dxa" w:w="1805"/>
            <w:vAlign w:val="center"/>
          </w:tcPr>
          <w:p>
            <w:r>
              <w:rPr>
                <w:sz w:val="18"/>
              </w:rPr>
              <w:t>6.59</w:t>
            </w:r>
          </w:p>
        </w:tc>
      </w:tr>
      <w:tr>
        <w:tc>
          <w:tcPr>
            <w:tcW w:type="dxa" w:w="1805"/>
            <w:vAlign w:val="center"/>
          </w:tcPr>
          <w:p>
            <w:r>
              <w:rPr>
                <w:sz w:val="18"/>
              </w:rPr>
              <w:t>Mar</w:t>
            </w:r>
          </w:p>
        </w:tc>
        <w:tc>
          <w:tcPr>
            <w:tcW w:type="dxa" w:w="1805"/>
            <w:vAlign w:val="center"/>
          </w:tcPr>
          <w:p>
            <w:r>
              <w:rPr>
                <w:sz w:val="18"/>
              </w:rPr>
              <w:t>0.3008</w:t>
            </w:r>
          </w:p>
        </w:tc>
        <w:tc>
          <w:tcPr>
            <w:tcW w:type="dxa" w:w="1805"/>
            <w:vAlign w:val="center"/>
          </w:tcPr>
          <w:p>
            <w:r>
              <w:rPr>
                <w:sz w:val="18"/>
              </w:rPr>
              <w:t>0.0870</w:t>
            </w:r>
          </w:p>
        </w:tc>
        <w:tc>
          <w:tcPr>
            <w:tcW w:type="dxa" w:w="1805"/>
            <w:vAlign w:val="center"/>
          </w:tcPr>
          <w:p>
            <w:r>
              <w:rPr>
                <w:sz w:val="18"/>
              </w:rPr>
              <w:t>49.28</w:t>
            </w:r>
          </w:p>
        </w:tc>
        <w:tc>
          <w:tcPr>
            <w:tcW w:type="dxa" w:w="1805"/>
            <w:vAlign w:val="center"/>
          </w:tcPr>
          <w:p>
            <w:r>
              <w:rPr>
                <w:sz w:val="18"/>
              </w:rPr>
              <w:t>10.47</w:t>
            </w:r>
          </w:p>
        </w:tc>
      </w:tr>
      <w:tr>
        <w:tc>
          <w:tcPr>
            <w:tcW w:type="dxa" w:w="1805"/>
            <w:vAlign w:val="center"/>
          </w:tcPr>
          <w:p>
            <w:r>
              <w:rPr>
                <w:sz w:val="18"/>
              </w:rPr>
              <w:t>Apr</w:t>
            </w:r>
          </w:p>
        </w:tc>
        <w:tc>
          <w:tcPr>
            <w:tcW w:type="dxa" w:w="1805"/>
            <w:vAlign w:val="center"/>
          </w:tcPr>
          <w:p>
            <w:r>
              <w:rPr>
                <w:sz w:val="18"/>
              </w:rPr>
              <w:t>0.1053</w:t>
            </w:r>
          </w:p>
        </w:tc>
        <w:tc>
          <w:tcPr>
            <w:tcW w:type="dxa" w:w="1805"/>
            <w:vAlign w:val="center"/>
          </w:tcPr>
          <w:p>
            <w:r>
              <w:rPr>
                <w:sz w:val="18"/>
              </w:rPr>
              <w:t>0.1053</w:t>
            </w:r>
          </w:p>
        </w:tc>
        <w:tc>
          <w:tcPr>
            <w:tcW w:type="dxa" w:w="1805"/>
            <w:vAlign w:val="center"/>
          </w:tcPr>
          <w:p>
            <w:r>
              <w:rPr>
                <w:sz w:val="18"/>
              </w:rPr>
              <w:t>17.55</w:t>
            </w:r>
          </w:p>
        </w:tc>
        <w:tc>
          <w:tcPr>
            <w:tcW w:type="dxa" w:w="1805"/>
            <w:vAlign w:val="center"/>
          </w:tcPr>
          <w:p>
            <w:r>
              <w:rPr>
                <w:sz w:val="18"/>
              </w:rPr>
              <w:t>17.55</w:t>
            </w:r>
          </w:p>
        </w:tc>
      </w:tr>
      <w:tr>
        <w:tc>
          <w:tcPr>
            <w:tcW w:type="dxa" w:w="1805"/>
            <w:vAlign w:val="center"/>
          </w:tcPr>
          <w:p>
            <w:r>
              <w:rPr>
                <w:sz w:val="18"/>
              </w:rPr>
              <w:t>May</w:t>
            </w:r>
          </w:p>
        </w:tc>
        <w:tc>
          <w:tcPr>
            <w:tcW w:type="dxa" w:w="1805"/>
            <w:vAlign w:val="center"/>
          </w:tcPr>
          <w:p>
            <w:r>
              <w:rPr>
                <w:sz w:val="18"/>
              </w:rPr>
              <w:t>0.2162</w:t>
            </w:r>
          </w:p>
        </w:tc>
        <w:tc>
          <w:tcPr>
            <w:tcW w:type="dxa" w:w="1805"/>
            <w:vAlign w:val="center"/>
          </w:tcPr>
          <w:p>
            <w:r>
              <w:rPr>
                <w:sz w:val="18"/>
              </w:rPr>
              <w:t>0.1343</w:t>
            </w:r>
          </w:p>
        </w:tc>
        <w:tc>
          <w:tcPr>
            <w:tcW w:type="dxa" w:w="1805"/>
            <w:vAlign w:val="center"/>
          </w:tcPr>
          <w:p>
            <w:r>
              <w:rPr>
                <w:sz w:val="18"/>
              </w:rPr>
              <w:t>36.71</w:t>
            </w:r>
          </w:p>
        </w:tc>
        <w:tc>
          <w:tcPr>
            <w:tcW w:type="dxa" w:w="1805"/>
            <w:vAlign w:val="center"/>
          </w:tcPr>
          <w:p>
            <w:r>
              <w:rPr>
                <w:sz w:val="18"/>
              </w:rPr>
              <w:t>16.08</w:t>
            </w:r>
          </w:p>
        </w:tc>
      </w:tr>
      <w:tr>
        <w:tc>
          <w:tcPr>
            <w:tcW w:type="dxa" w:w="1805"/>
            <w:vAlign w:val="center"/>
          </w:tcPr>
          <w:p>
            <w:r>
              <w:rPr>
                <w:sz w:val="18"/>
              </w:rPr>
              <w:t>Jun</w:t>
            </w:r>
          </w:p>
        </w:tc>
        <w:tc>
          <w:tcPr>
            <w:tcW w:type="dxa" w:w="1805"/>
            <w:vAlign w:val="center"/>
          </w:tcPr>
          <w:p>
            <w:r>
              <w:rPr>
                <w:sz w:val="18"/>
              </w:rPr>
              <w:t>0.1369</w:t>
            </w:r>
          </w:p>
        </w:tc>
        <w:tc>
          <w:tcPr>
            <w:tcW w:type="dxa" w:w="1805"/>
            <w:vAlign w:val="center"/>
          </w:tcPr>
          <w:p>
            <w:r>
              <w:rPr>
                <w:sz w:val="18"/>
              </w:rPr>
              <w:t>0.1369</w:t>
            </w:r>
          </w:p>
        </w:tc>
        <w:tc>
          <w:tcPr>
            <w:tcW w:type="dxa" w:w="1805"/>
            <w:vAlign w:val="center"/>
          </w:tcPr>
          <w:p>
            <w:r>
              <w:rPr>
                <w:sz w:val="18"/>
              </w:rPr>
              <w:t>14.97</w:t>
            </w:r>
          </w:p>
        </w:tc>
        <w:tc>
          <w:tcPr>
            <w:tcW w:type="dxa" w:w="1805"/>
            <w:vAlign w:val="center"/>
          </w:tcPr>
          <w:p>
            <w:r>
              <w:rPr>
                <w:sz w:val="18"/>
              </w:rPr>
              <w:t>14.97</w:t>
            </w:r>
          </w:p>
        </w:tc>
      </w:tr>
      <w:tr>
        <w:tc>
          <w:tcPr>
            <w:tcW w:type="dxa" w:w="1805"/>
            <w:vAlign w:val="center"/>
          </w:tcPr>
          <w:p>
            <w:r>
              <w:rPr>
                <w:sz w:val="18"/>
              </w:rPr>
              <w:t>Jul</w:t>
            </w:r>
          </w:p>
        </w:tc>
        <w:tc>
          <w:tcPr>
            <w:tcW w:type="dxa" w:w="1805"/>
            <w:vAlign w:val="center"/>
          </w:tcPr>
          <w:p>
            <w:r>
              <w:rPr>
                <w:sz w:val="18"/>
              </w:rPr>
              <w:t>0.2095</w:t>
            </w:r>
          </w:p>
        </w:tc>
        <w:tc>
          <w:tcPr>
            <w:tcW w:type="dxa" w:w="1805"/>
            <w:vAlign w:val="center"/>
          </w:tcPr>
          <w:p>
            <w:r>
              <w:rPr>
                <w:sz w:val="18"/>
              </w:rPr>
              <w:t>0.1600</w:t>
            </w:r>
          </w:p>
        </w:tc>
        <w:tc>
          <w:tcPr>
            <w:tcW w:type="dxa" w:w="1805"/>
            <w:vAlign w:val="center"/>
          </w:tcPr>
          <w:p>
            <w:r>
              <w:rPr>
                <w:sz w:val="18"/>
              </w:rPr>
              <w:t>39.49</w:t>
            </w:r>
          </w:p>
        </w:tc>
        <w:tc>
          <w:tcPr>
            <w:tcW w:type="dxa" w:w="1805"/>
            <w:vAlign w:val="center"/>
          </w:tcPr>
          <w:p>
            <w:r>
              <w:rPr>
                <w:sz w:val="18"/>
              </w:rPr>
              <w:t>21.06</w:t>
            </w:r>
          </w:p>
        </w:tc>
      </w:tr>
      <w:tr>
        <w:tc>
          <w:tcPr>
            <w:tcW w:type="dxa" w:w="1805"/>
            <w:vAlign w:val="center"/>
          </w:tcPr>
          <w:p>
            <w:r>
              <w:rPr>
                <w:sz w:val="18"/>
              </w:rPr>
              <w:t>Aug</w:t>
            </w:r>
          </w:p>
        </w:tc>
        <w:tc>
          <w:tcPr>
            <w:tcW w:type="dxa" w:w="1805"/>
            <w:vAlign w:val="center"/>
          </w:tcPr>
          <w:p>
            <w:r>
              <w:rPr>
                <w:sz w:val="18"/>
              </w:rPr>
              <w:t>0.1479</w:t>
            </w:r>
          </w:p>
        </w:tc>
        <w:tc>
          <w:tcPr>
            <w:tcW w:type="dxa" w:w="1805"/>
            <w:vAlign w:val="center"/>
          </w:tcPr>
          <w:p>
            <w:r>
              <w:rPr>
                <w:sz w:val="18"/>
              </w:rPr>
              <w:t>0.0774</w:t>
            </w:r>
          </w:p>
        </w:tc>
        <w:tc>
          <w:tcPr>
            <w:tcW w:type="dxa" w:w="1805"/>
            <w:vAlign w:val="center"/>
          </w:tcPr>
          <w:p>
            <w:r>
              <w:rPr>
                <w:sz w:val="18"/>
              </w:rPr>
              <w:t>26.26</w:t>
            </w:r>
          </w:p>
        </w:tc>
        <w:tc>
          <w:tcPr>
            <w:tcW w:type="dxa" w:w="1805"/>
            <w:vAlign w:val="center"/>
          </w:tcPr>
          <w:p>
            <w:r>
              <w:rPr>
                <w:sz w:val="18"/>
              </w:rPr>
              <w:t>7.99</w:t>
            </w:r>
          </w:p>
        </w:tc>
      </w:tr>
      <w:tr>
        <w:tc>
          <w:tcPr>
            <w:tcW w:type="dxa" w:w="1805"/>
            <w:vAlign w:val="center"/>
          </w:tcPr>
          <w:p>
            <w:r>
              <w:rPr>
                <w:sz w:val="18"/>
              </w:rPr>
              <w:t>Sep</w:t>
            </w:r>
          </w:p>
        </w:tc>
        <w:tc>
          <w:tcPr>
            <w:tcW w:type="dxa" w:w="1805"/>
            <w:vAlign w:val="center"/>
          </w:tcPr>
          <w:p>
            <w:r>
              <w:rPr>
                <w:sz w:val="18"/>
              </w:rPr>
              <w:t>0.0871</w:t>
            </w:r>
          </w:p>
        </w:tc>
        <w:tc>
          <w:tcPr>
            <w:tcW w:type="dxa" w:w="1805"/>
            <w:vAlign w:val="center"/>
          </w:tcPr>
          <w:p>
            <w:r>
              <w:rPr>
                <w:sz w:val="18"/>
              </w:rPr>
              <w:t>0.0871</w:t>
            </w:r>
          </w:p>
        </w:tc>
        <w:tc>
          <w:tcPr>
            <w:tcW w:type="dxa" w:w="1805"/>
            <w:vAlign w:val="center"/>
          </w:tcPr>
          <w:p>
            <w:r>
              <w:rPr>
                <w:sz w:val="18"/>
              </w:rPr>
              <w:t>8.17</w:t>
            </w:r>
          </w:p>
        </w:tc>
        <w:tc>
          <w:tcPr>
            <w:tcW w:type="dxa" w:w="1805"/>
            <w:vAlign w:val="center"/>
          </w:tcPr>
          <w:p>
            <w:r>
              <w:rPr>
                <w:sz w:val="18"/>
              </w:rPr>
              <w:t>8.17</w:t>
            </w:r>
          </w:p>
        </w:tc>
      </w:tr>
      <w:tr>
        <w:tc>
          <w:tcPr>
            <w:tcW w:type="dxa" w:w="1805"/>
            <w:vAlign w:val="center"/>
          </w:tcPr>
          <w:p>
            <w:r>
              <w:rPr>
                <w:sz w:val="18"/>
              </w:rPr>
              <w:t>Oct</w:t>
            </w:r>
          </w:p>
        </w:tc>
        <w:tc>
          <w:tcPr>
            <w:tcW w:type="dxa" w:w="1805"/>
            <w:vAlign w:val="center"/>
          </w:tcPr>
          <w:p>
            <w:r>
              <w:rPr>
                <w:sz w:val="18"/>
              </w:rPr>
              <w:t>0.0753</w:t>
            </w:r>
          </w:p>
        </w:tc>
        <w:tc>
          <w:tcPr>
            <w:tcW w:type="dxa" w:w="1805"/>
            <w:vAlign w:val="center"/>
          </w:tcPr>
          <w:p>
            <w:r>
              <w:rPr>
                <w:sz w:val="18"/>
              </w:rPr>
              <w:t>0.0753</w:t>
            </w:r>
          </w:p>
        </w:tc>
        <w:tc>
          <w:tcPr>
            <w:tcW w:type="dxa" w:w="1805"/>
            <w:vAlign w:val="center"/>
          </w:tcPr>
          <w:p>
            <w:r>
              <w:rPr>
                <w:sz w:val="18"/>
              </w:rPr>
              <w:t>11.48</w:t>
            </w:r>
          </w:p>
        </w:tc>
        <w:tc>
          <w:tcPr>
            <w:tcW w:type="dxa" w:w="1805"/>
            <w:vAlign w:val="center"/>
          </w:tcPr>
          <w:p>
            <w:r>
              <w:rPr>
                <w:sz w:val="18"/>
              </w:rPr>
              <w:t>11.48</w:t>
            </w:r>
          </w:p>
        </w:tc>
      </w:tr>
      <w:tr>
        <w:tc>
          <w:tcPr>
            <w:tcW w:type="dxa" w:w="1805"/>
            <w:vAlign w:val="center"/>
          </w:tcPr>
          <w:p>
            <w:r>
              <w:rPr>
                <w:sz w:val="18"/>
              </w:rPr>
              <w:t>Nov</w:t>
            </w:r>
          </w:p>
        </w:tc>
        <w:tc>
          <w:tcPr>
            <w:tcW w:type="dxa" w:w="1805"/>
            <w:vAlign w:val="center"/>
          </w:tcPr>
          <w:p>
            <w:r>
              <w:rPr>
                <w:sz w:val="18"/>
              </w:rPr>
              <w:t>0.0464</w:t>
            </w:r>
          </w:p>
        </w:tc>
        <w:tc>
          <w:tcPr>
            <w:tcW w:type="dxa" w:w="1805"/>
            <w:vAlign w:val="center"/>
          </w:tcPr>
          <w:p>
            <w:r>
              <w:rPr>
                <w:sz w:val="18"/>
              </w:rPr>
              <w:t>0.0464</w:t>
            </w:r>
          </w:p>
        </w:tc>
        <w:tc>
          <w:tcPr>
            <w:tcW w:type="dxa" w:w="1805"/>
            <w:vAlign w:val="center"/>
          </w:tcPr>
          <w:p>
            <w:r>
              <w:rPr>
                <w:sz w:val="18"/>
              </w:rPr>
              <w:t>4.18</w:t>
            </w:r>
          </w:p>
        </w:tc>
        <w:tc>
          <w:tcPr>
            <w:tcW w:type="dxa" w:w="1805"/>
            <w:vAlign w:val="center"/>
          </w:tcPr>
          <w:p>
            <w:r>
              <w:rPr>
                <w:sz w:val="18"/>
              </w:rPr>
              <w:t>4.18</w:t>
            </w:r>
          </w:p>
        </w:tc>
      </w:tr>
      <w:tr>
        <w:tc>
          <w:tcPr>
            <w:tcW w:type="dxa" w:w="1805"/>
            <w:vAlign w:val="center"/>
          </w:tcPr>
          <w:p>
            <w:r>
              <w:rPr>
                <w:sz w:val="18"/>
              </w:rPr>
              <w:t>Dec</w:t>
            </w:r>
          </w:p>
        </w:tc>
        <w:tc>
          <w:tcPr>
            <w:tcW w:type="dxa" w:w="1805"/>
            <w:vAlign w:val="center"/>
          </w:tcPr>
          <w:p>
            <w:r>
              <w:rPr>
                <w:sz w:val="18"/>
              </w:rPr>
              <w:t>0.1340</w:t>
            </w:r>
          </w:p>
        </w:tc>
        <w:tc>
          <w:tcPr>
            <w:tcW w:type="dxa" w:w="1805"/>
            <w:vAlign w:val="center"/>
          </w:tcPr>
          <w:p>
            <w:r>
              <w:rPr>
                <w:sz w:val="18"/>
              </w:rPr>
              <w:t>0.0757</w:t>
            </w:r>
          </w:p>
        </w:tc>
        <w:tc>
          <w:tcPr>
            <w:tcW w:type="dxa" w:w="1805"/>
            <w:vAlign w:val="center"/>
          </w:tcPr>
          <w:p>
            <w:r>
              <w:rPr>
                <w:sz w:val="18"/>
              </w:rPr>
              <w:t>38.93</w:t>
            </w:r>
          </w:p>
        </w:tc>
        <w:tc>
          <w:tcPr>
            <w:tcW w:type="dxa" w:w="1805"/>
            <w:vAlign w:val="center"/>
          </w:tcPr>
          <w:p>
            <w:r>
              <w:rPr>
                <w:sz w:val="18"/>
              </w:rPr>
              <w:t>11.16</w:t>
            </w:r>
          </w:p>
        </w:tc>
      </w:tr>
      <w:tr>
        <w:tc>
          <w:tcPr>
            <w:tcW w:type="dxa" w:w="1805"/>
            <w:vAlign w:val="center"/>
          </w:tcPr>
          <w:p>
            <w:r>
              <w:rPr>
                <w:sz w:val="18"/>
              </w:rPr>
              <w:t>Annual</w:t>
            </w:r>
          </w:p>
        </w:tc>
        <w:tc>
          <w:tcPr>
            <w:tcW w:type="dxa" w:w="1805"/>
            <w:vAlign w:val="center"/>
          </w:tcPr>
          <w:p>
            <w:r>
              <w:rPr>
                <w:sz w:val="18"/>
              </w:rPr>
              <w:t>1.5723</w:t>
            </w:r>
          </w:p>
        </w:tc>
        <w:tc>
          <w:tcPr>
            <w:tcW w:type="dxa" w:w="1805"/>
            <w:vAlign w:val="center"/>
          </w:tcPr>
          <w:p>
            <w:r>
              <w:rPr>
                <w:sz w:val="18"/>
              </w:rPr>
              <w:t>1.0987</w:t>
            </w:r>
          </w:p>
        </w:tc>
        <w:tc>
          <w:tcPr>
            <w:tcW w:type="dxa" w:w="1805"/>
            <w:vAlign w:val="center"/>
          </w:tcPr>
          <w:p>
            <w:r>
              <w:rPr>
                <w:sz w:val="18"/>
              </w:rPr>
              <w:t>262.20</w:t>
            </w:r>
          </w:p>
        </w:tc>
        <w:tc>
          <w:tcPr>
            <w:tcW w:type="dxa" w:w="1805"/>
            <w:vAlign w:val="center"/>
          </w:tcPr>
          <w:p>
            <w:r>
              <w:rPr>
                <w:sz w:val="18"/>
              </w:rPr>
              <w:t>138.31</w:t>
            </w:r>
          </w:p>
        </w:tc>
      </w:tr>
    </w:tbl>
    <w:p>
      <w:r>
        <w:rPr>
          <w:sz w:val="20"/>
        </w:rPr>
      </w:r>
      <w:r>
        <w:rPr>
          <w:b/>
          <w:sz w:val="20"/>
        </w:rPr>
        <w:t>Note:</w:t>
      </w:r>
      <w:r>
        <w:rPr>
          <w:sz w:val="20"/>
        </w:rPr>
        <w:t xml:space="preserve"> The difference between with-MED and ex-MED values in March, May, July, August, and December reflects MED day exclusions. Months with no MED show identical with-MED and ex-MED figures.</w:t>
      </w:r>
    </w:p>
    <w:p>
      <w:pPr>
        <w:pStyle w:val="Heading3"/>
      </w:pPr>
      <w:r>
        <w:rPr>
          <w:sz w:val="28"/>
        </w:rPr>
        <w:t>18.5 MED Day Summary</w:t>
      </w:r>
    </w:p>
    <w:p>
      <w:r>
        <w:rPr>
          <w:sz w:val="20"/>
        </w:rPr>
      </w:r>
      <w:r>
        <w:rPr>
          <w:b/>
          <w:sz w:val="20"/>
        </w:rPr>
        <w:t>Table 18-D: 2024 Major Event Days</w:t>
      </w:r>
      <w:r>
        <w:rPr>
          <w:sz w:val="20"/>
        </w:rPr>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vAlign w:val="center"/>
            <w:shd w:val="clear" w:color="auto" w:fill="D9E1F2"/>
          </w:tcPr>
          <w:p>
            <w:r>
              <w:rPr>
                <w:b/>
                <w:sz w:val="18"/>
              </w:rPr>
              <w:t>MED Date</w:t>
            </w:r>
          </w:p>
        </w:tc>
        <w:tc>
          <w:tcPr>
            <w:tcW w:type="dxa" w:w="1805"/>
            <w:vAlign w:val="center"/>
            <w:shd w:val="clear" w:color="auto" w:fill="D9E1F2"/>
          </w:tcPr>
          <w:p>
            <w:r>
              <w:rPr>
                <w:b/>
                <w:sz w:val="18"/>
              </w:rPr>
              <w:t>Incident ID</w:t>
            </w:r>
          </w:p>
        </w:tc>
        <w:tc>
          <w:tcPr>
            <w:tcW w:type="dxa" w:w="1805"/>
            <w:vAlign w:val="center"/>
            <w:shd w:val="clear" w:color="auto" w:fill="D9E1F2"/>
          </w:tcPr>
          <w:p>
            <w:r>
              <w:rPr>
                <w:b/>
                <w:sz w:val="18"/>
              </w:rPr>
              <w:t>Primary Cause</w:t>
            </w:r>
          </w:p>
        </w:tc>
        <w:tc>
          <w:tcPr>
            <w:tcW w:type="dxa" w:w="1805"/>
            <w:vAlign w:val="center"/>
            <w:shd w:val="clear" w:color="auto" w:fill="D9E1F2"/>
          </w:tcPr>
          <w:p>
            <w:r>
              <w:rPr>
                <w:b/>
                <w:sz w:val="18"/>
              </w:rPr>
              <w:t>Peak CI</w:t>
            </w:r>
          </w:p>
        </w:tc>
        <w:tc>
          <w:tcPr>
            <w:tcW w:type="dxa" w:w="1805"/>
            <w:vAlign w:val="center"/>
            <w:shd w:val="clear" w:color="auto" w:fill="D9E1F2"/>
          </w:tcPr>
          <w:p>
            <w:r>
              <w:rPr>
                <w:b/>
                <w:sz w:val="18"/>
              </w:rPr>
              <w:t>SAIDI Contribution (min/cust)</w:t>
            </w:r>
          </w:p>
        </w:tc>
      </w:tr>
      <w:tr>
        <w:tc>
          <w:tcPr>
            <w:tcW w:type="dxa" w:w="1805"/>
            <w:vAlign w:val="center"/>
          </w:tcPr>
          <w:p>
            <w:r>
              <w:rPr>
                <w:sz w:val="18"/>
              </w:rPr>
              <w:t>2024-03-15</w:t>
            </w:r>
          </w:p>
        </w:tc>
        <w:tc>
          <w:tcPr>
            <w:tcW w:type="dxa" w:w="1805"/>
            <w:vAlign w:val="center"/>
          </w:tcPr>
          <w:p>
            <w:r>
              <w:rPr>
                <w:sz w:val="18"/>
              </w:rPr>
              <w:t>INC-2024-00001</w:t>
            </w:r>
          </w:p>
        </w:tc>
        <w:tc>
          <w:tcPr>
            <w:tcW w:type="dxa" w:w="1805"/>
            <w:vAlign w:val="center"/>
          </w:tcPr>
          <w:p>
            <w:r>
              <w:rPr>
                <w:sz w:val="18"/>
              </w:rPr>
              <w:t>Vegetation (wind storm)</w:t>
            </w:r>
          </w:p>
        </w:tc>
        <w:tc>
          <w:tcPr>
            <w:tcW w:type="dxa" w:w="1805"/>
            <w:vAlign w:val="center"/>
          </w:tcPr>
          <w:p>
            <w:r>
              <w:rPr>
                <w:sz w:val="18"/>
              </w:rPr>
              <w:t>26,471</w:t>
            </w:r>
          </w:p>
        </w:tc>
        <w:tc>
          <w:tcPr>
            <w:tcW w:type="dxa" w:w="1805"/>
            <w:vAlign w:val="center"/>
          </w:tcPr>
          <w:p>
            <w:r>
              <w:rPr>
                <w:sz w:val="18"/>
              </w:rPr>
              <w:t>676.85</w:t>
            </w:r>
          </w:p>
        </w:tc>
      </w:tr>
      <w:tr>
        <w:tc>
          <w:tcPr>
            <w:tcW w:type="dxa" w:w="1805"/>
            <w:vAlign w:val="center"/>
          </w:tcPr>
          <w:p>
            <w:r>
              <w:rPr>
                <w:sz w:val="18"/>
              </w:rPr>
              <w:t>2024-05-22</w:t>
            </w:r>
          </w:p>
        </w:tc>
        <w:tc>
          <w:tcPr>
            <w:tcW w:type="dxa" w:w="1805"/>
            <w:vAlign w:val="center"/>
          </w:tcPr>
          <w:p>
            <w:r>
              <w:rPr>
                <w:sz w:val="18"/>
              </w:rPr>
              <w:t>INC-2024-00002</w:t>
            </w:r>
          </w:p>
        </w:tc>
        <w:tc>
          <w:tcPr>
            <w:tcW w:type="dxa" w:w="1805"/>
            <w:vAlign w:val="center"/>
          </w:tcPr>
          <w:p>
            <w:r>
              <w:rPr>
                <w:sz w:val="18"/>
              </w:rPr>
              <w:t>Vegetation (derecho)</w:t>
            </w:r>
          </w:p>
        </w:tc>
        <w:tc>
          <w:tcPr>
            <w:tcW w:type="dxa" w:w="1805"/>
            <w:vAlign w:val="center"/>
          </w:tcPr>
          <w:p>
            <w:r>
              <w:rPr>
                <w:sz w:val="18"/>
              </w:rPr>
              <w:t>13,742</w:t>
            </w:r>
          </w:p>
        </w:tc>
        <w:tc>
          <w:tcPr>
            <w:tcW w:type="dxa" w:w="1805"/>
            <w:vAlign w:val="center"/>
          </w:tcPr>
          <w:p>
            <w:r>
              <w:rPr>
                <w:sz w:val="18"/>
              </w:rPr>
              <w:t>818.02</w:t>
            </w:r>
          </w:p>
        </w:tc>
      </w:tr>
      <w:tr>
        <w:tc>
          <w:tcPr>
            <w:tcW w:type="dxa" w:w="1805"/>
            <w:vAlign w:val="center"/>
          </w:tcPr>
          <w:p>
            <w:r>
              <w:rPr>
                <w:sz w:val="18"/>
              </w:rPr>
              <w:t>2024-07-04</w:t>
            </w:r>
          </w:p>
        </w:tc>
        <w:tc>
          <w:tcPr>
            <w:tcW w:type="dxa" w:w="1805"/>
            <w:vAlign w:val="center"/>
          </w:tcPr>
          <w:p>
            <w:r>
              <w:rPr>
                <w:sz w:val="18"/>
              </w:rPr>
              <w:t>INC-2024-00003</w:t>
            </w:r>
          </w:p>
        </w:tc>
        <w:tc>
          <w:tcPr>
            <w:tcW w:type="dxa" w:w="1805"/>
            <w:vAlign w:val="center"/>
          </w:tcPr>
          <w:p>
            <w:r>
              <w:rPr>
                <w:sz w:val="18"/>
              </w:rPr>
              <w:t>Vegetation (storm complex)</w:t>
            </w:r>
          </w:p>
        </w:tc>
        <w:tc>
          <w:tcPr>
            <w:tcW w:type="dxa" w:w="1805"/>
            <w:vAlign w:val="center"/>
          </w:tcPr>
          <w:p>
            <w:r>
              <w:rPr>
                <w:sz w:val="18"/>
              </w:rPr>
              <w:t>3,529</w:t>
            </w:r>
          </w:p>
        </w:tc>
        <w:tc>
          <w:tcPr>
            <w:tcW w:type="dxa" w:w="1805"/>
            <w:vAlign w:val="center"/>
          </w:tcPr>
          <w:p>
            <w:r>
              <w:rPr>
                <w:sz w:val="18"/>
              </w:rPr>
              <w:t>917.32</w:t>
            </w:r>
          </w:p>
        </w:tc>
      </w:tr>
      <w:tr>
        <w:tc>
          <w:tcPr>
            <w:tcW w:type="dxa" w:w="1805"/>
            <w:vAlign w:val="center"/>
          </w:tcPr>
          <w:p>
            <w:r>
              <w:rPr>
                <w:sz w:val="18"/>
              </w:rPr>
              <w:t>2024-08-09</w:t>
            </w:r>
          </w:p>
        </w:tc>
        <w:tc>
          <w:tcPr>
            <w:tcW w:type="dxa" w:w="1805"/>
            <w:vAlign w:val="center"/>
          </w:tcPr>
          <w:p>
            <w:r>
              <w:rPr>
                <w:sz w:val="18"/>
              </w:rPr>
              <w:t>INC-2024-00004</w:t>
            </w:r>
          </w:p>
        </w:tc>
        <w:tc>
          <w:tcPr>
            <w:tcW w:type="dxa" w:w="1805"/>
            <w:vAlign w:val="center"/>
          </w:tcPr>
          <w:p>
            <w:r>
              <w:rPr>
                <w:sz w:val="18"/>
              </w:rPr>
              <w:t>Vegetation (thunderstorm)</w:t>
            </w:r>
          </w:p>
        </w:tc>
        <w:tc>
          <w:tcPr>
            <w:tcW w:type="dxa" w:w="1805"/>
            <w:vAlign w:val="center"/>
          </w:tcPr>
          <w:p>
            <w:r>
              <w:rPr>
                <w:sz w:val="18"/>
              </w:rPr>
              <w:t>10,819</w:t>
            </w:r>
          </w:p>
        </w:tc>
        <w:tc>
          <w:tcPr>
            <w:tcW w:type="dxa" w:w="1805"/>
            <w:vAlign w:val="center"/>
          </w:tcPr>
          <w:p>
            <w:r>
              <w:rPr>
                <w:sz w:val="18"/>
              </w:rPr>
              <w:t>1,087.16</w:t>
            </w:r>
          </w:p>
        </w:tc>
      </w:tr>
      <w:tr>
        <w:tc>
          <w:tcPr>
            <w:tcW w:type="dxa" w:w="1805"/>
            <w:vAlign w:val="center"/>
          </w:tcPr>
          <w:p>
            <w:r>
              <w:rPr>
                <w:sz w:val="18"/>
              </w:rPr>
              <w:t>2024-12-23</w:t>
            </w:r>
          </w:p>
        </w:tc>
        <w:tc>
          <w:tcPr>
            <w:tcW w:type="dxa" w:w="1805"/>
            <w:vAlign w:val="center"/>
          </w:tcPr>
          <w:p>
            <w:r>
              <w:rPr>
                <w:sz w:val="18"/>
              </w:rPr>
              <w:t>INC-2024-00005</w:t>
            </w:r>
          </w:p>
        </w:tc>
        <w:tc>
          <w:tcPr>
            <w:tcW w:type="dxa" w:w="1805"/>
            <w:vAlign w:val="center"/>
          </w:tcPr>
          <w:p>
            <w:r>
              <w:rPr>
                <w:sz w:val="18"/>
              </w:rPr>
              <w:t>Vegetation (winter storm)</w:t>
            </w:r>
          </w:p>
        </w:tc>
        <w:tc>
          <w:tcPr>
            <w:tcW w:type="dxa" w:w="1805"/>
            <w:vAlign w:val="center"/>
          </w:tcPr>
          <w:p>
            <w:r>
              <w:rPr>
                <w:sz w:val="18"/>
              </w:rPr>
              <w:t>7,640</w:t>
            </w:r>
          </w:p>
        </w:tc>
        <w:tc>
          <w:tcPr>
            <w:tcW w:type="dxa" w:w="1805"/>
            <w:vAlign w:val="center"/>
          </w:tcPr>
          <w:p>
            <w:r>
              <w:rPr>
                <w:sz w:val="18"/>
              </w:rPr>
              <w:t>989.29</w:t>
            </w:r>
          </w:p>
        </w:tc>
      </w:tr>
    </w:tbl>
    <w:p>
      <w:r>
        <w:rPr>
          <w:sz w:val="20"/>
        </w:rPr>
      </w:r>
      <w:r>
        <w:rPr>
          <w:b/>
          <w:sz w:val="20"/>
        </w:rPr>
        <w:t>Table 18-E: Indiana IOU Benchmark Comparison (Preliminary)</w:t>
      </w:r>
      <w:r>
        <w:rPr>
          <w:sz w:val="20"/>
        </w:rPr>
      </w:r>
    </w:p>
    <w:tbl>
      <w:tblPr>
        <w:tblStyle w:val="TableGrid"/>
        <w:tblW w:type="auto" w:w="0"/>
        <w:tblLook w:firstColumn="1" w:firstRow="1" w:lastColumn="0" w:lastRow="0" w:noHBand="0" w:noVBand="1" w:val="04A0"/>
      </w:tblPr>
      <w:tblGrid>
        <w:gridCol w:w="2256"/>
        <w:gridCol w:w="2256"/>
        <w:gridCol w:w="2256"/>
        <w:gridCol w:w="2256"/>
      </w:tblGrid>
      <w:tr>
        <w:tc>
          <w:tcPr>
            <w:tcW w:type="dxa" w:w="2256"/>
            <w:vAlign w:val="center"/>
            <w:shd w:val="clear" w:color="auto" w:fill="D9E1F2"/>
          </w:tcPr>
          <w:p>
            <w:r>
              <w:rPr>
                <w:b/>
                <w:sz w:val="18"/>
              </w:rPr>
              <w:t>Metric</w:t>
            </w:r>
          </w:p>
        </w:tc>
        <w:tc>
          <w:tcPr>
            <w:tcW w:type="dxa" w:w="2256"/>
            <w:vAlign w:val="center"/>
            <w:shd w:val="clear" w:color="auto" w:fill="D9E1F2"/>
          </w:tcPr>
          <w:p>
            <w:r>
              <w:rPr>
                <w:b/>
                <w:sz w:val="18"/>
              </w:rPr>
              <w:t>RPL 2024 (ex-MED)</w:t>
            </w:r>
          </w:p>
        </w:tc>
        <w:tc>
          <w:tcPr>
            <w:tcW w:type="dxa" w:w="2256"/>
            <w:vAlign w:val="center"/>
            <w:shd w:val="clear" w:color="auto" w:fill="D9E1F2"/>
          </w:tcPr>
          <w:p>
            <w:r>
              <w:rPr>
                <w:b/>
                <w:sz w:val="18"/>
              </w:rPr>
              <w:t>Indiana IOU Range (2022 IURC Report)</w:t>
            </w:r>
          </w:p>
        </w:tc>
        <w:tc>
          <w:tcPr>
            <w:tcW w:type="dxa" w:w="2256"/>
            <w:vAlign w:val="center"/>
            <w:shd w:val="clear" w:color="auto" w:fill="D9E1F2"/>
          </w:tcPr>
          <w:p>
            <w:r>
              <w:rPr>
                <w:b/>
                <w:sz w:val="18"/>
              </w:rPr>
              <w:t>Within Range?</w:t>
            </w:r>
          </w:p>
        </w:tc>
      </w:tr>
      <w:tr>
        <w:tc>
          <w:tcPr>
            <w:tcW w:type="dxa" w:w="2256"/>
            <w:vAlign w:val="center"/>
          </w:tcPr>
          <w:p>
            <w:r>
              <w:rPr>
                <w:sz w:val="18"/>
              </w:rPr>
              <w:t>SAIFI</w:t>
            </w:r>
          </w:p>
        </w:tc>
        <w:tc>
          <w:tcPr>
            <w:tcW w:type="dxa" w:w="2256"/>
            <w:vAlign w:val="center"/>
          </w:tcPr>
          <w:p>
            <w:r>
              <w:rPr>
                <w:sz w:val="18"/>
              </w:rPr>
              <w:t>1.0987</w:t>
            </w:r>
          </w:p>
        </w:tc>
        <w:tc>
          <w:tcPr>
            <w:tcW w:type="dxa" w:w="2256"/>
            <w:vAlign w:val="center"/>
          </w:tcPr>
          <w:p>
            <w:r>
              <w:rPr>
                <w:sz w:val="18"/>
              </w:rPr>
              <w:t>0.71–1.37</w:t>
            </w:r>
          </w:p>
        </w:tc>
        <w:tc>
          <w:tcPr>
            <w:tcW w:type="dxa" w:w="2256"/>
            <w:vAlign w:val="center"/>
          </w:tcPr>
          <w:p>
            <w:r>
              <w:rPr>
                <w:sz w:val="18"/>
              </w:rPr>
              <w:t>Yes</w:t>
            </w:r>
          </w:p>
        </w:tc>
      </w:tr>
      <w:tr>
        <w:tc>
          <w:tcPr>
            <w:tcW w:type="dxa" w:w="2256"/>
            <w:vAlign w:val="center"/>
          </w:tcPr>
          <w:p>
            <w:r>
              <w:rPr>
                <w:sz w:val="18"/>
              </w:rPr>
              <w:t>SAIDI</w:t>
            </w:r>
          </w:p>
        </w:tc>
        <w:tc>
          <w:tcPr>
            <w:tcW w:type="dxa" w:w="2256"/>
            <w:vAlign w:val="center"/>
          </w:tcPr>
          <w:p>
            <w:r>
              <w:rPr>
                <w:sz w:val="18"/>
              </w:rPr>
              <w:t>138.31 min/cust</w:t>
            </w:r>
          </w:p>
        </w:tc>
        <w:tc>
          <w:tcPr>
            <w:tcW w:type="dxa" w:w="2256"/>
            <w:vAlign w:val="center"/>
          </w:tcPr>
          <w:p>
            <w:r>
              <w:rPr>
                <w:sz w:val="18"/>
              </w:rPr>
              <w:t>76–178 min/cust</w:t>
            </w:r>
          </w:p>
        </w:tc>
        <w:tc>
          <w:tcPr>
            <w:tcW w:type="dxa" w:w="2256"/>
            <w:vAlign w:val="center"/>
          </w:tcPr>
          <w:p>
            <w:r>
              <w:rPr>
                <w:sz w:val="18"/>
              </w:rPr>
              <w:t>Yes</w:t>
            </w:r>
          </w:p>
        </w:tc>
      </w:tr>
      <w:tr>
        <w:tc>
          <w:tcPr>
            <w:tcW w:type="dxa" w:w="2256"/>
            <w:vAlign w:val="center"/>
          </w:tcPr>
          <w:p>
            <w:r>
              <w:rPr>
                <w:sz w:val="18"/>
              </w:rPr>
              <w:t>CAIDI</w:t>
            </w:r>
          </w:p>
        </w:tc>
        <w:tc>
          <w:tcPr>
            <w:tcW w:type="dxa" w:w="2256"/>
            <w:vAlign w:val="center"/>
          </w:tcPr>
          <w:p>
            <w:r>
              <w:rPr>
                <w:sz w:val="18"/>
              </w:rPr>
              <w:t>125.88 min</w:t>
            </w:r>
          </w:p>
        </w:tc>
        <w:tc>
          <w:tcPr>
            <w:tcW w:type="dxa" w:w="2256"/>
            <w:vAlign w:val="center"/>
          </w:tcPr>
          <w:p>
            <w:r>
              <w:rPr>
                <w:sz w:val="18"/>
              </w:rPr>
              <w:t>—</w:t>
            </w:r>
          </w:p>
        </w:tc>
        <w:tc>
          <w:tcPr>
            <w:tcW w:type="dxa" w:w="2256"/>
            <w:vAlign w:val="center"/>
          </w:tcPr>
          <w:p>
            <w:r>
              <w:rPr>
                <w:sz w:val="18"/>
              </w:rPr>
              <w:t>—</w:t>
            </w:r>
          </w:p>
        </w:tc>
      </w:tr>
      <w:tr>
        <w:tc>
          <w:tcPr>
            <w:tcW w:type="dxa" w:w="2256"/>
            <w:vAlign w:val="center"/>
          </w:tcPr>
          <w:p>
            <w:r>
              <w:rPr>
                <w:sz w:val="18"/>
              </w:rPr>
              <w:t>MED days</w:t>
            </w:r>
          </w:p>
        </w:tc>
        <w:tc>
          <w:tcPr>
            <w:tcW w:type="dxa" w:w="2256"/>
            <w:vAlign w:val="center"/>
          </w:tcPr>
          <w:p>
            <w:r>
              <w:rPr>
                <w:sz w:val="18"/>
              </w:rPr>
              <w:t>5</w:t>
            </w:r>
          </w:p>
        </w:tc>
        <w:tc>
          <w:tcPr>
            <w:tcW w:type="dxa" w:w="2256"/>
            <w:vAlign w:val="center"/>
          </w:tcPr>
          <w:p>
            <w:r>
              <w:rPr>
                <w:sz w:val="18"/>
              </w:rPr>
              <w:t>3–15</w:t>
            </w:r>
          </w:p>
        </w:tc>
        <w:tc>
          <w:tcPr>
            <w:tcW w:type="dxa" w:w="2256"/>
            <w:vAlign w:val="center"/>
          </w:tcPr>
          <w:p>
            <w:r>
              <w:rPr>
                <w:sz w:val="18"/>
              </w:rPr>
              <w:t>Yes</w:t>
            </w:r>
          </w:p>
        </w:tc>
      </w:tr>
    </w:tbl>
    <w:p>
      <w:r>
        <w:rPr>
          <w:sz w:val="20"/>
        </w:rPr>
        <w:t>RPL's 2024 ex-MED SAIDI of 138.31 min/customer places it in the middle-upper range for Indiana investor-owned utilities. The high vegetation contribution (SAIFI 0.527 with MED) reflects RPL's rural overhead exposure across 14 counties and 14,200 overhead circuit miles. The Vegetation Management Program (RPL-DO-PLN-002) targets a 15% reduction in vegetation-related CI over 2025–2026 through accelerated trim cycles on the worst-performing circuits.</w:t>
      </w:r>
    </w:p>
    <w:p>
      <w:pPr>
        <w:spacing w:before="120" w:after="120"/>
        <w:pBdr>
          <w:bottom w:val="single" w:sz="6" w:space="1" w:color="AAAAAA"/>
        </w:pBdr>
      </w:pPr>
    </w:p>
    <w:p>
      <w:pPr>
        <w:pStyle w:val="Heading2"/>
      </w:pPr>
      <w:r>
        <w:rPr>
          <w:color w:val="1F3864"/>
          <w:sz w:val="32"/>
        </w:rPr>
        <w:t>19. Training and Drills</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vAlign w:val="center"/>
            <w:shd w:val="clear" w:color="auto" w:fill="D9E1F2"/>
          </w:tcPr>
          <w:p>
            <w:r>
              <w:rPr>
                <w:b/>
                <w:sz w:val="18"/>
              </w:rPr>
              <w:t>Training</w:t>
            </w:r>
          </w:p>
        </w:tc>
        <w:tc>
          <w:tcPr>
            <w:tcW w:type="dxa" w:w="1504"/>
            <w:vAlign w:val="center"/>
            <w:shd w:val="clear" w:color="auto" w:fill="D9E1F2"/>
          </w:tcPr>
          <w:p>
            <w:r>
              <w:rPr>
                <w:b/>
                <w:sz w:val="18"/>
              </w:rPr>
              <w:t>Audience</w:t>
            </w:r>
          </w:p>
        </w:tc>
        <w:tc>
          <w:tcPr>
            <w:tcW w:type="dxa" w:w="1504"/>
            <w:vAlign w:val="center"/>
            <w:shd w:val="clear" w:color="auto" w:fill="D9E1F2"/>
          </w:tcPr>
          <w:p>
            <w:r>
              <w:rPr>
                <w:b/>
                <w:sz w:val="18"/>
              </w:rPr>
              <w:t>Frequency</w:t>
            </w:r>
          </w:p>
        </w:tc>
        <w:tc>
          <w:tcPr>
            <w:tcW w:type="dxa" w:w="1504"/>
            <w:vAlign w:val="center"/>
            <w:shd w:val="clear" w:color="auto" w:fill="D9E1F2"/>
          </w:tcPr>
          <w:p>
            <w:r>
              <w:rPr>
                <w:b/>
                <w:sz w:val="18"/>
              </w:rPr>
              <w:t>ID</w:t>
            </w:r>
          </w:p>
        </w:tc>
        <w:tc>
          <w:tcPr>
            <w:tcW w:type="dxa" w:w="1504"/>
            <w:vAlign w:val="center"/>
            <w:shd w:val="clear" w:color="auto" w:fill="D9E1F2"/>
          </w:tcPr>
          <w:p>
            <w:r>
              <w:rPr>
                <w:b/>
                <w:sz w:val="18"/>
              </w:rPr>
              <w:t>Record System</w:t>
            </w:r>
          </w:p>
        </w:tc>
        <w:tc>
          <w:tcPr>
            <w:tcW w:type="dxa" w:w="1504"/>
            <w:vAlign w:val="center"/>
            <w:shd w:val="clear" w:color="auto" w:fill="D9E1F2"/>
          </w:tcPr>
          <w:p>
            <w:r>
              <w:rPr>
                <w:b/>
                <w:sz w:val="18"/>
              </w:rPr>
              <w:t>Series</w:t>
            </w:r>
          </w:p>
        </w:tc>
      </w:tr>
      <w:tr>
        <w:tc>
          <w:tcPr>
            <w:tcW w:type="dxa" w:w="1504"/>
            <w:vAlign w:val="center"/>
          </w:tcPr>
          <w:p>
            <w:r>
              <w:rPr>
                <w:sz w:val="18"/>
              </w:rPr>
              <w:t>IURC outage reporting — initial qualification</w:t>
            </w:r>
          </w:p>
        </w:tc>
        <w:tc>
          <w:tcPr>
            <w:tcW w:type="dxa" w:w="1504"/>
            <w:vAlign w:val="center"/>
          </w:tcPr>
          <w:p>
            <w:r>
              <w:rPr>
                <w:sz w:val="18"/>
              </w:rPr>
              <w:t>New DCC operators</w:t>
            </w:r>
          </w:p>
        </w:tc>
        <w:tc>
          <w:tcPr>
            <w:tcW w:type="dxa" w:w="1504"/>
            <w:vAlign w:val="center"/>
          </w:tcPr>
          <w:p>
            <w:r>
              <w:rPr>
                <w:sz w:val="18"/>
              </w:rPr>
              <w:t>Once, on-boarding</w:t>
            </w:r>
          </w:p>
        </w:tc>
        <w:tc>
          <w:tcPr>
            <w:tcW w:type="dxa" w:w="1504"/>
            <w:vAlign w:val="center"/>
          </w:tcPr>
          <w:p>
            <w:r>
              <w:rPr>
                <w:sz w:val="18"/>
              </w:rPr>
              <w:t>DCC-T-01</w:t>
            </w:r>
          </w:p>
        </w:tc>
        <w:tc>
          <w:tcPr>
            <w:tcW w:type="dxa" w:w="1504"/>
            <w:vAlign w:val="center"/>
          </w:tcPr>
          <w:p>
            <w:r>
              <w:rPr>
                <w:sz w:val="18"/>
              </w:rPr>
              <w:t>LMS</w:t>
            </w:r>
          </w:p>
        </w:tc>
        <w:tc>
          <w:tcPr>
            <w:tcW w:type="dxa" w:w="1504"/>
            <w:vAlign w:val="center"/>
          </w:tcPr>
          <w:p>
            <w:r>
              <w:rPr>
                <w:sz w:val="18"/>
              </w:rPr>
              <w:t>RRS-TRN-001</w:t>
            </w:r>
          </w:p>
        </w:tc>
      </w:tr>
      <w:tr>
        <w:tc>
          <w:tcPr>
            <w:tcW w:type="dxa" w:w="1504"/>
            <w:vAlign w:val="center"/>
          </w:tcPr>
          <w:p>
            <w:r>
              <w:rPr>
                <w:sz w:val="18"/>
              </w:rPr>
              <w:t>IURC outage reporting — annual refresher</w:t>
            </w:r>
          </w:p>
        </w:tc>
        <w:tc>
          <w:tcPr>
            <w:tcW w:type="dxa" w:w="1504"/>
            <w:vAlign w:val="center"/>
          </w:tcPr>
          <w:p>
            <w:r>
              <w:rPr>
                <w:sz w:val="18"/>
              </w:rPr>
              <w:t>All DCC operators and supervisors</w:t>
            </w:r>
          </w:p>
        </w:tc>
        <w:tc>
          <w:tcPr>
            <w:tcW w:type="dxa" w:w="1504"/>
            <w:vAlign w:val="center"/>
          </w:tcPr>
          <w:p>
            <w:r>
              <w:rPr>
                <w:sz w:val="18"/>
              </w:rPr>
              <w:t>Annual</w:t>
            </w:r>
          </w:p>
        </w:tc>
        <w:tc>
          <w:tcPr>
            <w:tcW w:type="dxa" w:w="1504"/>
            <w:vAlign w:val="center"/>
          </w:tcPr>
          <w:p>
            <w:r>
              <w:rPr>
                <w:sz w:val="18"/>
              </w:rPr>
              <w:t>DCC-T-01R</w:t>
            </w:r>
          </w:p>
        </w:tc>
        <w:tc>
          <w:tcPr>
            <w:tcW w:type="dxa" w:w="1504"/>
            <w:vAlign w:val="center"/>
          </w:tcPr>
          <w:p>
            <w:r>
              <w:rPr>
                <w:sz w:val="18"/>
              </w:rPr>
              <w:t>LMS</w:t>
            </w:r>
          </w:p>
        </w:tc>
        <w:tc>
          <w:tcPr>
            <w:tcW w:type="dxa" w:w="1504"/>
            <w:vAlign w:val="center"/>
          </w:tcPr>
          <w:p>
            <w:r>
              <w:rPr>
                <w:sz w:val="18"/>
              </w:rPr>
              <w:t>RRS-TRN-001</w:t>
            </w:r>
          </w:p>
        </w:tc>
      </w:tr>
      <w:tr>
        <w:tc>
          <w:tcPr>
            <w:tcW w:type="dxa" w:w="1504"/>
            <w:vAlign w:val="center"/>
          </w:tcPr>
          <w:p>
            <w:r>
              <w:rPr>
                <w:sz w:val="18"/>
              </w:rPr>
              <w:t>Annual IURC reporting drill (tabletop)</w:t>
            </w:r>
          </w:p>
        </w:tc>
        <w:tc>
          <w:tcPr>
            <w:tcW w:type="dxa" w:w="1504"/>
            <w:vAlign w:val="center"/>
          </w:tcPr>
          <w:p>
            <w:r>
              <w:rPr>
                <w:sz w:val="18"/>
              </w:rPr>
              <w:t>DCC Shift Supervisors, P23, P08, P09</w:t>
            </w:r>
          </w:p>
        </w:tc>
        <w:tc>
          <w:tcPr>
            <w:tcW w:type="dxa" w:w="1504"/>
            <w:vAlign w:val="center"/>
          </w:tcPr>
          <w:p>
            <w:r>
              <w:rPr>
                <w:sz w:val="18"/>
              </w:rPr>
              <w:t>Annual (Q4)</w:t>
            </w:r>
          </w:p>
        </w:tc>
        <w:tc>
          <w:tcPr>
            <w:tcW w:type="dxa" w:w="1504"/>
            <w:vAlign w:val="center"/>
          </w:tcPr>
          <w:p>
            <w:r>
              <w:rPr>
                <w:sz w:val="18"/>
              </w:rPr>
              <w:t>DCC-T-02</w:t>
            </w:r>
          </w:p>
        </w:tc>
        <w:tc>
          <w:tcPr>
            <w:tcW w:type="dxa" w:w="1504"/>
            <w:vAlign w:val="center"/>
          </w:tcPr>
          <w:p>
            <w:r>
              <w:rPr>
                <w:sz w:val="18"/>
              </w:rPr>
              <w:t>DCS (drill report)</w:t>
            </w:r>
          </w:p>
        </w:tc>
        <w:tc>
          <w:tcPr>
            <w:tcW w:type="dxa" w:w="1504"/>
            <w:vAlign w:val="center"/>
          </w:tcPr>
          <w:p>
            <w:r>
              <w:rPr>
                <w:sz w:val="18"/>
              </w:rPr>
              <w:t>RRS-TRN-001</w:t>
            </w:r>
          </w:p>
        </w:tc>
      </w:tr>
      <w:tr>
        <w:tc>
          <w:tcPr>
            <w:tcW w:type="dxa" w:w="1504"/>
            <w:vAlign w:val="center"/>
          </w:tcPr>
          <w:p>
            <w:r>
              <w:rPr>
                <w:sz w:val="18"/>
              </w:rPr>
              <w:t>OMS cause-code accuracy training</w:t>
            </w:r>
          </w:p>
        </w:tc>
        <w:tc>
          <w:tcPr>
            <w:tcW w:type="dxa" w:w="1504"/>
            <w:vAlign w:val="center"/>
          </w:tcPr>
          <w:p>
            <w:r>
              <w:rPr>
                <w:sz w:val="18"/>
              </w:rPr>
              <w:t>DCC operators</w:t>
            </w:r>
          </w:p>
        </w:tc>
        <w:tc>
          <w:tcPr>
            <w:tcW w:type="dxa" w:w="1504"/>
            <w:vAlign w:val="center"/>
          </w:tcPr>
          <w:p>
            <w:r>
              <w:rPr>
                <w:sz w:val="18"/>
              </w:rPr>
              <w:t>Annual</w:t>
            </w:r>
          </w:p>
        </w:tc>
        <w:tc>
          <w:tcPr>
            <w:tcW w:type="dxa" w:w="1504"/>
            <w:vAlign w:val="center"/>
          </w:tcPr>
          <w:p>
            <w:r>
              <w:rPr>
                <w:sz w:val="18"/>
              </w:rPr>
              <w:t>DCC-T-03</w:t>
            </w:r>
          </w:p>
        </w:tc>
        <w:tc>
          <w:tcPr>
            <w:tcW w:type="dxa" w:w="1504"/>
            <w:vAlign w:val="center"/>
          </w:tcPr>
          <w:p>
            <w:r>
              <w:rPr>
                <w:sz w:val="18"/>
              </w:rPr>
              <w:t>LMS</w:t>
            </w:r>
          </w:p>
        </w:tc>
        <w:tc>
          <w:tcPr>
            <w:tcW w:type="dxa" w:w="1504"/>
            <w:vAlign w:val="center"/>
          </w:tcPr>
          <w:p>
            <w:r>
              <w:rPr>
                <w:sz w:val="18"/>
              </w:rPr>
              <w:t>RRS-TRN-001</w:t>
            </w:r>
          </w:p>
        </w:tc>
      </w:tr>
      <w:tr>
        <w:tc>
          <w:tcPr>
            <w:tcW w:type="dxa" w:w="1504"/>
            <w:vAlign w:val="center"/>
          </w:tcPr>
          <w:p>
            <w:r>
              <w:rPr>
                <w:sz w:val="18"/>
              </w:rPr>
              <w:t>Storm mode activation exercise</w:t>
            </w:r>
          </w:p>
        </w:tc>
        <w:tc>
          <w:tcPr>
            <w:tcW w:type="dxa" w:w="1504"/>
            <w:vAlign w:val="center"/>
          </w:tcPr>
          <w:p>
            <w:r>
              <w:rPr>
                <w:sz w:val="18"/>
              </w:rPr>
              <w:t>DCC Shift Supervisors, P21, P23</w:t>
            </w:r>
          </w:p>
        </w:tc>
        <w:tc>
          <w:tcPr>
            <w:tcW w:type="dxa" w:w="1504"/>
            <w:vAlign w:val="center"/>
          </w:tcPr>
          <w:p>
            <w:r>
              <w:rPr>
                <w:sz w:val="18"/>
              </w:rPr>
              <w:t>Annual (Q2)</w:t>
            </w:r>
          </w:p>
        </w:tc>
        <w:tc>
          <w:tcPr>
            <w:tcW w:type="dxa" w:w="1504"/>
            <w:vAlign w:val="center"/>
          </w:tcPr>
          <w:p>
            <w:r>
              <w:rPr>
                <w:sz w:val="18"/>
              </w:rPr>
              <w:t>DCC-T-04</w:t>
            </w:r>
          </w:p>
        </w:tc>
        <w:tc>
          <w:tcPr>
            <w:tcW w:type="dxa" w:w="1504"/>
            <w:vAlign w:val="center"/>
          </w:tcPr>
          <w:p>
            <w:r>
              <w:rPr>
                <w:sz w:val="18"/>
              </w:rPr>
              <w:t>DCS (exercise report)</w:t>
            </w:r>
          </w:p>
        </w:tc>
        <w:tc>
          <w:tcPr>
            <w:tcW w:type="dxa" w:w="1504"/>
            <w:vAlign w:val="center"/>
          </w:tcPr>
          <w:p>
            <w:r>
              <w:rPr>
                <w:sz w:val="18"/>
              </w:rPr>
              <w:t>RRS-TRN-001</w:t>
            </w:r>
          </w:p>
        </w:tc>
      </w:tr>
    </w:tbl>
    <w:p>
      <w:r>
        <w:rPr>
          <w:sz w:val="20"/>
        </w:rPr>
        <w:t xml:space="preserve">The annual reporting drill (DCC-T-02) uses a historical major storm scenario to practice the full reporting sequence from </w:t>
      </w:r>
      <w:r>
        <w:rPr>
          <w:rFonts w:ascii="Courier New" w:hAnsi="Courier New"/>
          <w:sz w:val="20"/>
        </w:rPr>
        <w:t>threshold_crossed_ts</w:t>
      </w:r>
      <w:r>
        <w:rPr>
          <w:sz w:val="20"/>
        </w:rPr>
        <w:t xml:space="preserve"> through final report submission, including concurrent update report timers. The drill result is reviewed by P08 to confirm procedure accuracy.</w:t>
      </w:r>
    </w:p>
    <w:p>
      <w:r>
        <w:rPr>
          <w:sz w:val="20"/>
        </w:rPr>
        <w:t>New DCC operators must complete DCC-T-01 and demonstrate proficiency in OMS incident creation, reportability determination, and State Form 54646 submission before being assigned as shift supervisor.</w:t>
      </w:r>
    </w:p>
    <w:p>
      <w:pPr>
        <w:spacing w:before="120" w:after="120"/>
        <w:pBdr>
          <w:bottom w:val="single" w:sz="6" w:space="1" w:color="AAAAAA"/>
        </w:pBdr>
      </w:pPr>
    </w:p>
    <w:p>
      <w:pPr>
        <w:pStyle w:val="Heading2"/>
      </w:pPr>
      <w:r>
        <w:rPr>
          <w:color w:val="1F3864"/>
          <w:sz w:val="32"/>
        </w:rPr>
        <w:t>20. Related Documents</w:t>
      </w:r>
    </w:p>
    <w:tbl>
      <w:tblPr>
        <w:tblStyle w:val="TableGrid"/>
        <w:tblW w:type="auto" w:w="0"/>
        <w:tblLook w:firstColumn="1" w:firstRow="1" w:lastColumn="0" w:lastRow="0" w:noHBand="0" w:noVBand="1" w:val="04A0"/>
      </w:tblPr>
      <w:tblGrid>
        <w:gridCol w:w="4513"/>
        <w:gridCol w:w="4513"/>
      </w:tblGrid>
      <w:tr>
        <w:tc>
          <w:tcPr>
            <w:tcW w:type="dxa" w:w="4513"/>
            <w:vAlign w:val="center"/>
            <w:shd w:val="clear" w:color="auto" w:fill="D9E1F2"/>
          </w:tcPr>
          <w:p>
            <w:r>
              <w:rPr>
                <w:b/>
                <w:sz w:val="18"/>
              </w:rPr>
              <w:t>Document ID</w:t>
            </w:r>
          </w:p>
        </w:tc>
        <w:tc>
          <w:tcPr>
            <w:tcW w:type="dxa" w:w="4513"/>
            <w:vAlign w:val="center"/>
            <w:shd w:val="clear" w:color="auto" w:fill="D9E1F2"/>
          </w:tcPr>
          <w:p>
            <w:r>
              <w:rPr>
                <w:b/>
                <w:sz w:val="18"/>
              </w:rPr>
              <w:t>Title</w:t>
            </w:r>
          </w:p>
        </w:tc>
      </w:tr>
      <w:tr>
        <w:tc>
          <w:tcPr>
            <w:tcW w:type="dxa" w:w="4513"/>
            <w:vAlign w:val="center"/>
          </w:tcPr>
          <w:p>
            <w:r>
              <w:rPr>
                <w:sz w:val="18"/>
              </w:rPr>
              <w:t>RPL-DO-PLN-002</w:t>
            </w:r>
          </w:p>
        </w:tc>
        <w:tc>
          <w:tcPr>
            <w:tcW w:type="dxa" w:w="4513"/>
            <w:vAlign w:val="center"/>
          </w:tcPr>
          <w:p>
            <w:r>
              <w:rPr>
                <w:sz w:val="18"/>
              </w:rPr>
              <w:t>Vegetation Management Plan 2025</w:t>
            </w:r>
          </w:p>
        </w:tc>
      </w:tr>
      <w:tr>
        <w:tc>
          <w:tcPr>
            <w:tcW w:type="dxa" w:w="4513"/>
            <w:vAlign w:val="center"/>
          </w:tcPr>
          <w:p>
            <w:r>
              <w:rPr>
                <w:sz w:val="18"/>
              </w:rPr>
              <w:t>RPL-SAF-PRO-009</w:t>
            </w:r>
          </w:p>
        </w:tc>
        <w:tc>
          <w:tcPr>
            <w:tcW w:type="dxa" w:w="4513"/>
            <w:vAlign w:val="center"/>
          </w:tcPr>
          <w:p>
            <w:r>
              <w:rPr>
                <w:sz w:val="18"/>
              </w:rPr>
              <w:t>Electrical Accident &amp; Incident Reporting Procedure</w:t>
            </w:r>
          </w:p>
        </w:tc>
      </w:tr>
      <w:tr>
        <w:tc>
          <w:tcPr>
            <w:tcW w:type="dxa" w:w="4513"/>
            <w:vAlign w:val="center"/>
          </w:tcPr>
          <w:p>
            <w:r>
              <w:rPr>
                <w:sz w:val="18"/>
              </w:rPr>
              <w:t>RPL-EMR-PLN-001</w:t>
            </w:r>
          </w:p>
        </w:tc>
        <w:tc>
          <w:tcPr>
            <w:tcW w:type="dxa" w:w="4513"/>
            <w:vAlign w:val="center"/>
          </w:tcPr>
          <w:p>
            <w:r>
              <w:rPr>
                <w:sz w:val="18"/>
              </w:rPr>
              <w:t>Emergency Response &amp; Storm Restoration Plan</w:t>
            </w:r>
          </w:p>
        </w:tc>
      </w:tr>
      <w:tr>
        <w:tc>
          <w:tcPr>
            <w:tcW w:type="dxa" w:w="4513"/>
            <w:vAlign w:val="center"/>
          </w:tcPr>
          <w:p>
            <w:r>
              <w:rPr>
                <w:sz w:val="18"/>
              </w:rPr>
              <w:t>RPL-COM-PRO-002</w:t>
            </w:r>
          </w:p>
        </w:tc>
        <w:tc>
          <w:tcPr>
            <w:tcW w:type="dxa" w:w="4513"/>
            <w:vAlign w:val="center"/>
          </w:tcPr>
          <w:p>
            <w:r>
              <w:rPr>
                <w:sz w:val="18"/>
              </w:rPr>
              <w:t>Media &amp; Public Communications Procedure</w:t>
            </w:r>
          </w:p>
        </w:tc>
      </w:tr>
      <w:tr>
        <w:tc>
          <w:tcPr>
            <w:tcW w:type="dxa" w:w="4513"/>
            <w:vAlign w:val="center"/>
          </w:tcPr>
          <w:p>
            <w:r>
              <w:rPr>
                <w:sz w:val="18"/>
              </w:rPr>
              <w:t>RPL-CMP-REG-001</w:t>
            </w:r>
          </w:p>
        </w:tc>
        <w:tc>
          <w:tcPr>
            <w:tcW w:type="dxa" w:w="4513"/>
            <w:vAlign w:val="center"/>
          </w:tcPr>
          <w:p>
            <w:r>
              <w:rPr>
                <w:sz w:val="18"/>
              </w:rPr>
              <w:t>Regulatory Obligations Register</w:t>
            </w:r>
          </w:p>
        </w:tc>
      </w:tr>
      <w:tr>
        <w:tc>
          <w:tcPr>
            <w:tcW w:type="dxa" w:w="4513"/>
            <w:vAlign w:val="center"/>
          </w:tcPr>
          <w:p>
            <w:r>
              <w:rPr>
                <w:sz w:val="18"/>
              </w:rPr>
              <w:t>RPL-REG-CAL-2025</w:t>
            </w:r>
          </w:p>
        </w:tc>
        <w:tc>
          <w:tcPr>
            <w:tcW w:type="dxa" w:w="4513"/>
            <w:vAlign w:val="center"/>
          </w:tcPr>
          <w:p>
            <w:r>
              <w:rPr>
                <w:sz w:val="18"/>
              </w:rPr>
              <w:t>Regulatory Reporting Calendar 2025</w:t>
            </w:r>
          </w:p>
        </w:tc>
      </w:tr>
      <w:tr>
        <w:tc>
          <w:tcPr>
            <w:tcW w:type="dxa" w:w="4513"/>
            <w:vAlign w:val="center"/>
          </w:tcPr>
          <w:p>
            <w:r>
              <w:rPr>
                <w:sz w:val="18"/>
              </w:rPr>
              <w:t>RPL-LEG-RRS-001</w:t>
            </w:r>
          </w:p>
        </w:tc>
        <w:tc>
          <w:tcPr>
            <w:tcW w:type="dxa" w:w="4513"/>
            <w:vAlign w:val="center"/>
          </w:tcPr>
          <w:p>
            <w:r>
              <w:rPr>
                <w:sz w:val="18"/>
              </w:rPr>
              <w:t>Records Retention Schedule</w:t>
            </w:r>
          </w:p>
        </w:tc>
      </w:tr>
    </w:tbl>
    <w:p>
      <w:pPr>
        <w:spacing w:before="120" w:after="120"/>
        <w:pBdr>
          <w:bottom w:val="single" w:sz="6" w:space="1" w:color="AAAAAA"/>
        </w:pBdr>
      </w:pPr>
    </w:p>
    <w:p>
      <w:pPr>
        <w:pStyle w:val="Heading2"/>
      </w:pPr>
      <w:r>
        <w:rPr>
          <w:color w:val="1F3864"/>
          <w:sz w:val="32"/>
        </w:rPr>
        <w:t>21. Revision History</w:t>
      </w:r>
    </w:p>
    <w:tbl>
      <w:tblPr>
        <w:tblStyle w:val="TableGrid"/>
        <w:tblW w:type="auto" w:w="0"/>
        <w:tblLook w:firstColumn="1" w:firstRow="1" w:lastColumn="0" w:lastRow="0" w:noHBand="0" w:noVBand="1" w:val="04A0"/>
      </w:tblPr>
      <w:tblGrid>
        <w:gridCol w:w="2256"/>
        <w:gridCol w:w="2256"/>
        <w:gridCol w:w="2256"/>
        <w:gridCol w:w="2256"/>
      </w:tblGrid>
      <w:tr>
        <w:tc>
          <w:tcPr>
            <w:tcW w:type="dxa" w:w="2256"/>
            <w:vAlign w:val="center"/>
            <w:shd w:val="clear" w:color="auto" w:fill="D9E1F2"/>
          </w:tcPr>
          <w:p>
            <w:r>
              <w:rPr>
                <w:b/>
                <w:sz w:val="18"/>
              </w:rPr>
              <w:t>Version</w:t>
            </w:r>
          </w:p>
        </w:tc>
        <w:tc>
          <w:tcPr>
            <w:tcW w:type="dxa" w:w="2256"/>
            <w:vAlign w:val="center"/>
            <w:shd w:val="clear" w:color="auto" w:fill="D9E1F2"/>
          </w:tcPr>
          <w:p>
            <w:r>
              <w:rPr>
                <w:b/>
                <w:sz w:val="18"/>
              </w:rPr>
              <w:t>Effective Date</w:t>
            </w:r>
          </w:p>
        </w:tc>
        <w:tc>
          <w:tcPr>
            <w:tcW w:type="dxa" w:w="2256"/>
            <w:vAlign w:val="center"/>
            <w:shd w:val="clear" w:color="auto" w:fill="D9E1F2"/>
          </w:tcPr>
          <w:p>
            <w:r>
              <w:rPr>
                <w:b/>
                <w:sz w:val="18"/>
              </w:rPr>
              <w:t>Approved By</w:t>
            </w:r>
          </w:p>
        </w:tc>
        <w:tc>
          <w:tcPr>
            <w:tcW w:type="dxa" w:w="2256"/>
            <w:vAlign w:val="center"/>
            <w:shd w:val="clear" w:color="auto" w:fill="D9E1F2"/>
          </w:tcPr>
          <w:p>
            <w:r>
              <w:rPr>
                <w:b/>
                <w:sz w:val="18"/>
              </w:rPr>
              <w:t>Summary of Changes</w:t>
            </w:r>
          </w:p>
        </w:tc>
      </w:tr>
      <w:tr>
        <w:tc>
          <w:tcPr>
            <w:tcW w:type="dxa" w:w="2256"/>
            <w:vAlign w:val="center"/>
          </w:tcPr>
          <w:p>
            <w:r>
              <w:rPr>
                <w:sz w:val="18"/>
              </w:rPr>
              <w:t>4.2</w:t>
            </w:r>
          </w:p>
        </w:tc>
        <w:tc>
          <w:tcPr>
            <w:tcW w:type="dxa" w:w="2256"/>
            <w:vAlign w:val="center"/>
          </w:tcPr>
          <w:p>
            <w:r>
              <w:rPr>
                <w:sz w:val="18"/>
              </w:rPr>
              <w:t>2025-02-24</w:t>
            </w:r>
          </w:p>
        </w:tc>
        <w:tc>
          <w:tcPr>
            <w:tcW w:type="dxa" w:w="2256"/>
            <w:vAlign w:val="center"/>
          </w:tcPr>
          <w:p>
            <w:r>
              <w:rPr>
                <w:sz w:val="18"/>
              </w:rPr>
              <w:t>Elena Vasquez (P08)</w:t>
            </w:r>
          </w:p>
        </w:tc>
        <w:tc>
          <w:tcPr>
            <w:tcW w:type="dxa" w:w="2256"/>
            <w:vAlign w:val="center"/>
          </w:tcPr>
          <w:p>
            <w:r>
              <w:rPr>
                <w:sz w:val="18"/>
              </w:rPr>
              <w:t>Incorporated 2024 performance summary (§18); updated TMED to 137.19 based on 2019–2023 study period; added worst-performing circuits top-10 process (§16); updated MED dates; added data extract date notation.</w:t>
            </w:r>
          </w:p>
        </w:tc>
      </w:tr>
      <w:tr>
        <w:tc>
          <w:tcPr>
            <w:tcW w:type="dxa" w:w="2256"/>
            <w:vAlign w:val="center"/>
          </w:tcPr>
          <w:p>
            <w:r>
              <w:rPr>
                <w:sz w:val="18"/>
              </w:rPr>
              <w:t>4.1</w:t>
            </w:r>
          </w:p>
        </w:tc>
        <w:tc>
          <w:tcPr>
            <w:tcW w:type="dxa" w:w="2256"/>
            <w:vAlign w:val="center"/>
          </w:tcPr>
          <w:p>
            <w:r>
              <w:rPr>
                <w:sz w:val="18"/>
              </w:rPr>
              <w:t>2024-04-22</w:t>
            </w:r>
          </w:p>
        </w:tc>
        <w:tc>
          <w:tcPr>
            <w:tcW w:type="dxa" w:w="2256"/>
            <w:vAlign w:val="center"/>
          </w:tcPr>
          <w:p>
            <w:r>
              <w:rPr>
                <w:sz w:val="18"/>
              </w:rPr>
              <w:t>Elena Vasquez (P08)</w:t>
            </w:r>
          </w:p>
        </w:tc>
        <w:tc>
          <w:tcPr>
            <w:tcW w:type="dxa" w:w="2256"/>
            <w:vAlign w:val="center"/>
          </w:tcPr>
          <w:p>
            <w:r>
              <w:rPr>
                <w:sz w:val="18"/>
              </w:rPr>
              <w:t>Updated customer threshold computation (405,805 denominator); revised App-A example for 2023 storm; added tree-location coding guidance in §17.2.</w:t>
            </w:r>
          </w:p>
        </w:tc>
      </w:tr>
      <w:tr>
        <w:tc>
          <w:tcPr>
            <w:tcW w:type="dxa" w:w="2256"/>
            <w:vAlign w:val="center"/>
          </w:tcPr>
          <w:p>
            <w:r>
              <w:rPr>
                <w:sz w:val="18"/>
              </w:rPr>
              <w:t>4.0</w:t>
            </w:r>
          </w:p>
        </w:tc>
        <w:tc>
          <w:tcPr>
            <w:tcW w:type="dxa" w:w="2256"/>
            <w:vAlign w:val="center"/>
          </w:tcPr>
          <w:p>
            <w:r>
              <w:rPr>
                <w:sz w:val="18"/>
              </w:rPr>
              <w:t>2023-05-15</w:t>
            </w:r>
          </w:p>
        </w:tc>
        <w:tc>
          <w:tcPr>
            <w:tcW w:type="dxa" w:w="2256"/>
            <w:vAlign w:val="center"/>
          </w:tcPr>
          <w:p>
            <w:r>
              <w:rPr>
                <w:sz w:val="18"/>
              </w:rPr>
              <w:t>Elena Vasquez (P08)</w:t>
            </w:r>
          </w:p>
        </w:tc>
        <w:tc>
          <w:tcPr>
            <w:tcW w:type="dxa" w:w="2256"/>
            <w:vAlign w:val="center"/>
          </w:tcPr>
          <w:p>
            <w:r>
              <w:rPr>
                <w:sz w:val="18"/>
              </w:rPr>
              <w:t>Full rewrite incorporating storm-mode section (§13); added RACI table; updated TMED calculation to 2018–2022 study period; revised OMS close-out deadline to 24 hours.</w:t>
            </w:r>
          </w:p>
        </w:tc>
      </w:tr>
      <w:tr>
        <w:tc>
          <w:tcPr>
            <w:tcW w:type="dxa" w:w="2256"/>
            <w:vAlign w:val="center"/>
          </w:tcPr>
          <w:p>
            <w:r>
              <w:rPr>
                <w:sz w:val="18"/>
              </w:rPr>
              <w:t>3.2</w:t>
            </w:r>
          </w:p>
        </w:tc>
        <w:tc>
          <w:tcPr>
            <w:tcW w:type="dxa" w:w="2256"/>
            <w:vAlign w:val="center"/>
          </w:tcPr>
          <w:p>
            <w:r>
              <w:rPr>
                <w:sz w:val="18"/>
              </w:rPr>
              <w:t>2022-03-07</w:t>
            </w:r>
          </w:p>
        </w:tc>
        <w:tc>
          <w:tcPr>
            <w:tcW w:type="dxa" w:w="2256"/>
            <w:vAlign w:val="center"/>
          </w:tcPr>
          <w:p>
            <w:r>
              <w:rPr>
                <w:sz w:val="18"/>
              </w:rPr>
              <w:t>Thomas Whitfield (P07)</w:t>
            </w:r>
          </w:p>
        </w:tc>
        <w:tc>
          <w:tcPr>
            <w:tcW w:type="dxa" w:w="2256"/>
            <w:vAlign w:val="center"/>
          </w:tcPr>
          <w:p>
            <w:r>
              <w:rPr>
                <w:sz w:val="18"/>
              </w:rPr>
              <w:t>Updated IURC contact information; corrected planned interruption notice threshold reference; minor formatting corrections.</w:t>
            </w:r>
          </w:p>
        </w:tc>
      </w:tr>
    </w:tbl>
    <w:p>
      <w:pPr>
        <w:spacing w:before="120" w:after="120"/>
        <w:pBdr>
          <w:bottom w:val="single" w:sz="6" w:space="1" w:color="AAAAAA"/>
        </w:pBdr>
      </w:pPr>
    </w:p>
    <w:p>
      <w:pPr>
        <w:pStyle w:val="Heading2"/>
      </w:pPr>
      <w:r>
        <w:rPr>
          <w:color w:val="1F3864"/>
          <w:sz w:val="32"/>
        </w:rPr>
        <w:t>22. Approval Block</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vAlign w:val="center"/>
            <w:shd w:val="clear" w:color="auto" w:fill="D9E1F2"/>
          </w:tcPr>
          <w:p>
            <w:r>
              <w:rPr>
                <w:b/>
                <w:sz w:val="18"/>
              </w:rPr>
              <w:t>Role</w:t>
            </w:r>
          </w:p>
        </w:tc>
        <w:tc>
          <w:tcPr>
            <w:tcW w:type="dxa" w:w="1805"/>
            <w:vAlign w:val="center"/>
            <w:shd w:val="clear" w:color="auto" w:fill="D9E1F2"/>
          </w:tcPr>
          <w:p>
            <w:r>
              <w:rPr>
                <w:b/>
                <w:sz w:val="18"/>
              </w:rPr>
              <w:t>Name</w:t>
            </w:r>
          </w:p>
        </w:tc>
        <w:tc>
          <w:tcPr>
            <w:tcW w:type="dxa" w:w="1805"/>
            <w:vAlign w:val="center"/>
            <w:shd w:val="clear" w:color="auto" w:fill="D9E1F2"/>
          </w:tcPr>
          <w:p>
            <w:r>
              <w:rPr>
                <w:b/>
                <w:sz w:val="18"/>
              </w:rPr>
              <w:t>Title</w:t>
            </w:r>
          </w:p>
        </w:tc>
        <w:tc>
          <w:tcPr>
            <w:tcW w:type="dxa" w:w="1805"/>
            <w:vAlign w:val="center"/>
            <w:shd w:val="clear" w:color="auto" w:fill="D9E1F2"/>
          </w:tcPr>
          <w:p>
            <w:r>
              <w:rPr>
                <w:b/>
                <w:sz w:val="18"/>
              </w:rPr>
              <w:t>Signature</w:t>
            </w:r>
          </w:p>
        </w:tc>
        <w:tc>
          <w:tcPr>
            <w:tcW w:type="dxa" w:w="1805"/>
            <w:vAlign w:val="center"/>
            <w:shd w:val="clear" w:color="auto" w:fill="D9E1F2"/>
          </w:tcPr>
          <w:p>
            <w:r>
              <w:rPr>
                <w:b/>
                <w:sz w:val="18"/>
              </w:rPr>
              <w:t>Date</w:t>
            </w:r>
          </w:p>
        </w:tc>
      </w:tr>
      <w:tr>
        <w:tc>
          <w:tcPr>
            <w:tcW w:type="dxa" w:w="1805"/>
            <w:vAlign w:val="center"/>
          </w:tcPr>
          <w:p>
            <w:r>
              <w:rPr>
                <w:sz w:val="18"/>
              </w:rPr>
              <w:t>Prepared by (Owner)</w:t>
            </w:r>
          </w:p>
        </w:tc>
        <w:tc>
          <w:tcPr>
            <w:tcW w:type="dxa" w:w="1805"/>
            <w:vAlign w:val="center"/>
          </w:tcPr>
          <w:p>
            <w:r>
              <w:rPr>
                <w:sz w:val="18"/>
              </w:rPr>
              <w:t>Kevin Adeyemi</w:t>
            </w:r>
          </w:p>
        </w:tc>
        <w:tc>
          <w:tcPr>
            <w:tcW w:type="dxa" w:w="1805"/>
            <w:vAlign w:val="center"/>
          </w:tcPr>
          <w:p>
            <w:r>
              <w:rPr>
                <w:sz w:val="18"/>
              </w:rPr>
              <w:t>Manager, Distribution Control Center</w:t>
            </w:r>
          </w:p>
        </w:tc>
        <w:tc>
          <w:tcPr>
            <w:tcW w:type="dxa" w:w="1805"/>
            <w:vAlign w:val="center"/>
          </w:tcPr>
          <w:p>
            <w:r>
              <w:rPr>
                <w:sz w:val="18"/>
              </w:rPr>
              <w:t>___________________</w:t>
            </w:r>
          </w:p>
        </w:tc>
        <w:tc>
          <w:tcPr>
            <w:tcW w:type="dxa" w:w="1805"/>
            <w:vAlign w:val="center"/>
          </w:tcPr>
          <w:p>
            <w:r>
              <w:rPr>
                <w:sz w:val="18"/>
              </w:rPr>
              <w:t>2025-02-19</w:t>
            </w:r>
          </w:p>
        </w:tc>
      </w:tr>
      <w:tr>
        <w:tc>
          <w:tcPr>
            <w:tcW w:type="dxa" w:w="1805"/>
            <w:vAlign w:val="center"/>
          </w:tcPr>
          <w:p>
            <w:r>
              <w:rPr>
                <w:sz w:val="18"/>
              </w:rPr>
              <w:t>Reviewed by</w:t>
            </w:r>
          </w:p>
        </w:tc>
        <w:tc>
          <w:tcPr>
            <w:tcW w:type="dxa" w:w="1805"/>
            <w:vAlign w:val="center"/>
          </w:tcPr>
          <w:p>
            <w:r>
              <w:rPr>
                <w:sz w:val="18"/>
              </w:rPr>
              <w:t>Patrick O'Neill</w:t>
            </w:r>
          </w:p>
        </w:tc>
        <w:tc>
          <w:tcPr>
            <w:tcW w:type="dxa" w:w="1805"/>
            <w:vAlign w:val="center"/>
          </w:tcPr>
          <w:p>
            <w:r>
              <w:rPr>
                <w:sz w:val="18"/>
              </w:rPr>
              <w:t>Director, Distribution Operations</w:t>
            </w:r>
          </w:p>
        </w:tc>
        <w:tc>
          <w:tcPr>
            <w:tcW w:type="dxa" w:w="1805"/>
            <w:vAlign w:val="center"/>
          </w:tcPr>
          <w:p>
            <w:r>
              <w:rPr>
                <w:sz w:val="18"/>
              </w:rPr>
              <w:t>___________________</w:t>
            </w:r>
          </w:p>
        </w:tc>
        <w:tc>
          <w:tcPr>
            <w:tcW w:type="dxa" w:w="1805"/>
            <w:vAlign w:val="center"/>
          </w:tcPr>
          <w:p>
            <w:r>
              <w:rPr>
                <w:sz w:val="18"/>
              </w:rPr>
              <w:t>2025-02-19</w:t>
            </w:r>
          </w:p>
        </w:tc>
      </w:tr>
      <w:tr>
        <w:tc>
          <w:tcPr>
            <w:tcW w:type="dxa" w:w="1805"/>
            <w:vAlign w:val="center"/>
          </w:tcPr>
          <w:p>
            <w:r>
              <w:rPr>
                <w:sz w:val="18"/>
              </w:rPr>
              <w:t>Approved by</w:t>
            </w:r>
          </w:p>
        </w:tc>
        <w:tc>
          <w:tcPr>
            <w:tcW w:type="dxa" w:w="1805"/>
            <w:vAlign w:val="center"/>
          </w:tcPr>
          <w:p>
            <w:r>
              <w:rPr>
                <w:sz w:val="18"/>
              </w:rPr>
              <w:t>Elena Vasquez</w:t>
            </w:r>
          </w:p>
        </w:tc>
        <w:tc>
          <w:tcPr>
            <w:tcW w:type="dxa" w:w="1805"/>
            <w:vAlign w:val="center"/>
          </w:tcPr>
          <w:p>
            <w:r>
              <w:rPr>
                <w:sz w:val="18"/>
              </w:rPr>
              <w:t>Manager, Regulatory Affairs</w:t>
            </w:r>
          </w:p>
        </w:tc>
        <w:tc>
          <w:tcPr>
            <w:tcW w:type="dxa" w:w="1805"/>
            <w:vAlign w:val="center"/>
          </w:tcPr>
          <w:p>
            <w:r>
              <w:rPr>
                <w:sz w:val="18"/>
              </w:rPr>
              <w:t>___________________</w:t>
            </w:r>
          </w:p>
        </w:tc>
        <w:tc>
          <w:tcPr>
            <w:tcW w:type="dxa" w:w="1805"/>
            <w:vAlign w:val="center"/>
          </w:tcPr>
          <w:p>
            <w:r>
              <w:rPr>
                <w:sz w:val="18"/>
              </w:rPr>
              <w:t>2025-02-19</w:t>
            </w:r>
          </w:p>
        </w:tc>
      </w:tr>
    </w:tbl>
    <w:p>
      <w:r>
        <w:rPr>
          <w:sz w:val="20"/>
        </w:rPr>
      </w:r>
      <w:r>
        <w:rPr>
          <w:i/>
          <w:sz w:val="20"/>
        </w:rPr>
        <w:t>This document is effective 2025-02-24. Uncontrolled when printed — verify the current version in DCS.</w:t>
      </w:r>
      <w:r>
        <w:rPr>
          <w:sz w:val="20"/>
        </w:rPr>
      </w:r>
    </w:p>
    <w:p>
      <w:pPr>
        <w:spacing w:before="120" w:after="120"/>
        <w:pBdr>
          <w:bottom w:val="single" w:sz="6" w:space="1" w:color="AAAAAA"/>
        </w:pBdr>
      </w:pPr>
    </w:p>
    <w:p>
      <w:r>
        <w:br w:type="page"/>
      </w:r>
    </w:p>
    <w:p>
      <w:pPr>
        <w:pStyle w:val="Heading2"/>
      </w:pPr>
      <w:r>
        <w:rPr>
          <w:color w:val="1F3864"/>
          <w:sz w:val="32"/>
        </w:rPr>
        <w:t>Appendix A — Completed State Form 54646 Example</w:t>
      </w:r>
    </w:p>
    <w:p>
      <w:r>
        <w:rPr>
          <w:sz w:val="20"/>
        </w:rPr>
      </w:r>
      <w:r>
        <w:rPr>
          <w:b/>
          <w:sz w:val="20"/>
        </w:rPr>
        <w:t>Incident ID:</w:t>
      </w:r>
      <w:r>
        <w:rPr>
          <w:sz w:val="20"/>
        </w:rPr>
        <w:t xml:space="preserve"> INC-2024-00001 | </w:t>
      </w:r>
      <w:r>
        <w:rPr>
          <w:b/>
          <w:sz w:val="20"/>
        </w:rPr>
        <w:t>Event date:</w:t>
      </w:r>
      <w:r>
        <w:rPr>
          <w:sz w:val="20"/>
        </w:rPr>
        <w:t xml:space="preserve"> 2024-03-15 | </w:t>
      </w:r>
      <w:r>
        <w:rPr>
          <w:b/>
          <w:sz w:val="20"/>
        </w:rPr>
        <w:t>Primary cause:</w:t>
      </w:r>
      <w:r>
        <w:rPr>
          <w:sz w:val="20"/>
        </w:rPr>
        <w:t xml:space="preserve"> Vegetation (wind storm)</w:t>
      </w:r>
    </w:p>
    <w:p>
      <w:r>
        <w:rPr>
          <w:sz w:val="20"/>
        </w:rPr>
        <w:t>This appendix shows an example completed State Form 54646 for the 2024-03-15 wind storm (INC-2024-00001). Values correspond exactly to the incident and report-log dataset rows. This was a Major Event Day (SAIDI 676.85 min/customer &gt; TMED 137.19).</w:t>
      </w:r>
    </w:p>
    <w:p>
      <w:pPr>
        <w:spacing w:before="120" w:after="120"/>
        <w:pBdr>
          <w:bottom w:val="single" w:sz="6" w:space="1" w:color="AAAAAA"/>
        </w:pBdr>
      </w:pPr>
    </w:p>
    <w:p>
      <w:pPr>
        <w:pStyle w:val="Heading3"/>
      </w:pPr>
      <w:r>
        <w:rPr>
          <w:sz w:val="28"/>
        </w:rPr>
        <w:t>A.1 Initial Report — Filed 2024-03-15T02:47</w:t>
      </w:r>
    </w:p>
    <w:p>
      <w:r>
        <w:rPr>
          <w:sz w:val="20"/>
        </w:rPr>
      </w:r>
      <w:r>
        <w:rPr>
          <w:b/>
          <w:sz w:val="20"/>
        </w:rPr>
        <w:t>Part A — Utility Identification</w:t>
      </w:r>
      <w:r>
        <w:rPr>
          <w:sz w:val="20"/>
        </w:rPr>
      </w:r>
    </w:p>
    <w:tbl>
      <w:tblPr>
        <w:tblStyle w:val="TableGrid"/>
        <w:tblW w:type="auto" w:w="0"/>
        <w:tblLook w:firstColumn="1" w:firstRow="1" w:lastColumn="0" w:lastRow="0" w:noHBand="0" w:noVBand="1" w:val="04A0"/>
      </w:tblPr>
      <w:tblGrid>
        <w:gridCol w:w="4513"/>
        <w:gridCol w:w="4513"/>
      </w:tblGrid>
      <w:tr>
        <w:tc>
          <w:tcPr>
            <w:tcW w:type="dxa" w:w="4513"/>
            <w:vAlign w:val="center"/>
            <w:shd w:val="clear" w:color="auto" w:fill="D9E1F2"/>
          </w:tcPr>
          <w:p>
            <w:r>
              <w:rPr>
                <w:b/>
                <w:sz w:val="18"/>
              </w:rPr>
              <w:t>Field</w:t>
            </w:r>
          </w:p>
        </w:tc>
        <w:tc>
          <w:tcPr>
            <w:tcW w:type="dxa" w:w="4513"/>
            <w:vAlign w:val="center"/>
            <w:shd w:val="clear" w:color="auto" w:fill="D9E1F2"/>
          </w:tcPr>
          <w:p>
            <w:r>
              <w:rPr>
                <w:b/>
                <w:sz w:val="18"/>
              </w:rPr>
              <w:t>Value</w:t>
            </w:r>
          </w:p>
        </w:tc>
      </w:tr>
      <w:tr>
        <w:tc>
          <w:tcPr>
            <w:tcW w:type="dxa" w:w="4513"/>
            <w:vAlign w:val="center"/>
          </w:tcPr>
          <w:p>
            <w:r>
              <w:rPr>
                <w:sz w:val="18"/>
              </w:rPr>
              <w:t>Utility Name</w:t>
            </w:r>
          </w:p>
        </w:tc>
        <w:tc>
          <w:tcPr>
            <w:tcW w:type="dxa" w:w="4513"/>
            <w:vAlign w:val="center"/>
          </w:tcPr>
          <w:p>
            <w:r>
              <w:rPr>
                <w:sz w:val="18"/>
              </w:rPr>
              <w:t>Rockridge Power &amp; Light Company</w:t>
            </w:r>
          </w:p>
        </w:tc>
      </w:tr>
      <w:tr>
        <w:tc>
          <w:tcPr>
            <w:tcW w:type="dxa" w:w="4513"/>
            <w:vAlign w:val="center"/>
          </w:tcPr>
          <w:p>
            <w:r>
              <w:rPr>
                <w:sz w:val="18"/>
              </w:rPr>
              <w:t>IURC Utility ID</w:t>
            </w:r>
          </w:p>
        </w:tc>
        <w:tc>
          <w:tcPr>
            <w:tcW w:type="dxa" w:w="4513"/>
            <w:vAlign w:val="center"/>
          </w:tcPr>
          <w:p>
            <w:r>
              <w:rPr>
                <w:sz w:val="18"/>
              </w:rPr>
              <w:t>99012</w:t>
            </w:r>
          </w:p>
        </w:tc>
      </w:tr>
      <w:tr>
        <w:tc>
          <w:tcPr>
            <w:tcW w:type="dxa" w:w="4513"/>
            <w:vAlign w:val="center"/>
          </w:tcPr>
          <w:p>
            <w:r>
              <w:rPr>
                <w:sz w:val="18"/>
              </w:rPr>
              <w:t>Contact Name</w:t>
            </w:r>
          </w:p>
        </w:tc>
        <w:tc>
          <w:tcPr>
            <w:tcW w:type="dxa" w:w="4513"/>
            <w:vAlign w:val="center"/>
          </w:tcPr>
          <w:p>
            <w:r>
              <w:rPr>
                <w:sz w:val="18"/>
              </w:rPr>
              <w:t>Kevin Adeyemi</w:t>
            </w:r>
          </w:p>
        </w:tc>
      </w:tr>
      <w:tr>
        <w:tc>
          <w:tcPr>
            <w:tcW w:type="dxa" w:w="4513"/>
            <w:vAlign w:val="center"/>
          </w:tcPr>
          <w:p>
            <w:r>
              <w:rPr>
                <w:sz w:val="18"/>
              </w:rPr>
              <w:t>Contact Phone</w:t>
            </w:r>
          </w:p>
        </w:tc>
        <w:tc>
          <w:tcPr>
            <w:tcW w:type="dxa" w:w="4513"/>
            <w:vAlign w:val="center"/>
          </w:tcPr>
          <w:p>
            <w:r>
              <w:rPr>
                <w:sz w:val="18"/>
              </w:rPr>
              <w:t>1-800-555-0142</w:t>
            </w:r>
          </w:p>
        </w:tc>
      </w:tr>
      <w:tr>
        <w:tc>
          <w:tcPr>
            <w:tcW w:type="dxa" w:w="4513"/>
            <w:vAlign w:val="center"/>
          </w:tcPr>
          <w:p>
            <w:r>
              <w:rPr>
                <w:sz w:val="18"/>
              </w:rPr>
              <w:t>Contact Email</w:t>
            </w:r>
          </w:p>
        </w:tc>
        <w:tc>
          <w:tcPr>
            <w:tcW w:type="dxa" w:w="4513"/>
            <w:vAlign w:val="center"/>
          </w:tcPr>
          <w:p>
            <w:r>
              <w:rPr>
                <w:sz w:val="18"/>
              </w:rPr>
              <w:t>kevin.adeyemi@rockridge-pl.example</w:t>
            </w:r>
          </w:p>
        </w:tc>
      </w:tr>
    </w:tbl>
    <w:p>
      <w:r>
        <w:rPr>
          <w:sz w:val="20"/>
        </w:rPr>
      </w:r>
      <w:r>
        <w:rPr>
          <w:b/>
          <w:sz w:val="20"/>
        </w:rPr>
        <w:t>Part B — Report Information</w:t>
      </w:r>
      <w:r>
        <w:rPr>
          <w:sz w:val="20"/>
        </w:rPr>
      </w:r>
    </w:p>
    <w:tbl>
      <w:tblPr>
        <w:tblStyle w:val="TableGrid"/>
        <w:tblW w:type="auto" w:w="0"/>
        <w:tblLook w:firstColumn="1" w:firstRow="1" w:lastColumn="0" w:lastRow="0" w:noHBand="0" w:noVBand="1" w:val="04A0"/>
      </w:tblPr>
      <w:tblGrid>
        <w:gridCol w:w="4513"/>
        <w:gridCol w:w="4513"/>
      </w:tblGrid>
      <w:tr>
        <w:tc>
          <w:tcPr>
            <w:tcW w:type="dxa" w:w="4513"/>
            <w:vAlign w:val="center"/>
            <w:shd w:val="clear" w:color="auto" w:fill="D9E1F2"/>
          </w:tcPr>
          <w:p>
            <w:r>
              <w:rPr>
                <w:b/>
                <w:sz w:val="18"/>
              </w:rPr>
              <w:t>Field</w:t>
            </w:r>
          </w:p>
        </w:tc>
        <w:tc>
          <w:tcPr>
            <w:tcW w:type="dxa" w:w="4513"/>
            <w:vAlign w:val="center"/>
            <w:shd w:val="clear" w:color="auto" w:fill="D9E1F2"/>
          </w:tcPr>
          <w:p>
            <w:r>
              <w:rPr>
                <w:b/>
                <w:sz w:val="18"/>
              </w:rPr>
              <w:t>Value</w:t>
            </w:r>
          </w:p>
        </w:tc>
      </w:tr>
      <w:tr>
        <w:tc>
          <w:tcPr>
            <w:tcW w:type="dxa" w:w="4513"/>
            <w:vAlign w:val="center"/>
          </w:tcPr>
          <w:p>
            <w:r>
              <w:rPr>
                <w:sz w:val="18"/>
              </w:rPr>
              <w:t>Report ID</w:t>
            </w:r>
          </w:p>
        </w:tc>
        <w:tc>
          <w:tcPr>
            <w:tcW w:type="dxa" w:w="4513"/>
            <w:vAlign w:val="center"/>
          </w:tcPr>
          <w:p>
            <w:r>
              <w:rPr>
                <w:sz w:val="18"/>
              </w:rPr>
              <w:t>RPT-2024-00001A</w:t>
            </w:r>
          </w:p>
        </w:tc>
      </w:tr>
      <w:tr>
        <w:tc>
          <w:tcPr>
            <w:tcW w:type="dxa" w:w="4513"/>
            <w:vAlign w:val="center"/>
          </w:tcPr>
          <w:p>
            <w:r>
              <w:rPr>
                <w:sz w:val="18"/>
              </w:rPr>
              <w:t>Report Type</w:t>
            </w:r>
          </w:p>
        </w:tc>
        <w:tc>
          <w:tcPr>
            <w:tcW w:type="dxa" w:w="4513"/>
            <w:vAlign w:val="center"/>
          </w:tcPr>
          <w:p>
            <w:r>
              <w:rPr>
                <w:sz w:val="18"/>
              </w:rPr>
              <w:t>☑ Initial ☐ Update ☐ Final</w:t>
            </w:r>
          </w:p>
        </w:tc>
      </w:tr>
      <w:tr>
        <w:tc>
          <w:tcPr>
            <w:tcW w:type="dxa" w:w="4513"/>
            <w:vAlign w:val="center"/>
          </w:tcPr>
          <w:p>
            <w:r>
              <w:rPr>
                <w:sz w:val="18"/>
              </w:rPr>
              <w:t>Date/Time of Report</w:t>
            </w:r>
          </w:p>
        </w:tc>
        <w:tc>
          <w:tcPr>
            <w:tcW w:type="dxa" w:w="4513"/>
            <w:vAlign w:val="center"/>
          </w:tcPr>
          <w:p>
            <w:r>
              <w:rPr>
                <w:sz w:val="18"/>
              </w:rPr>
              <w:t>2024-03-15T02:47</w:t>
            </w:r>
          </w:p>
        </w:tc>
      </w:tr>
    </w:tbl>
    <w:p>
      <w:r>
        <w:rPr>
          <w:sz w:val="20"/>
        </w:rPr>
      </w:r>
      <w:r>
        <w:rPr>
          <w:b/>
          <w:sz w:val="20"/>
        </w:rPr>
        <w:t>Part C — Interruption Details</w:t>
      </w:r>
      <w:r>
        <w:rPr>
          <w:sz w:val="20"/>
        </w:rPr>
      </w:r>
    </w:p>
    <w:tbl>
      <w:tblPr>
        <w:tblStyle w:val="TableGrid"/>
        <w:tblW w:type="auto" w:w="0"/>
        <w:tblLook w:firstColumn="1" w:firstRow="1" w:lastColumn="0" w:lastRow="0" w:noHBand="0" w:noVBand="1" w:val="04A0"/>
      </w:tblPr>
      <w:tblGrid>
        <w:gridCol w:w="4513"/>
        <w:gridCol w:w="4513"/>
      </w:tblGrid>
      <w:tr>
        <w:tc>
          <w:tcPr>
            <w:tcW w:type="dxa" w:w="4513"/>
            <w:vAlign w:val="center"/>
            <w:shd w:val="clear" w:color="auto" w:fill="D9E1F2"/>
          </w:tcPr>
          <w:p>
            <w:r>
              <w:rPr>
                <w:b/>
                <w:sz w:val="18"/>
              </w:rPr>
              <w:t>Field</w:t>
            </w:r>
          </w:p>
        </w:tc>
        <w:tc>
          <w:tcPr>
            <w:tcW w:type="dxa" w:w="4513"/>
            <w:vAlign w:val="center"/>
            <w:shd w:val="clear" w:color="auto" w:fill="D9E1F2"/>
          </w:tcPr>
          <w:p>
            <w:r>
              <w:rPr>
                <w:b/>
                <w:sz w:val="18"/>
              </w:rPr>
              <w:t>Value</w:t>
            </w:r>
          </w:p>
        </w:tc>
      </w:tr>
      <w:tr>
        <w:tc>
          <w:tcPr>
            <w:tcW w:type="dxa" w:w="4513"/>
            <w:vAlign w:val="center"/>
          </w:tcPr>
          <w:p>
            <w:r>
              <w:rPr>
                <w:sz w:val="18"/>
              </w:rPr>
              <w:t>Interruption Start Date/Time</w:t>
            </w:r>
          </w:p>
        </w:tc>
        <w:tc>
          <w:tcPr>
            <w:tcW w:type="dxa" w:w="4513"/>
            <w:vAlign w:val="center"/>
          </w:tcPr>
          <w:p>
            <w:r>
              <w:rPr>
                <w:sz w:val="18"/>
              </w:rPr>
              <w:t>2024-03-15T00:02</w:t>
            </w:r>
          </w:p>
        </w:tc>
      </w:tr>
      <w:tr>
        <w:tc>
          <w:tcPr>
            <w:tcW w:type="dxa" w:w="4513"/>
            <w:vAlign w:val="center"/>
          </w:tcPr>
          <w:p>
            <w:r>
              <w:rPr>
                <w:sz w:val="18"/>
              </w:rPr>
              <w:t>Threshold Crossed Date/Time</w:t>
            </w:r>
          </w:p>
        </w:tc>
        <w:tc>
          <w:tcPr>
            <w:tcW w:type="dxa" w:w="4513"/>
            <w:vAlign w:val="center"/>
          </w:tcPr>
          <w:p>
            <w:r>
              <w:rPr>
                <w:sz w:val="18"/>
              </w:rPr>
              <w:t>2024-03-15T02:02 (start + 120 min)</w:t>
            </w:r>
          </w:p>
        </w:tc>
      </w:tr>
      <w:tr>
        <w:tc>
          <w:tcPr>
            <w:tcW w:type="dxa" w:w="4513"/>
            <w:vAlign w:val="center"/>
          </w:tcPr>
          <w:p>
            <w:r>
              <w:rPr>
                <w:sz w:val="18"/>
              </w:rPr>
              <w:t>Counties Affected</w:t>
            </w:r>
          </w:p>
        </w:tc>
        <w:tc>
          <w:tcPr>
            <w:tcW w:type="dxa" w:w="4513"/>
            <w:vAlign w:val="center"/>
          </w:tcPr>
          <w:p>
            <w:r>
              <w:rPr>
                <w:sz w:val="18"/>
              </w:rPr>
              <w:t>Benton, Boone, Carroll, Clinton, Fountain, Hendricks, Montgomery, Parke, Putnam, Tippecanoe, Vermillion, Vigo, Warren, White (all 14 counties)</w:t>
            </w:r>
          </w:p>
        </w:tc>
      </w:tr>
      <w:tr>
        <w:tc>
          <w:tcPr>
            <w:tcW w:type="dxa" w:w="4513"/>
            <w:vAlign w:val="center"/>
          </w:tcPr>
          <w:p>
            <w:r>
              <w:rPr>
                <w:sz w:val="18"/>
              </w:rPr>
              <w:t>Total Customers Affected</w:t>
            </w:r>
          </w:p>
        </w:tc>
        <w:tc>
          <w:tcPr>
            <w:tcW w:type="dxa" w:w="4513"/>
            <w:vAlign w:val="center"/>
          </w:tcPr>
          <w:p>
            <w:r>
              <w:rPr>
                <w:sz w:val="18"/>
              </w:rPr>
              <w:t>26,471</w:t>
            </w:r>
          </w:p>
        </w:tc>
      </w:tr>
      <w:tr>
        <w:tc>
          <w:tcPr>
            <w:tcW w:type="dxa" w:w="4513"/>
            <w:vAlign w:val="center"/>
          </w:tcPr>
          <w:p>
            <w:r>
              <w:rPr>
                <w:sz w:val="18"/>
              </w:rPr>
              <w:t>Customers Still Without Service</w:t>
            </w:r>
          </w:p>
        </w:tc>
        <w:tc>
          <w:tcPr>
            <w:tcW w:type="dxa" w:w="4513"/>
            <w:vAlign w:val="center"/>
          </w:tcPr>
          <w:p>
            <w:r>
              <w:rPr>
                <w:sz w:val="18"/>
              </w:rPr>
              <w:t>26,471</w:t>
            </w:r>
          </w:p>
        </w:tc>
      </w:tr>
      <w:tr>
        <w:tc>
          <w:tcPr>
            <w:tcW w:type="dxa" w:w="4513"/>
            <w:vAlign w:val="center"/>
          </w:tcPr>
          <w:p>
            <w:r>
              <w:rPr>
                <w:sz w:val="18"/>
              </w:rPr>
              <w:t>Estimated Restoration Time</w:t>
            </w:r>
          </w:p>
        </w:tc>
        <w:tc>
          <w:tcPr>
            <w:tcW w:type="dxa" w:w="4513"/>
            <w:vAlign w:val="center"/>
          </w:tcPr>
          <w:p>
            <w:r>
              <w:rPr>
                <w:sz w:val="18"/>
              </w:rPr>
              <w:t>2024-03-15T08:02</w:t>
            </w:r>
          </w:p>
        </w:tc>
      </w:tr>
      <w:tr>
        <w:tc>
          <w:tcPr>
            <w:tcW w:type="dxa" w:w="4513"/>
            <w:vAlign w:val="center"/>
          </w:tcPr>
          <w:p>
            <w:r>
              <w:rPr>
                <w:sz w:val="18"/>
              </w:rPr>
              <w:t>Cause</w:t>
            </w:r>
          </w:p>
        </w:tc>
        <w:tc>
          <w:tcPr>
            <w:tcW w:type="dxa" w:w="4513"/>
            <w:vAlign w:val="center"/>
          </w:tcPr>
          <w:p>
            <w:r>
              <w:rPr>
                <w:sz w:val="18"/>
              </w:rPr>
              <w:t>Under investigation (wind/vegetation)</w:t>
            </w:r>
          </w:p>
        </w:tc>
      </w:tr>
    </w:tbl>
    <w:p>
      <w:r>
        <w:rPr>
          <w:sz w:val="20"/>
        </w:rPr>
      </w:r>
      <w:r>
        <w:rPr>
          <w:b/>
          <w:sz w:val="20"/>
        </w:rPr>
        <w:t>Part D — Submitted By</w:t>
      </w:r>
      <w:r>
        <w:rPr>
          <w:sz w:val="20"/>
        </w:rPr>
      </w:r>
    </w:p>
    <w:tbl>
      <w:tblPr>
        <w:tblStyle w:val="TableGrid"/>
        <w:tblW w:type="auto" w:w="0"/>
        <w:tblLook w:firstColumn="1" w:firstRow="1" w:lastColumn="0" w:lastRow="0" w:noHBand="0" w:noVBand="1" w:val="04A0"/>
      </w:tblPr>
      <w:tblGrid>
        <w:gridCol w:w="4513"/>
        <w:gridCol w:w="4513"/>
      </w:tblGrid>
      <w:tr>
        <w:tc>
          <w:tcPr>
            <w:tcW w:type="dxa" w:w="4513"/>
            <w:vAlign w:val="center"/>
            <w:shd w:val="clear" w:color="auto" w:fill="D9E1F2"/>
          </w:tcPr>
          <w:p>
            <w:r>
              <w:rPr>
                <w:b/>
                <w:sz w:val="18"/>
              </w:rPr>
              <w:t>Field</w:t>
            </w:r>
          </w:p>
        </w:tc>
        <w:tc>
          <w:tcPr>
            <w:tcW w:type="dxa" w:w="4513"/>
            <w:vAlign w:val="center"/>
            <w:shd w:val="clear" w:color="auto" w:fill="D9E1F2"/>
          </w:tcPr>
          <w:p>
            <w:r>
              <w:rPr>
                <w:b/>
                <w:sz w:val="18"/>
              </w:rPr>
              <w:t>Value</w:t>
            </w:r>
          </w:p>
        </w:tc>
      </w:tr>
      <w:tr>
        <w:tc>
          <w:tcPr>
            <w:tcW w:type="dxa" w:w="4513"/>
            <w:vAlign w:val="center"/>
          </w:tcPr>
          <w:p>
            <w:r>
              <w:rPr>
                <w:sz w:val="18"/>
              </w:rPr>
              <w:t>Name</w:t>
            </w:r>
          </w:p>
        </w:tc>
        <w:tc>
          <w:tcPr>
            <w:tcW w:type="dxa" w:w="4513"/>
            <w:vAlign w:val="center"/>
          </w:tcPr>
          <w:p>
            <w:r>
              <w:rPr>
                <w:sz w:val="18"/>
              </w:rPr>
              <w:t>Kevin Adeyemi</w:t>
            </w:r>
          </w:p>
        </w:tc>
      </w:tr>
      <w:tr>
        <w:tc>
          <w:tcPr>
            <w:tcW w:type="dxa" w:w="4513"/>
            <w:vAlign w:val="center"/>
          </w:tcPr>
          <w:p>
            <w:r>
              <w:rPr>
                <w:sz w:val="18"/>
              </w:rPr>
              <w:t>Title</w:t>
            </w:r>
          </w:p>
        </w:tc>
        <w:tc>
          <w:tcPr>
            <w:tcW w:type="dxa" w:w="4513"/>
            <w:vAlign w:val="center"/>
          </w:tcPr>
          <w:p>
            <w:r>
              <w:rPr>
                <w:sz w:val="18"/>
              </w:rPr>
              <w:t>Manager, Distribution Control Center</w:t>
            </w:r>
          </w:p>
        </w:tc>
      </w:tr>
      <w:tr>
        <w:tc>
          <w:tcPr>
            <w:tcW w:type="dxa" w:w="4513"/>
            <w:vAlign w:val="center"/>
          </w:tcPr>
          <w:p>
            <w:r>
              <w:rPr>
                <w:sz w:val="18"/>
              </w:rPr>
              <w:t>Date/Time Submitted</w:t>
            </w:r>
          </w:p>
        </w:tc>
        <w:tc>
          <w:tcPr>
            <w:tcW w:type="dxa" w:w="4513"/>
            <w:vAlign w:val="center"/>
          </w:tcPr>
          <w:p>
            <w:r>
              <w:rPr>
                <w:sz w:val="18"/>
              </w:rPr>
              <w:t>2024-03-15T02:47</w:t>
            </w:r>
          </w:p>
        </w:tc>
      </w:tr>
    </w:tbl>
    <w:p>
      <w:r>
        <w:rPr>
          <w:sz w:val="20"/>
        </w:rPr>
      </w:r>
      <w:r>
        <w:rPr>
          <w:i/>
          <w:sz w:val="20"/>
        </w:rPr>
        <w:t>Submission method: Email to IURC Energy Division and OUCC</w:t>
      </w:r>
      <w:r>
        <w:rPr>
          <w:sz w:val="20"/>
        </w:rPr>
      </w:r>
    </w:p>
    <w:p>
      <w:pPr>
        <w:spacing w:before="120" w:after="120"/>
        <w:pBdr>
          <w:bottom w:val="single" w:sz="6" w:space="1" w:color="AAAAAA"/>
        </w:pBdr>
      </w:pPr>
    </w:p>
    <w:p>
      <w:pPr>
        <w:pStyle w:val="Heading3"/>
      </w:pPr>
      <w:r>
        <w:rPr>
          <w:sz w:val="28"/>
        </w:rPr>
        <w:t>A.2 Update Reports Summary</w:t>
      </w:r>
    </w:p>
    <w:p>
      <w:r>
        <w:rPr>
          <w:sz w:val="20"/>
        </w:rPr>
        <w:t>Seven (7) update reports were submitted at each scheduled reporting interval from 2024-03-15T06:00 through 2024-03-16T21:00. Customers still out decreased progressively as field crews completed step-restoration. Cause was updated from "under investigation" to "vegetation/wind" by the second update.</w:t>
      </w:r>
    </w:p>
    <w:p>
      <w:pPr>
        <w:pStyle w:val="Heading3"/>
      </w:pPr>
      <w:r>
        <w:rPr>
          <w:sz w:val="28"/>
        </w:rPr>
        <w:t>A.3 Final Report — Filed 2024-03-16T21:00</w:t>
      </w:r>
    </w:p>
    <w:tbl>
      <w:tblPr>
        <w:tblStyle w:val="TableGrid"/>
        <w:tblW w:type="auto" w:w="0"/>
        <w:tblLook w:firstColumn="1" w:firstRow="1" w:lastColumn="0" w:lastRow="0" w:noHBand="0" w:noVBand="1" w:val="04A0"/>
      </w:tblPr>
      <w:tblGrid>
        <w:gridCol w:w="4513"/>
        <w:gridCol w:w="4513"/>
      </w:tblGrid>
      <w:tr>
        <w:tc>
          <w:tcPr>
            <w:tcW w:type="dxa" w:w="4513"/>
            <w:vAlign w:val="center"/>
            <w:shd w:val="clear" w:color="auto" w:fill="D9E1F2"/>
          </w:tcPr>
          <w:p>
            <w:r>
              <w:rPr>
                <w:b/>
                <w:sz w:val="18"/>
              </w:rPr>
              <w:t>Field</w:t>
            </w:r>
          </w:p>
        </w:tc>
        <w:tc>
          <w:tcPr>
            <w:tcW w:type="dxa" w:w="4513"/>
            <w:vAlign w:val="center"/>
            <w:shd w:val="clear" w:color="auto" w:fill="D9E1F2"/>
          </w:tcPr>
          <w:p>
            <w:r>
              <w:rPr>
                <w:b/>
                <w:sz w:val="18"/>
              </w:rPr>
              <w:t>Value</w:t>
            </w:r>
          </w:p>
        </w:tc>
      </w:tr>
      <w:tr>
        <w:tc>
          <w:tcPr>
            <w:tcW w:type="dxa" w:w="4513"/>
            <w:vAlign w:val="center"/>
          </w:tcPr>
          <w:p>
            <w:r>
              <w:rPr>
                <w:sz w:val="18"/>
              </w:rPr>
              <w:t>Report ID</w:t>
            </w:r>
          </w:p>
        </w:tc>
        <w:tc>
          <w:tcPr>
            <w:tcW w:type="dxa" w:w="4513"/>
            <w:vAlign w:val="center"/>
          </w:tcPr>
          <w:p>
            <w:r>
              <w:rPr>
                <w:sz w:val="18"/>
              </w:rPr>
              <w:t>RPT-2024-00001Z</w:t>
            </w:r>
          </w:p>
        </w:tc>
      </w:tr>
      <w:tr>
        <w:tc>
          <w:tcPr>
            <w:tcW w:type="dxa" w:w="4513"/>
            <w:vAlign w:val="center"/>
          </w:tcPr>
          <w:p>
            <w:r>
              <w:rPr>
                <w:sz w:val="18"/>
              </w:rPr>
              <w:t>Report Type</w:t>
            </w:r>
          </w:p>
        </w:tc>
        <w:tc>
          <w:tcPr>
            <w:tcW w:type="dxa" w:w="4513"/>
            <w:vAlign w:val="center"/>
          </w:tcPr>
          <w:p>
            <w:r>
              <w:rPr>
                <w:sz w:val="18"/>
              </w:rPr>
              <w:t>☐ Initial ☐ Update ☑ Final</w:t>
            </w:r>
          </w:p>
        </w:tc>
      </w:tr>
      <w:tr>
        <w:tc>
          <w:tcPr>
            <w:tcW w:type="dxa" w:w="4513"/>
            <w:vAlign w:val="center"/>
          </w:tcPr>
          <w:p>
            <w:r>
              <w:rPr>
                <w:sz w:val="18"/>
              </w:rPr>
              <w:t>Date/Time of Report</w:t>
            </w:r>
          </w:p>
        </w:tc>
        <w:tc>
          <w:tcPr>
            <w:tcW w:type="dxa" w:w="4513"/>
            <w:vAlign w:val="center"/>
          </w:tcPr>
          <w:p>
            <w:r>
              <w:rPr>
                <w:sz w:val="18"/>
              </w:rPr>
              <w:t>2024-03-16T21:00</w:t>
            </w:r>
          </w:p>
        </w:tc>
      </w:tr>
      <w:tr>
        <w:tc>
          <w:tcPr>
            <w:tcW w:type="dxa" w:w="4513"/>
            <w:vAlign w:val="center"/>
          </w:tcPr>
          <w:p>
            <w:r>
              <w:rPr>
                <w:sz w:val="18"/>
              </w:rPr>
              <w:t>Customers Still Without Service</w:t>
            </w:r>
          </w:p>
        </w:tc>
        <w:tc>
          <w:tcPr>
            <w:tcW w:type="dxa" w:w="4513"/>
            <w:vAlign w:val="center"/>
          </w:tcPr>
          <w:p>
            <w:r>
              <w:rPr>
                <w:sz w:val="18"/>
              </w:rPr>
              <w:t>0</w:t>
            </w:r>
          </w:p>
        </w:tc>
      </w:tr>
      <w:tr>
        <w:tc>
          <w:tcPr>
            <w:tcW w:type="dxa" w:w="4513"/>
            <w:vAlign w:val="center"/>
          </w:tcPr>
          <w:p>
            <w:r>
              <w:rPr>
                <w:sz w:val="18"/>
              </w:rPr>
              <w:t>Actual Restoration Time</w:t>
            </w:r>
          </w:p>
        </w:tc>
        <w:tc>
          <w:tcPr>
            <w:tcW w:type="dxa" w:w="4513"/>
            <w:vAlign w:val="center"/>
          </w:tcPr>
          <w:p>
            <w:r>
              <w:rPr>
                <w:sz w:val="18"/>
              </w:rPr>
              <w:t>2024-03-16T20:32</w:t>
            </w:r>
          </w:p>
        </w:tc>
      </w:tr>
      <w:tr>
        <w:tc>
          <w:tcPr>
            <w:tcW w:type="dxa" w:w="4513"/>
            <w:vAlign w:val="center"/>
          </w:tcPr>
          <w:p>
            <w:r>
              <w:rPr>
                <w:sz w:val="18"/>
              </w:rPr>
              <w:t>Cause</w:t>
            </w:r>
          </w:p>
        </w:tc>
        <w:tc>
          <w:tcPr>
            <w:tcW w:type="dxa" w:w="4513"/>
            <w:vAlign w:val="center"/>
          </w:tcPr>
          <w:p>
            <w:r>
              <w:rPr>
                <w:sz w:val="18"/>
              </w:rPr>
              <w:t>Vegetation — wind storm; multiple trees into lines across 14 counties</w:t>
            </w:r>
          </w:p>
        </w:tc>
      </w:tr>
    </w:tbl>
    <w:p>
      <w:pPr>
        <w:spacing w:before="120" w:after="120"/>
        <w:pBdr>
          <w:bottom w:val="single" w:sz="6" w:space="1" w:color="AAAAAA"/>
        </w:pBdr>
      </w:pPr>
    </w:p>
    <w:p>
      <w:r>
        <w:br w:type="page"/>
      </w:r>
    </w:p>
    <w:p>
      <w:pPr>
        <w:pStyle w:val="Heading2"/>
      </w:pPr>
      <w:r>
        <w:rPr>
          <w:color w:val="1F3864"/>
          <w:sz w:val="32"/>
        </w:rPr>
        <w:t>Appendix B — DCC Reporting Checklist</w:t>
      </w:r>
    </w:p>
    <w:p>
      <w:r>
        <w:rPr>
          <w:sz w:val="20"/>
        </w:rPr>
        <w:t>Use this checklist for each reportable incident. File in DCS under RRS-DCC-001.</w:t>
      </w:r>
    </w:p>
    <w:p>
      <w:r>
        <w:rPr>
          <w:sz w:val="20"/>
        </w:rPr>
      </w:r>
      <w:r>
        <w:rPr>
          <w:b/>
          <w:sz w:val="20"/>
        </w:rPr>
        <w:t>Incident ID:</w:t>
      </w:r>
      <w:r>
        <w:rPr>
          <w:sz w:val="20"/>
        </w:rPr>
        <w:t xml:space="preserve"> _______________ | </w:t>
      </w:r>
      <w:r>
        <w:rPr>
          <w:b/>
          <w:sz w:val="20"/>
        </w:rPr>
        <w:t>Shift Supervisor:</w:t>
      </w:r>
      <w:r>
        <w:rPr>
          <w:sz w:val="20"/>
        </w:rPr>
        <w:t xml:space="preserve"> _______________ | </w:t>
      </w:r>
      <w:r>
        <w:rPr>
          <w:b/>
          <w:sz w:val="20"/>
        </w:rPr>
        <w:t>Date:</w:t>
      </w:r>
      <w:r>
        <w:rPr>
          <w:sz w:val="20"/>
        </w:rPr>
        <w:t xml:space="preserve"> _______________</w:t>
      </w:r>
    </w:p>
    <w:p>
      <w:pPr>
        <w:pStyle w:val="Heading3"/>
      </w:pPr>
      <w:r>
        <w:rPr>
          <w:sz w:val="28"/>
        </w:rPr>
        <w:t>Pre-Report Checks</w:t>
      </w:r>
    </w:p>
    <w:p>
      <w:pPr>
        <w:pStyle w:val="ListBullet"/>
      </w:pPr>
      <w:r>
        <w:rPr>
          <w:sz w:val="20"/>
        </w:rPr>
        <w:t>☐ OMS incident record created with all required fields (§6.2)</w:t>
      </w:r>
    </w:p>
    <w:p>
      <w:pPr>
        <w:pStyle w:val="ListBullet"/>
      </w:pPr>
      <w:r>
        <w:rPr>
          <w:sz w:val="20"/>
        </w:rPr>
        <w:t xml:space="preserve">☐ </w:t>
      </w:r>
      <w:r>
        <w:rPr>
          <w:rFonts w:ascii="Courier New" w:hAnsi="Courier New"/>
          <w:sz w:val="20"/>
        </w:rPr>
        <w:t>incident_type</w:t>
      </w:r>
      <w:r>
        <w:rPr>
          <w:sz w:val="20"/>
        </w:rPr>
        <w:t xml:space="preserve"> confirmed (not planned)</w:t>
      </w:r>
    </w:p>
    <w:p>
      <w:pPr>
        <w:pStyle w:val="ListBullet"/>
      </w:pPr>
      <w:r>
        <w:rPr>
          <w:sz w:val="20"/>
        </w:rPr>
        <w:t xml:space="preserve">☐ </w:t>
      </w:r>
      <w:r>
        <w:rPr>
          <w:rFonts w:ascii="Courier New" w:hAnsi="Courier New"/>
          <w:sz w:val="20"/>
        </w:rPr>
        <w:t>peak_customers_out</w:t>
      </w:r>
      <w:r>
        <w:rPr>
          <w:sz w:val="20"/>
        </w:rPr>
        <w:t xml:space="preserve"> verified ≥ 5,000</w:t>
      </w:r>
    </w:p>
    <w:p>
      <w:pPr>
        <w:pStyle w:val="ListBullet"/>
      </w:pPr>
      <w:r>
        <w:rPr>
          <w:sz w:val="20"/>
        </w:rPr>
        <w:t>☐ Duration confirmed ≥ 120 minutes (or timer set)</w:t>
      </w:r>
    </w:p>
    <w:p>
      <w:pPr>
        <w:pStyle w:val="ListBullet"/>
      </w:pPr>
      <w:r>
        <w:rPr>
          <w:sz w:val="20"/>
        </w:rPr>
        <w:t xml:space="preserve">☐ </w:t>
      </w:r>
      <w:r>
        <w:rPr>
          <w:rFonts w:ascii="Courier New" w:hAnsi="Courier New"/>
          <w:sz w:val="20"/>
        </w:rPr>
        <w:t>threshold_crossed_ts</w:t>
      </w:r>
      <w:r>
        <w:rPr>
          <w:sz w:val="20"/>
        </w:rPr>
        <w:t xml:space="preserve"> recorded in OMS</w:t>
      </w:r>
    </w:p>
    <w:p>
      <w:pPr>
        <w:pStyle w:val="ListBullet"/>
      </w:pPr>
      <w:r>
        <w:rPr>
          <w:sz w:val="20"/>
        </w:rPr>
        <w:t xml:space="preserve">☐ </w:t>
      </w:r>
      <w:r>
        <w:rPr>
          <w:rFonts w:ascii="Courier New" w:hAnsi="Courier New"/>
          <w:sz w:val="20"/>
        </w:rPr>
        <w:t>etr_first_ts</w:t>
      </w:r>
      <w:r>
        <w:rPr>
          <w:sz w:val="20"/>
        </w:rPr>
        <w:t xml:space="preserve"> set</w:t>
      </w:r>
    </w:p>
    <w:p>
      <w:pPr>
        <w:pStyle w:val="ListBullet"/>
      </w:pPr>
      <w:r>
        <w:rPr>
          <w:sz w:val="20"/>
        </w:rPr>
        <w:t>☐ Next reporting interval identified</w:t>
      </w:r>
    </w:p>
    <w:p>
      <w:pPr>
        <w:pStyle w:val="Heading3"/>
      </w:pPr>
      <w:r>
        <w:rPr>
          <w:sz w:val="28"/>
        </w:rPr>
        <w:t>Initial Report</w:t>
      </w:r>
    </w:p>
    <w:p>
      <w:pPr>
        <w:pStyle w:val="ListBullet"/>
      </w:pPr>
      <w:r>
        <w:rPr>
          <w:sz w:val="20"/>
        </w:rPr>
        <w:t>☐ State Form 54646 completed with all fields from §8.3</w:t>
      </w:r>
    </w:p>
    <w:p>
      <w:pPr>
        <w:pStyle w:val="ListBullet"/>
      </w:pPr>
      <w:r>
        <w:rPr>
          <w:sz w:val="20"/>
        </w:rPr>
        <w:t>☐ Email sent to IURC Energy Division (cc OUCC) before deadline interval</w:t>
      </w:r>
    </w:p>
    <w:p>
      <w:pPr>
        <w:pStyle w:val="ListBullet"/>
      </w:pPr>
      <w:r>
        <w:rPr>
          <w:sz w:val="20"/>
        </w:rPr>
        <w:t xml:space="preserve">☐ </w:t>
      </w:r>
      <w:r>
        <w:rPr>
          <w:rFonts w:ascii="Courier New" w:hAnsi="Courier New"/>
          <w:sz w:val="20"/>
        </w:rPr>
        <w:t>iurc_initial_report_ts</w:t>
      </w:r>
      <w:r>
        <w:rPr>
          <w:sz w:val="20"/>
        </w:rPr>
        <w:t xml:space="preserve"> recorded in OMS</w:t>
      </w:r>
    </w:p>
    <w:p>
      <w:pPr>
        <w:pStyle w:val="ListBullet"/>
      </w:pPr>
      <w:r>
        <w:rPr>
          <w:sz w:val="20"/>
        </w:rPr>
        <w:t>☐ Report saved to DCS, series RRS-DCC-001</w:t>
      </w:r>
    </w:p>
    <w:p>
      <w:pPr>
        <w:pStyle w:val="Heading3"/>
      </w:pPr>
      <w:r>
        <w:rPr>
          <w:sz w:val="28"/>
        </w:rPr>
        <w:t>Each Update Report</w:t>
      </w:r>
    </w:p>
    <w:p>
      <w:pPr>
        <w:pStyle w:val="ListBullet"/>
      </w:pPr>
      <w:r>
        <w:rPr>
          <w:sz w:val="20"/>
        </w:rPr>
        <w:t xml:space="preserve">☐ </w:t>
      </w:r>
      <w:r>
        <w:rPr>
          <w:rFonts w:ascii="Courier New" w:hAnsi="Courier New"/>
          <w:sz w:val="20"/>
        </w:rPr>
        <w:t>customers_still_out_reported</w:t>
      </w:r>
      <w:r>
        <w:rPr>
          <w:sz w:val="20"/>
        </w:rPr>
        <w:t xml:space="preserve"> updated from current OMS count</w:t>
      </w:r>
    </w:p>
    <w:p>
      <w:pPr>
        <w:pStyle w:val="ListBullet"/>
      </w:pPr>
      <w:r>
        <w:rPr>
          <w:sz w:val="20"/>
        </w:rPr>
        <w:t xml:space="preserve">☐ </w:t>
      </w:r>
      <w:r>
        <w:rPr>
          <w:rFonts w:ascii="Courier New" w:hAnsi="Courier New"/>
          <w:sz w:val="20"/>
        </w:rPr>
        <w:t>etr_reported</w:t>
      </w:r>
      <w:r>
        <w:rPr>
          <w:sz w:val="20"/>
        </w:rPr>
        <w:t xml:space="preserve"> updated if timeline changed</w:t>
      </w:r>
    </w:p>
    <w:p>
      <w:pPr>
        <w:pStyle w:val="ListBullet"/>
      </w:pPr>
      <w:r>
        <w:rPr>
          <w:sz w:val="20"/>
        </w:rPr>
        <w:t>☐ Cause updated if field crews have identified cause</w:t>
      </w:r>
    </w:p>
    <w:p>
      <w:pPr>
        <w:pStyle w:val="ListBullet"/>
      </w:pPr>
      <w:r>
        <w:rPr>
          <w:sz w:val="20"/>
        </w:rPr>
        <w:t>☐ Email sent before the interval time</w:t>
      </w:r>
    </w:p>
    <w:p>
      <w:pPr>
        <w:pStyle w:val="ListBullet"/>
      </w:pPr>
      <w:r>
        <w:rPr>
          <w:sz w:val="20"/>
        </w:rPr>
        <w:t xml:space="preserve">☐ </w:t>
      </w:r>
      <w:r>
        <w:rPr>
          <w:rFonts w:ascii="Courier New" w:hAnsi="Courier New"/>
          <w:sz w:val="20"/>
        </w:rPr>
        <w:t>iurc_update_count</w:t>
      </w:r>
      <w:r>
        <w:rPr>
          <w:sz w:val="20"/>
        </w:rPr>
        <w:t xml:space="preserve"> incremented in OMS</w:t>
      </w:r>
    </w:p>
    <w:p>
      <w:pPr>
        <w:pStyle w:val="Heading3"/>
      </w:pPr>
      <w:r>
        <w:rPr>
          <w:sz w:val="28"/>
        </w:rPr>
        <w:t>Final Report</w:t>
      </w:r>
    </w:p>
    <w:p>
      <w:pPr>
        <w:pStyle w:val="ListBullet"/>
      </w:pPr>
      <w:r>
        <w:rPr>
          <w:sz w:val="20"/>
        </w:rPr>
        <w:t xml:space="preserve">☐ </w:t>
      </w:r>
      <w:r>
        <w:rPr>
          <w:rFonts w:ascii="Courier New" w:hAnsi="Courier New"/>
          <w:sz w:val="20"/>
        </w:rPr>
        <w:t>customers_still_out_reported</w:t>
      </w:r>
      <w:r>
        <w:rPr>
          <w:sz w:val="20"/>
        </w:rPr>
        <w:t xml:space="preserve"> = 0 (or &lt; 5,000)</w:t>
      </w:r>
    </w:p>
    <w:p>
      <w:pPr>
        <w:pStyle w:val="ListBullet"/>
      </w:pPr>
      <w:r>
        <w:rPr>
          <w:sz w:val="20"/>
        </w:rPr>
        <w:t xml:space="preserve">☐ </w:t>
      </w:r>
      <w:r>
        <w:rPr>
          <w:rFonts w:ascii="Courier New" w:hAnsi="Courier New"/>
          <w:sz w:val="20"/>
        </w:rPr>
        <w:t>etr_reported</w:t>
      </w:r>
      <w:r>
        <w:rPr>
          <w:sz w:val="20"/>
        </w:rPr>
        <w:t xml:space="preserve"> = actual </w:t>
      </w:r>
      <w:r>
        <w:rPr>
          <w:rFonts w:ascii="Courier New" w:hAnsi="Courier New"/>
          <w:sz w:val="20"/>
        </w:rPr>
        <w:t>restored_ts</w:t>
      </w:r>
      <w:r>
        <w:rPr>
          <w:sz w:val="20"/>
        </w:rPr>
      </w:r>
    </w:p>
    <w:p>
      <w:pPr>
        <w:pStyle w:val="ListBullet"/>
      </w:pPr>
      <w:r>
        <w:rPr>
          <w:sz w:val="20"/>
        </w:rPr>
        <w:t>☐ Cause confirmed in final report</w:t>
      </w:r>
    </w:p>
    <w:p>
      <w:pPr>
        <w:pStyle w:val="ListBullet"/>
      </w:pPr>
      <w:r>
        <w:rPr>
          <w:sz w:val="20"/>
        </w:rPr>
        <w:t>☐ "Final" checked on State Form 54646</w:t>
      </w:r>
    </w:p>
    <w:p>
      <w:pPr>
        <w:pStyle w:val="ListBullet"/>
      </w:pPr>
      <w:r>
        <w:rPr>
          <w:sz w:val="20"/>
        </w:rPr>
        <w:t xml:space="preserve">☐ </w:t>
      </w:r>
      <w:r>
        <w:rPr>
          <w:rFonts w:ascii="Courier New" w:hAnsi="Courier New"/>
          <w:sz w:val="20"/>
        </w:rPr>
        <w:t>iurc_final_report_ts</w:t>
      </w:r>
      <w:r>
        <w:rPr>
          <w:sz w:val="20"/>
        </w:rPr>
        <w:t xml:space="preserve"> recorded in OMS</w:t>
      </w:r>
    </w:p>
    <w:p>
      <w:pPr>
        <w:pStyle w:val="ListBullet"/>
      </w:pPr>
      <w:r>
        <w:rPr>
          <w:sz w:val="20"/>
        </w:rPr>
        <w:t>☐ Incident close-out per §6.4 completed within 24 hours</w:t>
      </w:r>
    </w:p>
    <w:p>
      <w:pPr>
        <w:spacing w:before="120" w:after="120"/>
        <w:pBdr>
          <w:bottom w:val="single" w:sz="6" w:space="1" w:color="AAAAAA"/>
        </w:pBdr>
      </w:pPr>
    </w:p>
    <w:p>
      <w:r>
        <w:br w:type="page"/>
      </w:r>
    </w:p>
    <w:p>
      <w:pPr>
        <w:pStyle w:val="Heading2"/>
      </w:pPr>
      <w:r>
        <w:rPr>
          <w:color w:val="1F3864"/>
          <w:sz w:val="32"/>
        </w:rPr>
        <w:t>Appendix C — Notification Contact Sheet</w:t>
      </w:r>
    </w:p>
    <w:p>
      <w:pPr>
        <w:pStyle w:val="Heading3"/>
      </w:pPr>
      <w:r>
        <w:rPr>
          <w:sz w:val="28"/>
        </w:rPr>
        <w:t>External — IURC</w:t>
      </w:r>
    </w:p>
    <w:tbl>
      <w:tblPr>
        <w:tblStyle w:val="TableGrid"/>
        <w:tblW w:type="auto" w:w="0"/>
        <w:tblLook w:firstColumn="1" w:firstRow="1" w:lastColumn="0" w:lastRow="0" w:noHBand="0" w:noVBand="1" w:val="04A0"/>
      </w:tblPr>
      <w:tblGrid>
        <w:gridCol w:w="2256"/>
        <w:gridCol w:w="2256"/>
        <w:gridCol w:w="2256"/>
        <w:gridCol w:w="2256"/>
      </w:tblGrid>
      <w:tr>
        <w:tc>
          <w:tcPr>
            <w:tcW w:type="dxa" w:w="2256"/>
            <w:vAlign w:val="center"/>
            <w:shd w:val="clear" w:color="auto" w:fill="D9E1F2"/>
          </w:tcPr>
          <w:p>
            <w:r>
              <w:rPr>
                <w:b/>
                <w:sz w:val="18"/>
              </w:rPr>
              <w:t>Office</w:t>
            </w:r>
          </w:p>
        </w:tc>
        <w:tc>
          <w:tcPr>
            <w:tcW w:type="dxa" w:w="2256"/>
            <w:vAlign w:val="center"/>
            <w:shd w:val="clear" w:color="auto" w:fill="D9E1F2"/>
          </w:tcPr>
          <w:p>
            <w:r>
              <w:rPr>
                <w:b/>
                <w:sz w:val="18"/>
              </w:rPr>
              <w:t>Contact</w:t>
            </w:r>
          </w:p>
        </w:tc>
        <w:tc>
          <w:tcPr>
            <w:tcW w:type="dxa" w:w="2256"/>
            <w:vAlign w:val="center"/>
            <w:shd w:val="clear" w:color="auto" w:fill="D9E1F2"/>
          </w:tcPr>
          <w:p>
            <w:r>
              <w:rPr>
                <w:b/>
                <w:sz w:val="18"/>
              </w:rPr>
              <w:t>Phone</w:t>
            </w:r>
          </w:p>
        </w:tc>
        <w:tc>
          <w:tcPr>
            <w:tcW w:type="dxa" w:w="2256"/>
            <w:vAlign w:val="center"/>
            <w:shd w:val="clear" w:color="auto" w:fill="D9E1F2"/>
          </w:tcPr>
          <w:p>
            <w:r>
              <w:rPr>
                <w:b/>
                <w:sz w:val="18"/>
              </w:rPr>
              <w:t>Hours</w:t>
            </w:r>
          </w:p>
        </w:tc>
      </w:tr>
      <w:tr>
        <w:tc>
          <w:tcPr>
            <w:tcW w:type="dxa" w:w="2256"/>
            <w:vAlign w:val="center"/>
          </w:tcPr>
          <w:p>
            <w:r>
              <w:rPr>
                <w:sz w:val="18"/>
              </w:rPr>
              <w:t>IURC Energy Division (outage reports)</w:t>
            </w:r>
          </w:p>
        </w:tc>
        <w:tc>
          <w:tcPr>
            <w:tcW w:type="dxa" w:w="2256"/>
            <w:vAlign w:val="center"/>
          </w:tcPr>
          <w:p>
            <w:r>
              <w:rPr>
                <w:sz w:val="18"/>
              </w:rPr>
              <w:t>—</w:t>
            </w:r>
          </w:p>
        </w:tc>
        <w:tc>
          <w:tcPr>
            <w:tcW w:type="dxa" w:w="2256"/>
            <w:vAlign w:val="center"/>
          </w:tcPr>
          <w:p>
            <w:r>
              <w:rPr>
                <w:sz w:val="18"/>
              </w:rPr>
              <w:t>317-232-2785</w:t>
            </w:r>
          </w:p>
        </w:tc>
        <w:tc>
          <w:tcPr>
            <w:tcW w:type="dxa" w:w="2256"/>
            <w:vAlign w:val="center"/>
          </w:tcPr>
          <w:p>
            <w:r>
              <w:rPr>
                <w:sz w:val="18"/>
              </w:rPr>
              <w:t>8:15 a.m.–4:45 p.m. ET, Mon–Fri</w:t>
            </w:r>
          </w:p>
        </w:tc>
      </w:tr>
      <w:tr>
        <w:tc>
          <w:tcPr>
            <w:tcW w:type="dxa" w:w="2256"/>
            <w:vAlign w:val="center"/>
          </w:tcPr>
          <w:p>
            <w:r>
              <w:rPr>
                <w:sz w:val="18"/>
              </w:rPr>
              <w:t>IURC Electronic Filing System</w:t>
            </w:r>
          </w:p>
        </w:tc>
        <w:tc>
          <w:tcPr>
            <w:tcW w:type="dxa" w:w="2256"/>
            <w:vAlign w:val="center"/>
          </w:tcPr>
          <w:p>
            <w:r>
              <w:rPr>
                <w:sz w:val="18"/>
              </w:rPr>
              <w:t>iurc.portal.in.gov</w:t>
            </w:r>
          </w:p>
        </w:tc>
        <w:tc>
          <w:tcPr>
            <w:tcW w:type="dxa" w:w="2256"/>
            <w:vAlign w:val="center"/>
          </w:tcPr>
          <w:p>
            <w:r>
              <w:rPr>
                <w:sz w:val="18"/>
              </w:rPr>
              <w:t>—</w:t>
            </w:r>
          </w:p>
        </w:tc>
        <w:tc>
          <w:tcPr>
            <w:tcW w:type="dxa" w:w="2256"/>
            <w:vAlign w:val="center"/>
          </w:tcPr>
          <w:p>
            <w:r>
              <w:rPr>
                <w:sz w:val="18"/>
              </w:rPr>
              <w:t>24/7</w:t>
            </w:r>
          </w:p>
        </w:tc>
      </w:tr>
      <w:tr>
        <w:tc>
          <w:tcPr>
            <w:tcW w:type="dxa" w:w="2256"/>
            <w:vAlign w:val="center"/>
          </w:tcPr>
          <w:p>
            <w:r>
              <w:rPr>
                <w:sz w:val="18"/>
              </w:rPr>
              <w:t>IURC Consumer Affairs Division</w:t>
            </w:r>
          </w:p>
        </w:tc>
        <w:tc>
          <w:tcPr>
            <w:tcW w:type="dxa" w:w="2256"/>
            <w:vAlign w:val="center"/>
          </w:tcPr>
          <w:p>
            <w:r>
              <w:rPr>
                <w:sz w:val="18"/>
              </w:rPr>
              <w:t>—</w:t>
            </w:r>
          </w:p>
        </w:tc>
        <w:tc>
          <w:tcPr>
            <w:tcW w:type="dxa" w:w="2256"/>
            <w:vAlign w:val="center"/>
          </w:tcPr>
          <w:p>
            <w:r>
              <w:rPr>
                <w:sz w:val="18"/>
              </w:rPr>
              <w:t>1-800-851-4268 (toll-free); 317-232-2712</w:t>
            </w:r>
          </w:p>
        </w:tc>
        <w:tc>
          <w:tcPr>
            <w:tcW w:type="dxa" w:w="2256"/>
            <w:vAlign w:val="center"/>
          </w:tcPr>
          <w:p>
            <w:r>
              <w:rPr>
                <w:sz w:val="18"/>
              </w:rPr>
              <w:t>8:15 a.m.–4:45 p.m. ET, Mon–Fri</w:t>
            </w:r>
          </w:p>
        </w:tc>
      </w:tr>
      <w:tr>
        <w:tc>
          <w:tcPr>
            <w:tcW w:type="dxa" w:w="2256"/>
            <w:vAlign w:val="center"/>
          </w:tcPr>
          <w:p>
            <w:r>
              <w:rPr>
                <w:sz w:val="18"/>
              </w:rPr>
              <w:t>OUCC (copy on reports)</w:t>
            </w:r>
          </w:p>
        </w:tc>
        <w:tc>
          <w:tcPr>
            <w:tcW w:type="dxa" w:w="2256"/>
            <w:vAlign w:val="center"/>
          </w:tcPr>
          <w:p>
            <w:r>
              <w:rPr>
                <w:sz w:val="18"/>
              </w:rPr>
              <w:t>—</w:t>
            </w:r>
          </w:p>
        </w:tc>
        <w:tc>
          <w:tcPr>
            <w:tcW w:type="dxa" w:w="2256"/>
            <w:vAlign w:val="center"/>
          </w:tcPr>
          <w:p>
            <w:r>
              <w:rPr>
                <w:sz w:val="18"/>
              </w:rPr>
              <w:t>1-888-441-2494</w:t>
            </w:r>
          </w:p>
        </w:tc>
        <w:tc>
          <w:tcPr>
            <w:tcW w:type="dxa" w:w="2256"/>
            <w:vAlign w:val="center"/>
          </w:tcPr>
          <w:p>
            <w:r>
              <w:rPr>
                <w:sz w:val="18"/>
              </w:rPr>
              <w:t>—</w:t>
            </w:r>
          </w:p>
        </w:tc>
      </w:tr>
    </w:tbl>
    <w:p>
      <w:r>
        <w:rPr>
          <w:sz w:val="20"/>
        </w:rPr>
        <w:t>IURC mailing address: PNC Center, 101 W. Washington Street, Suite 1500E, Indianapolis, IN 46204.</w:t>
      </w:r>
    </w:p>
    <w:p>
      <w:pPr>
        <w:pStyle w:val="Heading3"/>
      </w:pPr>
      <w:r>
        <w:rPr>
          <w:sz w:val="28"/>
        </w:rPr>
        <w:t>Internal Escalation</w:t>
      </w:r>
    </w:p>
    <w:tbl>
      <w:tblPr>
        <w:tblStyle w:val="TableGrid"/>
        <w:tblW w:type="auto" w:w="0"/>
        <w:tblLook w:firstColumn="1" w:firstRow="1" w:lastColumn="0" w:lastRow="0" w:noHBand="0" w:noVBand="1" w:val="04A0"/>
      </w:tblPr>
      <w:tblGrid>
        <w:gridCol w:w="3009"/>
        <w:gridCol w:w="3009"/>
        <w:gridCol w:w="3009"/>
      </w:tblGrid>
      <w:tr>
        <w:tc>
          <w:tcPr>
            <w:tcW w:type="dxa" w:w="3009"/>
            <w:vAlign w:val="center"/>
            <w:shd w:val="clear" w:color="auto" w:fill="D9E1F2"/>
          </w:tcPr>
          <w:p>
            <w:r>
              <w:rPr>
                <w:b/>
                <w:sz w:val="18"/>
              </w:rPr>
              <w:t>Role</w:t>
            </w:r>
          </w:p>
        </w:tc>
        <w:tc>
          <w:tcPr>
            <w:tcW w:type="dxa" w:w="3009"/>
            <w:vAlign w:val="center"/>
            <w:shd w:val="clear" w:color="auto" w:fill="D9E1F2"/>
          </w:tcPr>
          <w:p>
            <w:r>
              <w:rPr>
                <w:b/>
                <w:sz w:val="18"/>
              </w:rPr>
              <w:t>Name</w:t>
            </w:r>
          </w:p>
        </w:tc>
        <w:tc>
          <w:tcPr>
            <w:tcW w:type="dxa" w:w="3009"/>
            <w:vAlign w:val="center"/>
            <w:shd w:val="clear" w:color="auto" w:fill="D9E1F2"/>
          </w:tcPr>
          <w:p>
            <w:r>
              <w:rPr>
                <w:b/>
                <w:sz w:val="18"/>
              </w:rPr>
              <w:t>Contact</w:t>
            </w:r>
          </w:p>
        </w:tc>
      </w:tr>
      <w:tr>
        <w:tc>
          <w:tcPr>
            <w:tcW w:type="dxa" w:w="3009"/>
            <w:vAlign w:val="center"/>
          </w:tcPr>
          <w:p>
            <w:r>
              <w:rPr>
                <w:sz w:val="18"/>
              </w:rPr>
              <w:t>DCC Manager</w:t>
            </w:r>
          </w:p>
        </w:tc>
        <w:tc>
          <w:tcPr>
            <w:tcW w:type="dxa" w:w="3009"/>
            <w:vAlign w:val="center"/>
          </w:tcPr>
          <w:p>
            <w:r>
              <w:rPr>
                <w:sz w:val="18"/>
              </w:rPr>
              <w:t>Kevin Adeyemi (P23)</w:t>
            </w:r>
          </w:p>
        </w:tc>
        <w:tc>
          <w:tcPr>
            <w:tcW w:type="dxa" w:w="3009"/>
            <w:vAlign w:val="center"/>
          </w:tcPr>
          <w:p>
            <w:r>
              <w:rPr>
                <w:sz w:val="18"/>
              </w:rPr>
              <w:t>kevin.adeyemi@rockridge-pl.example; OMS DCC-ESCALATION</w:t>
            </w:r>
          </w:p>
        </w:tc>
      </w:tr>
      <w:tr>
        <w:tc>
          <w:tcPr>
            <w:tcW w:type="dxa" w:w="3009"/>
            <w:vAlign w:val="center"/>
          </w:tcPr>
          <w:p>
            <w:r>
              <w:rPr>
                <w:sz w:val="18"/>
              </w:rPr>
              <w:t>Director, Distribution Operations</w:t>
            </w:r>
          </w:p>
        </w:tc>
        <w:tc>
          <w:tcPr>
            <w:tcW w:type="dxa" w:w="3009"/>
            <w:vAlign w:val="center"/>
          </w:tcPr>
          <w:p>
            <w:r>
              <w:rPr>
                <w:sz w:val="18"/>
              </w:rPr>
              <w:t>Patrick O'Neill (P21)</w:t>
            </w:r>
          </w:p>
        </w:tc>
        <w:tc>
          <w:tcPr>
            <w:tcW w:type="dxa" w:w="3009"/>
            <w:vAlign w:val="center"/>
          </w:tcPr>
          <w:p>
            <w:r>
              <w:rPr>
                <w:sz w:val="18"/>
              </w:rPr>
              <w:t>patrick.oneill@rockridge-pl.example</w:t>
            </w:r>
          </w:p>
        </w:tc>
      </w:tr>
      <w:tr>
        <w:tc>
          <w:tcPr>
            <w:tcW w:type="dxa" w:w="3009"/>
            <w:vAlign w:val="center"/>
          </w:tcPr>
          <w:p>
            <w:r>
              <w:rPr>
                <w:sz w:val="18"/>
              </w:rPr>
              <w:t>Manager, Regulatory Affairs</w:t>
            </w:r>
          </w:p>
        </w:tc>
        <w:tc>
          <w:tcPr>
            <w:tcW w:type="dxa" w:w="3009"/>
            <w:vAlign w:val="center"/>
          </w:tcPr>
          <w:p>
            <w:r>
              <w:rPr>
                <w:sz w:val="18"/>
              </w:rPr>
              <w:t>Elena Vasquez (P08)</w:t>
            </w:r>
          </w:p>
        </w:tc>
        <w:tc>
          <w:tcPr>
            <w:tcW w:type="dxa" w:w="3009"/>
            <w:vAlign w:val="center"/>
          </w:tcPr>
          <w:p>
            <w:r>
              <w:rPr>
                <w:sz w:val="18"/>
              </w:rPr>
              <w:t>elena.vasquez@rockridge-pl.example</w:t>
            </w:r>
          </w:p>
        </w:tc>
      </w:tr>
      <w:tr>
        <w:tc>
          <w:tcPr>
            <w:tcW w:type="dxa" w:w="3009"/>
            <w:vAlign w:val="center"/>
          </w:tcPr>
          <w:p>
            <w:r>
              <w:rPr>
                <w:sz w:val="18"/>
              </w:rPr>
              <w:t>Regulatory Affairs Analyst</w:t>
            </w:r>
          </w:p>
        </w:tc>
        <w:tc>
          <w:tcPr>
            <w:tcW w:type="dxa" w:w="3009"/>
            <w:vAlign w:val="center"/>
          </w:tcPr>
          <w:p>
            <w:r>
              <w:rPr>
                <w:sz w:val="18"/>
              </w:rPr>
              <w:t>Marcus Lee (P09)</w:t>
            </w:r>
          </w:p>
        </w:tc>
        <w:tc>
          <w:tcPr>
            <w:tcW w:type="dxa" w:w="3009"/>
            <w:vAlign w:val="center"/>
          </w:tcPr>
          <w:p>
            <w:r>
              <w:rPr>
                <w:sz w:val="18"/>
              </w:rPr>
              <w:t>marcus.lee@rockridge-pl.example</w:t>
            </w:r>
          </w:p>
        </w:tc>
      </w:tr>
      <w:tr>
        <w:tc>
          <w:tcPr>
            <w:tcW w:type="dxa" w:w="3009"/>
            <w:vAlign w:val="center"/>
          </w:tcPr>
          <w:p>
            <w:r>
              <w:rPr>
                <w:sz w:val="18"/>
              </w:rPr>
              <w:t>Corporate Communications</w:t>
            </w:r>
          </w:p>
        </w:tc>
        <w:tc>
          <w:tcPr>
            <w:tcW w:type="dxa" w:w="3009"/>
            <w:vAlign w:val="center"/>
          </w:tcPr>
          <w:p>
            <w:r>
              <w:rPr>
                <w:sz w:val="18"/>
              </w:rPr>
              <w:t>(role)</w:t>
            </w:r>
          </w:p>
        </w:tc>
        <w:tc>
          <w:tcPr>
            <w:tcW w:type="dxa" w:w="3009"/>
            <w:vAlign w:val="center"/>
          </w:tcPr>
          <w:p>
            <w:r>
              <w:rPr>
                <w:sz w:val="18"/>
              </w:rPr>
              <w:t>OMS DCC-ESCALATION paging group</w:t>
            </w:r>
          </w:p>
        </w:tc>
      </w:tr>
    </w:tbl>
    <w:p>
      <w:pPr>
        <w:pStyle w:val="Heading3"/>
      </w:pPr>
      <w:r>
        <w:rPr>
          <w:sz w:val="28"/>
        </w:rPr>
        <w:t>RPL Customer Outage Line</w:t>
      </w:r>
    </w:p>
    <w:p>
      <w:r>
        <w:rPr>
          <w:sz w:val="20"/>
        </w:rPr>
        <w:t>Customers: 1-800-555-0177 (24/7)</w:t>
      </w:r>
    </w:p>
    <w:p>
      <w:pPr>
        <w:spacing w:before="120" w:after="120"/>
        <w:pBdr>
          <w:bottom w:val="single" w:sz="6" w:space="1" w:color="AAAAAA"/>
        </w:pBdr>
      </w:pPr>
    </w:p>
    <w:p>
      <w:r>
        <w:br w:type="page"/>
      </w:r>
    </w:p>
    <w:p>
      <w:pPr>
        <w:pStyle w:val="Heading2"/>
      </w:pPr>
      <w:r>
        <w:rPr>
          <w:color w:val="1F3864"/>
          <w:sz w:val="32"/>
        </w:rPr>
        <w:t>Appendix D — OMS Cause-Code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vAlign w:val="center"/>
            <w:shd w:val="clear" w:color="auto" w:fill="D9E1F2"/>
          </w:tcPr>
          <w:p>
            <w:r>
              <w:rPr>
                <w:b/>
                <w:sz w:val="18"/>
              </w:rPr>
              <w:t>Cause Category</w:t>
            </w:r>
          </w:p>
        </w:tc>
        <w:tc>
          <w:tcPr>
            <w:tcW w:type="dxa" w:w="2256"/>
            <w:vAlign w:val="center"/>
            <w:shd w:val="clear" w:color="auto" w:fill="D9E1F2"/>
          </w:tcPr>
          <w:p>
            <w:r>
              <w:rPr>
                <w:b/>
                <w:sz w:val="18"/>
              </w:rPr>
              <w:t>Cause Code</w:t>
            </w:r>
          </w:p>
        </w:tc>
        <w:tc>
          <w:tcPr>
            <w:tcW w:type="dxa" w:w="2256"/>
            <w:vAlign w:val="center"/>
            <w:shd w:val="clear" w:color="auto" w:fill="D9E1F2"/>
          </w:tcPr>
          <w:p>
            <w:r>
              <w:rPr>
                <w:b/>
                <w:sz w:val="18"/>
              </w:rPr>
              <w:t>Description</w:t>
            </w:r>
          </w:p>
        </w:tc>
        <w:tc>
          <w:tcPr>
            <w:tcW w:type="dxa" w:w="2256"/>
            <w:vAlign w:val="center"/>
            <w:shd w:val="clear" w:color="auto" w:fill="D9E1F2"/>
          </w:tcPr>
          <w:p>
            <w:r>
              <w:rPr>
                <w:b/>
                <w:sz w:val="18"/>
              </w:rPr>
              <w:t>Tree Location Required?</w:t>
            </w:r>
          </w:p>
        </w:tc>
      </w:tr>
      <w:tr>
        <w:tc>
          <w:tcPr>
            <w:tcW w:type="dxa" w:w="2256"/>
            <w:vAlign w:val="center"/>
          </w:tcPr>
          <w:p>
            <w:r>
              <w:rPr>
                <w:sz w:val="18"/>
              </w:rPr>
              <w:t>vegetation</w:t>
            </w:r>
          </w:p>
        </w:tc>
        <w:tc>
          <w:tcPr>
            <w:tcW w:type="dxa" w:w="2256"/>
            <w:vAlign w:val="center"/>
          </w:tcPr>
          <w:p>
            <w:r>
              <w:rPr>
                <w:sz w:val="18"/>
              </w:rPr>
              <w:t>tree_inside_row_growth</w:t>
            </w:r>
          </w:p>
        </w:tc>
        <w:tc>
          <w:tcPr>
            <w:tcW w:type="dxa" w:w="2256"/>
            <w:vAlign w:val="center"/>
          </w:tcPr>
          <w:p>
            <w:r>
              <w:rPr>
                <w:sz w:val="18"/>
              </w:rPr>
              <w:t>Tree growth inside ROW contacts conductor</w:t>
            </w:r>
          </w:p>
        </w:tc>
        <w:tc>
          <w:tcPr>
            <w:tcW w:type="dxa" w:w="2256"/>
            <w:vAlign w:val="center"/>
          </w:tcPr>
          <w:p>
            <w:r>
              <w:rPr>
                <w:sz w:val="18"/>
              </w:rPr>
              <w:t>inside_row</w:t>
            </w:r>
          </w:p>
        </w:tc>
      </w:tr>
      <w:tr>
        <w:tc>
          <w:tcPr>
            <w:tcW w:type="dxa" w:w="2256"/>
            <w:vAlign w:val="center"/>
          </w:tcPr>
          <w:p>
            <w:r>
              <w:rPr>
                <w:sz w:val="18"/>
              </w:rPr>
              <w:t>vegetation</w:t>
            </w:r>
          </w:p>
        </w:tc>
        <w:tc>
          <w:tcPr>
            <w:tcW w:type="dxa" w:w="2256"/>
            <w:vAlign w:val="center"/>
          </w:tcPr>
          <w:p>
            <w:r>
              <w:rPr>
                <w:sz w:val="18"/>
              </w:rPr>
              <w:t>tree_inside_row_failure</w:t>
            </w:r>
          </w:p>
        </w:tc>
        <w:tc>
          <w:tcPr>
            <w:tcW w:type="dxa" w:w="2256"/>
            <w:vAlign w:val="center"/>
          </w:tcPr>
          <w:p>
            <w:r>
              <w:rPr>
                <w:sz w:val="18"/>
              </w:rPr>
              <w:t>Tree failure inside ROW</w:t>
            </w:r>
          </w:p>
        </w:tc>
        <w:tc>
          <w:tcPr>
            <w:tcW w:type="dxa" w:w="2256"/>
            <w:vAlign w:val="center"/>
          </w:tcPr>
          <w:p>
            <w:r>
              <w:rPr>
                <w:sz w:val="18"/>
              </w:rPr>
              <w:t>inside_row</w:t>
            </w:r>
          </w:p>
        </w:tc>
      </w:tr>
      <w:tr>
        <w:tc>
          <w:tcPr>
            <w:tcW w:type="dxa" w:w="2256"/>
            <w:vAlign w:val="center"/>
          </w:tcPr>
          <w:p>
            <w:r>
              <w:rPr>
                <w:sz w:val="18"/>
              </w:rPr>
              <w:t>vegetation</w:t>
            </w:r>
          </w:p>
        </w:tc>
        <w:tc>
          <w:tcPr>
            <w:tcW w:type="dxa" w:w="2256"/>
            <w:vAlign w:val="center"/>
          </w:tcPr>
          <w:p>
            <w:r>
              <w:rPr>
                <w:sz w:val="18"/>
              </w:rPr>
              <w:t>tree_outside_row_fallin</w:t>
            </w:r>
          </w:p>
        </w:tc>
        <w:tc>
          <w:tcPr>
            <w:tcW w:type="dxa" w:w="2256"/>
            <w:vAlign w:val="center"/>
          </w:tcPr>
          <w:p>
            <w:r>
              <w:rPr>
                <w:sz w:val="18"/>
              </w:rPr>
              <w:t>Tree from outside ROW falls into line</w:t>
            </w:r>
          </w:p>
        </w:tc>
        <w:tc>
          <w:tcPr>
            <w:tcW w:type="dxa" w:w="2256"/>
            <w:vAlign w:val="center"/>
          </w:tcPr>
          <w:p>
            <w:r>
              <w:rPr>
                <w:sz w:val="18"/>
              </w:rPr>
              <w:t>outside_row</w:t>
            </w:r>
          </w:p>
        </w:tc>
      </w:tr>
      <w:tr>
        <w:tc>
          <w:tcPr>
            <w:tcW w:type="dxa" w:w="2256"/>
            <w:vAlign w:val="center"/>
          </w:tcPr>
          <w:p>
            <w:r>
              <w:rPr>
                <w:sz w:val="18"/>
              </w:rPr>
              <w:t>vegetation</w:t>
            </w:r>
          </w:p>
        </w:tc>
        <w:tc>
          <w:tcPr>
            <w:tcW w:type="dxa" w:w="2256"/>
            <w:vAlign w:val="center"/>
          </w:tcPr>
          <w:p>
            <w:r>
              <w:rPr>
                <w:sz w:val="18"/>
              </w:rPr>
              <w:t>tree_unknown_location</w:t>
            </w:r>
          </w:p>
        </w:tc>
        <w:tc>
          <w:tcPr>
            <w:tcW w:type="dxa" w:w="2256"/>
            <w:vAlign w:val="center"/>
          </w:tcPr>
          <w:p>
            <w:r>
              <w:rPr>
                <w:sz w:val="18"/>
              </w:rPr>
              <w:t>Vegetation cause, location not determined</w:t>
            </w:r>
          </w:p>
        </w:tc>
        <w:tc>
          <w:tcPr>
            <w:tcW w:type="dxa" w:w="2256"/>
            <w:vAlign w:val="center"/>
          </w:tcPr>
          <w:p>
            <w:r>
              <w:rPr>
                <w:sz w:val="18"/>
              </w:rPr>
              <w:t>unknown</w:t>
            </w:r>
          </w:p>
        </w:tc>
      </w:tr>
      <w:tr>
        <w:tc>
          <w:tcPr>
            <w:tcW w:type="dxa" w:w="2256"/>
            <w:vAlign w:val="center"/>
          </w:tcPr>
          <w:p>
            <w:r>
              <w:rPr>
                <w:sz w:val="18"/>
              </w:rPr>
              <w:t>weather</w:t>
            </w:r>
          </w:p>
        </w:tc>
        <w:tc>
          <w:tcPr>
            <w:tcW w:type="dxa" w:w="2256"/>
            <w:vAlign w:val="center"/>
          </w:tcPr>
          <w:p>
            <w:r>
              <w:rPr>
                <w:sz w:val="18"/>
              </w:rPr>
              <w:t>wind</w:t>
            </w:r>
          </w:p>
        </w:tc>
        <w:tc>
          <w:tcPr>
            <w:tcW w:type="dxa" w:w="2256"/>
            <w:vAlign w:val="center"/>
          </w:tcPr>
          <w:p>
            <w:r>
              <w:rPr>
                <w:sz w:val="18"/>
              </w:rPr>
              <w:t>Wind without tree contact</w:t>
            </w:r>
          </w:p>
        </w:tc>
        <w:tc>
          <w:tcPr>
            <w:tcW w:type="dxa" w:w="2256"/>
            <w:vAlign w:val="center"/>
          </w:tcPr>
          <w:p>
            <w:r>
              <w:rPr>
                <w:sz w:val="18"/>
              </w:rPr>
              <w:t>n/a</w:t>
            </w:r>
          </w:p>
        </w:tc>
      </w:tr>
      <w:tr>
        <w:tc>
          <w:tcPr>
            <w:tcW w:type="dxa" w:w="2256"/>
            <w:vAlign w:val="center"/>
          </w:tcPr>
          <w:p>
            <w:r>
              <w:rPr>
                <w:sz w:val="18"/>
              </w:rPr>
              <w:t>weather</w:t>
            </w:r>
          </w:p>
        </w:tc>
        <w:tc>
          <w:tcPr>
            <w:tcW w:type="dxa" w:w="2256"/>
            <w:vAlign w:val="center"/>
          </w:tcPr>
          <w:p>
            <w:r>
              <w:rPr>
                <w:sz w:val="18"/>
              </w:rPr>
              <w:t>lightning</w:t>
            </w:r>
          </w:p>
        </w:tc>
        <w:tc>
          <w:tcPr>
            <w:tcW w:type="dxa" w:w="2256"/>
            <w:vAlign w:val="center"/>
          </w:tcPr>
          <w:p>
            <w:r>
              <w:rPr>
                <w:sz w:val="18"/>
              </w:rPr>
              <w:t>Direct lightning strike</w:t>
            </w:r>
          </w:p>
        </w:tc>
        <w:tc>
          <w:tcPr>
            <w:tcW w:type="dxa" w:w="2256"/>
            <w:vAlign w:val="center"/>
          </w:tcPr>
          <w:p>
            <w:r>
              <w:rPr>
                <w:sz w:val="18"/>
              </w:rPr>
              <w:t>n/a</w:t>
            </w:r>
          </w:p>
        </w:tc>
      </w:tr>
      <w:tr>
        <w:tc>
          <w:tcPr>
            <w:tcW w:type="dxa" w:w="2256"/>
            <w:vAlign w:val="center"/>
          </w:tcPr>
          <w:p>
            <w:r>
              <w:rPr>
                <w:sz w:val="18"/>
              </w:rPr>
              <w:t>weather</w:t>
            </w:r>
          </w:p>
        </w:tc>
        <w:tc>
          <w:tcPr>
            <w:tcW w:type="dxa" w:w="2256"/>
            <w:vAlign w:val="center"/>
          </w:tcPr>
          <w:p>
            <w:r>
              <w:rPr>
                <w:sz w:val="18"/>
              </w:rPr>
              <w:t>ice_snow</w:t>
            </w:r>
          </w:p>
        </w:tc>
        <w:tc>
          <w:tcPr>
            <w:tcW w:type="dxa" w:w="2256"/>
            <w:vAlign w:val="center"/>
          </w:tcPr>
          <w:p>
            <w:r>
              <w:rPr>
                <w:sz w:val="18"/>
              </w:rPr>
              <w:t>Ice loading or snow</w:t>
            </w:r>
          </w:p>
        </w:tc>
        <w:tc>
          <w:tcPr>
            <w:tcW w:type="dxa" w:w="2256"/>
            <w:vAlign w:val="center"/>
          </w:tcPr>
          <w:p>
            <w:r>
              <w:rPr>
                <w:sz w:val="18"/>
              </w:rPr>
              <w:t>n/a</w:t>
            </w:r>
          </w:p>
        </w:tc>
      </w:tr>
      <w:tr>
        <w:tc>
          <w:tcPr>
            <w:tcW w:type="dxa" w:w="2256"/>
            <w:vAlign w:val="center"/>
          </w:tcPr>
          <w:p>
            <w:r>
              <w:rPr>
                <w:sz w:val="18"/>
              </w:rPr>
              <w:t>weather</w:t>
            </w:r>
          </w:p>
        </w:tc>
        <w:tc>
          <w:tcPr>
            <w:tcW w:type="dxa" w:w="2256"/>
            <w:vAlign w:val="center"/>
          </w:tcPr>
          <w:p>
            <w:r>
              <w:rPr>
                <w:sz w:val="18"/>
              </w:rPr>
              <w:t>flood</w:t>
            </w:r>
          </w:p>
        </w:tc>
        <w:tc>
          <w:tcPr>
            <w:tcW w:type="dxa" w:w="2256"/>
            <w:vAlign w:val="center"/>
          </w:tcPr>
          <w:p>
            <w:r>
              <w:rPr>
                <w:sz w:val="18"/>
              </w:rPr>
              <w:t>Flood damage</w:t>
            </w:r>
          </w:p>
        </w:tc>
        <w:tc>
          <w:tcPr>
            <w:tcW w:type="dxa" w:w="2256"/>
            <w:vAlign w:val="center"/>
          </w:tcPr>
          <w:p>
            <w:r>
              <w:rPr>
                <w:sz w:val="18"/>
              </w:rPr>
              <w:t>n/a</w:t>
            </w:r>
          </w:p>
        </w:tc>
      </w:tr>
      <w:tr>
        <w:tc>
          <w:tcPr>
            <w:tcW w:type="dxa" w:w="2256"/>
            <w:vAlign w:val="center"/>
          </w:tcPr>
          <w:p>
            <w:r>
              <w:rPr>
                <w:sz w:val="18"/>
              </w:rPr>
              <w:t>weather</w:t>
            </w:r>
          </w:p>
        </w:tc>
        <w:tc>
          <w:tcPr>
            <w:tcW w:type="dxa" w:w="2256"/>
            <w:vAlign w:val="center"/>
          </w:tcPr>
          <w:p>
            <w:r>
              <w:rPr>
                <w:sz w:val="18"/>
              </w:rPr>
              <w:t>heat</w:t>
            </w:r>
          </w:p>
        </w:tc>
        <w:tc>
          <w:tcPr>
            <w:tcW w:type="dxa" w:w="2256"/>
            <w:vAlign w:val="center"/>
          </w:tcPr>
          <w:p>
            <w:r>
              <w:rPr>
                <w:sz w:val="18"/>
              </w:rPr>
              <w:t>Heat-related conductor sag or failure</w:t>
            </w:r>
          </w:p>
        </w:tc>
        <w:tc>
          <w:tcPr>
            <w:tcW w:type="dxa" w:w="2256"/>
            <w:vAlign w:val="center"/>
          </w:tcPr>
          <w:p>
            <w:r>
              <w:rPr>
                <w:sz w:val="18"/>
              </w:rPr>
              <w:t>n/a</w:t>
            </w:r>
          </w:p>
        </w:tc>
      </w:tr>
      <w:tr>
        <w:tc>
          <w:tcPr>
            <w:tcW w:type="dxa" w:w="2256"/>
            <w:vAlign w:val="center"/>
          </w:tcPr>
          <w:p>
            <w:r>
              <w:rPr>
                <w:sz w:val="18"/>
              </w:rPr>
              <w:t>equipment</w:t>
            </w:r>
          </w:p>
        </w:tc>
        <w:tc>
          <w:tcPr>
            <w:tcW w:type="dxa" w:w="2256"/>
            <w:vAlign w:val="center"/>
          </w:tcPr>
          <w:p>
            <w:r>
              <w:rPr>
                <w:sz w:val="18"/>
              </w:rPr>
              <w:t>oh_conductor</w:t>
            </w:r>
          </w:p>
        </w:tc>
        <w:tc>
          <w:tcPr>
            <w:tcW w:type="dxa" w:w="2256"/>
            <w:vAlign w:val="center"/>
          </w:tcPr>
          <w:p>
            <w:r>
              <w:rPr>
                <w:sz w:val="18"/>
              </w:rPr>
              <w:t>Overhead conductor failure</w:t>
            </w:r>
          </w:p>
        </w:tc>
        <w:tc>
          <w:tcPr>
            <w:tcW w:type="dxa" w:w="2256"/>
            <w:vAlign w:val="center"/>
          </w:tcPr>
          <w:p>
            <w:r>
              <w:rPr>
                <w:sz w:val="18"/>
              </w:rPr>
              <w:t>n/a</w:t>
            </w:r>
          </w:p>
        </w:tc>
      </w:tr>
      <w:tr>
        <w:tc>
          <w:tcPr>
            <w:tcW w:type="dxa" w:w="2256"/>
            <w:vAlign w:val="center"/>
          </w:tcPr>
          <w:p>
            <w:r>
              <w:rPr>
                <w:sz w:val="18"/>
              </w:rPr>
              <w:t>equipment</w:t>
            </w:r>
          </w:p>
        </w:tc>
        <w:tc>
          <w:tcPr>
            <w:tcW w:type="dxa" w:w="2256"/>
            <w:vAlign w:val="center"/>
          </w:tcPr>
          <w:p>
            <w:r>
              <w:rPr>
                <w:sz w:val="18"/>
              </w:rPr>
              <w:t>ug_cable</w:t>
            </w:r>
          </w:p>
        </w:tc>
        <w:tc>
          <w:tcPr>
            <w:tcW w:type="dxa" w:w="2256"/>
            <w:vAlign w:val="center"/>
          </w:tcPr>
          <w:p>
            <w:r>
              <w:rPr>
                <w:sz w:val="18"/>
              </w:rPr>
              <w:t>Underground cable failure</w:t>
            </w:r>
          </w:p>
        </w:tc>
        <w:tc>
          <w:tcPr>
            <w:tcW w:type="dxa" w:w="2256"/>
            <w:vAlign w:val="center"/>
          </w:tcPr>
          <w:p>
            <w:r>
              <w:rPr>
                <w:sz w:val="18"/>
              </w:rPr>
              <w:t>n/a</w:t>
            </w:r>
          </w:p>
        </w:tc>
      </w:tr>
      <w:tr>
        <w:tc>
          <w:tcPr>
            <w:tcW w:type="dxa" w:w="2256"/>
            <w:vAlign w:val="center"/>
          </w:tcPr>
          <w:p>
            <w:r>
              <w:rPr>
                <w:sz w:val="18"/>
              </w:rPr>
              <w:t>equipment</w:t>
            </w:r>
          </w:p>
        </w:tc>
        <w:tc>
          <w:tcPr>
            <w:tcW w:type="dxa" w:w="2256"/>
            <w:vAlign w:val="center"/>
          </w:tcPr>
          <w:p>
            <w:r>
              <w:rPr>
                <w:sz w:val="18"/>
              </w:rPr>
              <w:t>transformer</w:t>
            </w:r>
          </w:p>
        </w:tc>
        <w:tc>
          <w:tcPr>
            <w:tcW w:type="dxa" w:w="2256"/>
            <w:vAlign w:val="center"/>
          </w:tcPr>
          <w:p>
            <w:r>
              <w:rPr>
                <w:sz w:val="18"/>
              </w:rPr>
              <w:t>Distribution transformer failure</w:t>
            </w:r>
          </w:p>
        </w:tc>
        <w:tc>
          <w:tcPr>
            <w:tcW w:type="dxa" w:w="2256"/>
            <w:vAlign w:val="center"/>
          </w:tcPr>
          <w:p>
            <w:r>
              <w:rPr>
                <w:sz w:val="18"/>
              </w:rPr>
              <w:t>n/a</w:t>
            </w:r>
          </w:p>
        </w:tc>
      </w:tr>
      <w:tr>
        <w:tc>
          <w:tcPr>
            <w:tcW w:type="dxa" w:w="2256"/>
            <w:vAlign w:val="center"/>
          </w:tcPr>
          <w:p>
            <w:r>
              <w:rPr>
                <w:sz w:val="18"/>
              </w:rPr>
              <w:t>equipment</w:t>
            </w:r>
          </w:p>
        </w:tc>
        <w:tc>
          <w:tcPr>
            <w:tcW w:type="dxa" w:w="2256"/>
            <w:vAlign w:val="center"/>
          </w:tcPr>
          <w:p>
            <w:r>
              <w:rPr>
                <w:sz w:val="18"/>
              </w:rPr>
              <w:t>cutout_fuse</w:t>
            </w:r>
          </w:p>
        </w:tc>
        <w:tc>
          <w:tcPr>
            <w:tcW w:type="dxa" w:w="2256"/>
            <w:vAlign w:val="center"/>
          </w:tcPr>
          <w:p>
            <w:r>
              <w:rPr>
                <w:sz w:val="18"/>
              </w:rPr>
              <w:t>Cutout or fuse operation (not lightning)</w:t>
            </w:r>
          </w:p>
        </w:tc>
        <w:tc>
          <w:tcPr>
            <w:tcW w:type="dxa" w:w="2256"/>
            <w:vAlign w:val="center"/>
          </w:tcPr>
          <w:p>
            <w:r>
              <w:rPr>
                <w:sz w:val="18"/>
              </w:rPr>
              <w:t>n/a</w:t>
            </w:r>
          </w:p>
        </w:tc>
      </w:tr>
      <w:tr>
        <w:tc>
          <w:tcPr>
            <w:tcW w:type="dxa" w:w="2256"/>
            <w:vAlign w:val="center"/>
          </w:tcPr>
          <w:p>
            <w:r>
              <w:rPr>
                <w:sz w:val="18"/>
              </w:rPr>
              <w:t>equipment</w:t>
            </w:r>
          </w:p>
        </w:tc>
        <w:tc>
          <w:tcPr>
            <w:tcW w:type="dxa" w:w="2256"/>
            <w:vAlign w:val="center"/>
          </w:tcPr>
          <w:p>
            <w:r>
              <w:rPr>
                <w:sz w:val="18"/>
              </w:rPr>
              <w:t>arrester</w:t>
            </w:r>
          </w:p>
        </w:tc>
        <w:tc>
          <w:tcPr>
            <w:tcW w:type="dxa" w:w="2256"/>
            <w:vAlign w:val="center"/>
          </w:tcPr>
          <w:p>
            <w:r>
              <w:rPr>
                <w:sz w:val="18"/>
              </w:rPr>
              <w:t>Lightning arrester failure</w:t>
            </w:r>
          </w:p>
        </w:tc>
        <w:tc>
          <w:tcPr>
            <w:tcW w:type="dxa" w:w="2256"/>
            <w:vAlign w:val="center"/>
          </w:tcPr>
          <w:p>
            <w:r>
              <w:rPr>
                <w:sz w:val="18"/>
              </w:rPr>
              <w:t>n/a</w:t>
            </w:r>
          </w:p>
        </w:tc>
      </w:tr>
      <w:tr>
        <w:tc>
          <w:tcPr>
            <w:tcW w:type="dxa" w:w="2256"/>
            <w:vAlign w:val="center"/>
          </w:tcPr>
          <w:p>
            <w:r>
              <w:rPr>
                <w:sz w:val="18"/>
              </w:rPr>
              <w:t>equipment</w:t>
            </w:r>
          </w:p>
        </w:tc>
        <w:tc>
          <w:tcPr>
            <w:tcW w:type="dxa" w:w="2256"/>
            <w:vAlign w:val="center"/>
          </w:tcPr>
          <w:p>
            <w:r>
              <w:rPr>
                <w:sz w:val="18"/>
              </w:rPr>
              <w:t>insulator</w:t>
            </w:r>
          </w:p>
        </w:tc>
        <w:tc>
          <w:tcPr>
            <w:tcW w:type="dxa" w:w="2256"/>
            <w:vAlign w:val="center"/>
          </w:tcPr>
          <w:p>
            <w:r>
              <w:rPr>
                <w:sz w:val="18"/>
              </w:rPr>
              <w:t>Insulator failure</w:t>
            </w:r>
          </w:p>
        </w:tc>
        <w:tc>
          <w:tcPr>
            <w:tcW w:type="dxa" w:w="2256"/>
            <w:vAlign w:val="center"/>
          </w:tcPr>
          <w:p>
            <w:r>
              <w:rPr>
                <w:sz w:val="18"/>
              </w:rPr>
              <w:t>n/a</w:t>
            </w:r>
          </w:p>
        </w:tc>
      </w:tr>
      <w:tr>
        <w:tc>
          <w:tcPr>
            <w:tcW w:type="dxa" w:w="2256"/>
            <w:vAlign w:val="center"/>
          </w:tcPr>
          <w:p>
            <w:r>
              <w:rPr>
                <w:sz w:val="18"/>
              </w:rPr>
              <w:t>equipment</w:t>
            </w:r>
          </w:p>
        </w:tc>
        <w:tc>
          <w:tcPr>
            <w:tcW w:type="dxa" w:w="2256"/>
            <w:vAlign w:val="center"/>
          </w:tcPr>
          <w:p>
            <w:r>
              <w:rPr>
                <w:sz w:val="18"/>
              </w:rPr>
              <w:t>pole</w:t>
            </w:r>
          </w:p>
        </w:tc>
        <w:tc>
          <w:tcPr>
            <w:tcW w:type="dxa" w:w="2256"/>
            <w:vAlign w:val="center"/>
          </w:tcPr>
          <w:p>
            <w:r>
              <w:rPr>
                <w:sz w:val="18"/>
              </w:rPr>
              <w:t>Pole failure</w:t>
            </w:r>
          </w:p>
        </w:tc>
        <w:tc>
          <w:tcPr>
            <w:tcW w:type="dxa" w:w="2256"/>
            <w:vAlign w:val="center"/>
          </w:tcPr>
          <w:p>
            <w:r>
              <w:rPr>
                <w:sz w:val="18"/>
              </w:rPr>
              <w:t>n/a</w:t>
            </w:r>
          </w:p>
        </w:tc>
      </w:tr>
      <w:tr>
        <w:tc>
          <w:tcPr>
            <w:tcW w:type="dxa" w:w="2256"/>
            <w:vAlign w:val="center"/>
          </w:tcPr>
          <w:p>
            <w:r>
              <w:rPr>
                <w:sz w:val="18"/>
              </w:rPr>
              <w:t>equipment</w:t>
            </w:r>
          </w:p>
        </w:tc>
        <w:tc>
          <w:tcPr>
            <w:tcW w:type="dxa" w:w="2256"/>
            <w:vAlign w:val="center"/>
          </w:tcPr>
          <w:p>
            <w:r>
              <w:rPr>
                <w:sz w:val="18"/>
              </w:rPr>
              <w:t>connector</w:t>
            </w:r>
          </w:p>
        </w:tc>
        <w:tc>
          <w:tcPr>
            <w:tcW w:type="dxa" w:w="2256"/>
            <w:vAlign w:val="center"/>
          </w:tcPr>
          <w:p>
            <w:r>
              <w:rPr>
                <w:sz w:val="18"/>
              </w:rPr>
              <w:t>Connector or splice failure</w:t>
            </w:r>
          </w:p>
        </w:tc>
        <w:tc>
          <w:tcPr>
            <w:tcW w:type="dxa" w:w="2256"/>
            <w:vAlign w:val="center"/>
          </w:tcPr>
          <w:p>
            <w:r>
              <w:rPr>
                <w:sz w:val="18"/>
              </w:rPr>
              <w:t>n/a</w:t>
            </w:r>
          </w:p>
        </w:tc>
      </w:tr>
      <w:tr>
        <w:tc>
          <w:tcPr>
            <w:tcW w:type="dxa" w:w="2256"/>
            <w:vAlign w:val="center"/>
          </w:tcPr>
          <w:p>
            <w:r>
              <w:rPr>
                <w:sz w:val="18"/>
              </w:rPr>
              <w:t>equipment</w:t>
            </w:r>
          </w:p>
        </w:tc>
        <w:tc>
          <w:tcPr>
            <w:tcW w:type="dxa" w:w="2256"/>
            <w:vAlign w:val="center"/>
          </w:tcPr>
          <w:p>
            <w:r>
              <w:rPr>
                <w:sz w:val="18"/>
              </w:rPr>
              <w:t>recloser_breaker</w:t>
            </w:r>
          </w:p>
        </w:tc>
        <w:tc>
          <w:tcPr>
            <w:tcW w:type="dxa" w:w="2256"/>
            <w:vAlign w:val="center"/>
          </w:tcPr>
          <w:p>
            <w:r>
              <w:rPr>
                <w:sz w:val="18"/>
              </w:rPr>
              <w:t>Recloser or feeder breaker operation</w:t>
            </w:r>
          </w:p>
        </w:tc>
        <w:tc>
          <w:tcPr>
            <w:tcW w:type="dxa" w:w="2256"/>
            <w:vAlign w:val="center"/>
          </w:tcPr>
          <w:p>
            <w:r>
              <w:rPr>
                <w:sz w:val="18"/>
              </w:rPr>
              <w:t>n/a</w:t>
            </w:r>
          </w:p>
        </w:tc>
      </w:tr>
      <w:tr>
        <w:tc>
          <w:tcPr>
            <w:tcW w:type="dxa" w:w="2256"/>
            <w:vAlign w:val="center"/>
          </w:tcPr>
          <w:p>
            <w:r>
              <w:rPr>
                <w:sz w:val="18"/>
              </w:rPr>
              <w:t>equipment</w:t>
            </w:r>
          </w:p>
        </w:tc>
        <w:tc>
          <w:tcPr>
            <w:tcW w:type="dxa" w:w="2256"/>
            <w:vAlign w:val="center"/>
          </w:tcPr>
          <w:p>
            <w:r>
              <w:rPr>
                <w:sz w:val="18"/>
              </w:rPr>
              <w:t>substation_equipment</w:t>
            </w:r>
          </w:p>
        </w:tc>
        <w:tc>
          <w:tcPr>
            <w:tcW w:type="dxa" w:w="2256"/>
            <w:vAlign w:val="center"/>
          </w:tcPr>
          <w:p>
            <w:r>
              <w:rPr>
                <w:sz w:val="18"/>
              </w:rPr>
              <w:t>Substation equipment (transformer, bus, relay)</w:t>
            </w:r>
          </w:p>
        </w:tc>
        <w:tc>
          <w:tcPr>
            <w:tcW w:type="dxa" w:w="2256"/>
            <w:vAlign w:val="center"/>
          </w:tcPr>
          <w:p>
            <w:r>
              <w:rPr>
                <w:sz w:val="18"/>
              </w:rPr>
              <w:t>n/a</w:t>
            </w:r>
          </w:p>
        </w:tc>
      </w:tr>
      <w:tr>
        <w:tc>
          <w:tcPr>
            <w:tcW w:type="dxa" w:w="2256"/>
            <w:vAlign w:val="center"/>
          </w:tcPr>
          <w:p>
            <w:r>
              <w:rPr>
                <w:sz w:val="18"/>
              </w:rPr>
              <w:t>animal</w:t>
            </w:r>
          </w:p>
        </w:tc>
        <w:tc>
          <w:tcPr>
            <w:tcW w:type="dxa" w:w="2256"/>
            <w:vAlign w:val="center"/>
          </w:tcPr>
          <w:p>
            <w:r>
              <w:rPr>
                <w:sz w:val="18"/>
              </w:rPr>
              <w:t>squirrel</w:t>
            </w:r>
          </w:p>
        </w:tc>
        <w:tc>
          <w:tcPr>
            <w:tcW w:type="dxa" w:w="2256"/>
            <w:vAlign w:val="center"/>
          </w:tcPr>
          <w:p>
            <w:r>
              <w:rPr>
                <w:sz w:val="18"/>
              </w:rPr>
              <w:t>Squirrel contact</w:t>
            </w:r>
          </w:p>
        </w:tc>
        <w:tc>
          <w:tcPr>
            <w:tcW w:type="dxa" w:w="2256"/>
            <w:vAlign w:val="center"/>
          </w:tcPr>
          <w:p>
            <w:r>
              <w:rPr>
                <w:sz w:val="18"/>
              </w:rPr>
              <w:t>n/a</w:t>
            </w:r>
          </w:p>
        </w:tc>
      </w:tr>
      <w:tr>
        <w:tc>
          <w:tcPr>
            <w:tcW w:type="dxa" w:w="2256"/>
            <w:vAlign w:val="center"/>
          </w:tcPr>
          <w:p>
            <w:r>
              <w:rPr>
                <w:sz w:val="18"/>
              </w:rPr>
              <w:t>animal</w:t>
            </w:r>
          </w:p>
        </w:tc>
        <w:tc>
          <w:tcPr>
            <w:tcW w:type="dxa" w:w="2256"/>
            <w:vAlign w:val="center"/>
          </w:tcPr>
          <w:p>
            <w:r>
              <w:rPr>
                <w:sz w:val="18"/>
              </w:rPr>
              <w:t>bird</w:t>
            </w:r>
          </w:p>
        </w:tc>
        <w:tc>
          <w:tcPr>
            <w:tcW w:type="dxa" w:w="2256"/>
            <w:vAlign w:val="center"/>
          </w:tcPr>
          <w:p>
            <w:r>
              <w:rPr>
                <w:sz w:val="18"/>
              </w:rPr>
              <w:t>Bird contact</w:t>
            </w:r>
          </w:p>
        </w:tc>
        <w:tc>
          <w:tcPr>
            <w:tcW w:type="dxa" w:w="2256"/>
            <w:vAlign w:val="center"/>
          </w:tcPr>
          <w:p>
            <w:r>
              <w:rPr>
                <w:sz w:val="18"/>
              </w:rPr>
              <w:t>n/a</w:t>
            </w:r>
          </w:p>
        </w:tc>
      </w:tr>
      <w:tr>
        <w:tc>
          <w:tcPr>
            <w:tcW w:type="dxa" w:w="2256"/>
            <w:vAlign w:val="center"/>
          </w:tcPr>
          <w:p>
            <w:r>
              <w:rPr>
                <w:sz w:val="18"/>
              </w:rPr>
              <w:t>animal</w:t>
            </w:r>
          </w:p>
        </w:tc>
        <w:tc>
          <w:tcPr>
            <w:tcW w:type="dxa" w:w="2256"/>
            <w:vAlign w:val="center"/>
          </w:tcPr>
          <w:p>
            <w:r>
              <w:rPr>
                <w:sz w:val="18"/>
              </w:rPr>
              <w:t>snake_raccoon_other</w:t>
            </w:r>
          </w:p>
        </w:tc>
        <w:tc>
          <w:tcPr>
            <w:tcW w:type="dxa" w:w="2256"/>
            <w:vAlign w:val="center"/>
          </w:tcPr>
          <w:p>
            <w:r>
              <w:rPr>
                <w:sz w:val="18"/>
              </w:rPr>
              <w:t>Other animal contact</w:t>
            </w:r>
          </w:p>
        </w:tc>
        <w:tc>
          <w:tcPr>
            <w:tcW w:type="dxa" w:w="2256"/>
            <w:vAlign w:val="center"/>
          </w:tcPr>
          <w:p>
            <w:r>
              <w:rPr>
                <w:sz w:val="18"/>
              </w:rPr>
              <w:t>n/a</w:t>
            </w:r>
          </w:p>
        </w:tc>
      </w:tr>
      <w:tr>
        <w:tc>
          <w:tcPr>
            <w:tcW w:type="dxa" w:w="2256"/>
            <w:vAlign w:val="center"/>
          </w:tcPr>
          <w:p>
            <w:r>
              <w:rPr>
                <w:sz w:val="18"/>
              </w:rPr>
              <w:t>public</w:t>
            </w:r>
          </w:p>
        </w:tc>
        <w:tc>
          <w:tcPr>
            <w:tcW w:type="dxa" w:w="2256"/>
            <w:vAlign w:val="center"/>
          </w:tcPr>
          <w:p>
            <w:r>
              <w:rPr>
                <w:sz w:val="18"/>
              </w:rPr>
              <w:t>vehicle</w:t>
            </w:r>
          </w:p>
        </w:tc>
        <w:tc>
          <w:tcPr>
            <w:tcW w:type="dxa" w:w="2256"/>
            <w:vAlign w:val="center"/>
          </w:tcPr>
          <w:p>
            <w:r>
              <w:rPr>
                <w:sz w:val="18"/>
              </w:rPr>
              <w:t>Vehicle-into-pole</w:t>
            </w:r>
          </w:p>
        </w:tc>
        <w:tc>
          <w:tcPr>
            <w:tcW w:type="dxa" w:w="2256"/>
            <w:vAlign w:val="center"/>
          </w:tcPr>
          <w:p>
            <w:r>
              <w:rPr>
                <w:sz w:val="18"/>
              </w:rPr>
              <w:t>n/a</w:t>
            </w:r>
          </w:p>
        </w:tc>
      </w:tr>
      <w:tr>
        <w:tc>
          <w:tcPr>
            <w:tcW w:type="dxa" w:w="2256"/>
            <w:vAlign w:val="center"/>
          </w:tcPr>
          <w:p>
            <w:r>
              <w:rPr>
                <w:sz w:val="18"/>
              </w:rPr>
              <w:t>public</w:t>
            </w:r>
          </w:p>
        </w:tc>
        <w:tc>
          <w:tcPr>
            <w:tcW w:type="dxa" w:w="2256"/>
            <w:vAlign w:val="center"/>
          </w:tcPr>
          <w:p>
            <w:r>
              <w:rPr>
                <w:sz w:val="18"/>
              </w:rPr>
              <w:t>dig_in</w:t>
            </w:r>
          </w:p>
        </w:tc>
        <w:tc>
          <w:tcPr>
            <w:tcW w:type="dxa" w:w="2256"/>
            <w:vAlign w:val="center"/>
          </w:tcPr>
          <w:p>
            <w:r>
              <w:rPr>
                <w:sz w:val="18"/>
              </w:rPr>
              <w:t>Underground cable damaged by dig-in</w:t>
            </w:r>
          </w:p>
        </w:tc>
        <w:tc>
          <w:tcPr>
            <w:tcW w:type="dxa" w:w="2256"/>
            <w:vAlign w:val="center"/>
          </w:tcPr>
          <w:p>
            <w:r>
              <w:rPr>
                <w:sz w:val="18"/>
              </w:rPr>
              <w:t>n/a</w:t>
            </w:r>
          </w:p>
        </w:tc>
      </w:tr>
      <w:tr>
        <w:tc>
          <w:tcPr>
            <w:tcW w:type="dxa" w:w="2256"/>
            <w:vAlign w:val="center"/>
          </w:tcPr>
          <w:p>
            <w:r>
              <w:rPr>
                <w:sz w:val="18"/>
              </w:rPr>
              <w:t>public</w:t>
            </w:r>
          </w:p>
        </w:tc>
        <w:tc>
          <w:tcPr>
            <w:tcW w:type="dxa" w:w="2256"/>
            <w:vAlign w:val="center"/>
          </w:tcPr>
          <w:p>
            <w:r>
              <w:rPr>
                <w:sz w:val="18"/>
              </w:rPr>
              <w:t>vandalism_theft</w:t>
            </w:r>
          </w:p>
        </w:tc>
        <w:tc>
          <w:tcPr>
            <w:tcW w:type="dxa" w:w="2256"/>
            <w:vAlign w:val="center"/>
          </w:tcPr>
          <w:p>
            <w:r>
              <w:rPr>
                <w:sz w:val="18"/>
              </w:rPr>
              <w:t>Vandalism or copper theft</w:t>
            </w:r>
          </w:p>
        </w:tc>
        <w:tc>
          <w:tcPr>
            <w:tcW w:type="dxa" w:w="2256"/>
            <w:vAlign w:val="center"/>
          </w:tcPr>
          <w:p>
            <w:r>
              <w:rPr>
                <w:sz w:val="18"/>
              </w:rPr>
              <w:t>n/a</w:t>
            </w:r>
          </w:p>
        </w:tc>
      </w:tr>
      <w:tr>
        <w:tc>
          <w:tcPr>
            <w:tcW w:type="dxa" w:w="2256"/>
            <w:vAlign w:val="center"/>
          </w:tcPr>
          <w:p>
            <w:r>
              <w:rPr>
                <w:sz w:val="18"/>
              </w:rPr>
              <w:t>public</w:t>
            </w:r>
          </w:p>
        </w:tc>
        <w:tc>
          <w:tcPr>
            <w:tcW w:type="dxa" w:w="2256"/>
            <w:vAlign w:val="center"/>
          </w:tcPr>
          <w:p>
            <w:r>
              <w:rPr>
                <w:sz w:val="18"/>
              </w:rPr>
              <w:t>fire</w:t>
            </w:r>
          </w:p>
        </w:tc>
        <w:tc>
          <w:tcPr>
            <w:tcW w:type="dxa" w:w="2256"/>
            <w:vAlign w:val="center"/>
          </w:tcPr>
          <w:p>
            <w:r>
              <w:rPr>
                <w:sz w:val="18"/>
              </w:rPr>
              <w:t>Structure or wildfire</w:t>
            </w:r>
          </w:p>
        </w:tc>
        <w:tc>
          <w:tcPr>
            <w:tcW w:type="dxa" w:w="2256"/>
            <w:vAlign w:val="center"/>
          </w:tcPr>
          <w:p>
            <w:r>
              <w:rPr>
                <w:sz w:val="18"/>
              </w:rPr>
              <w:t>n/a</w:t>
            </w:r>
          </w:p>
        </w:tc>
      </w:tr>
      <w:tr>
        <w:tc>
          <w:tcPr>
            <w:tcW w:type="dxa" w:w="2256"/>
            <w:vAlign w:val="center"/>
          </w:tcPr>
          <w:p>
            <w:r>
              <w:rPr>
                <w:sz w:val="18"/>
              </w:rPr>
              <w:t>public</w:t>
            </w:r>
          </w:p>
        </w:tc>
        <w:tc>
          <w:tcPr>
            <w:tcW w:type="dxa" w:w="2256"/>
            <w:vAlign w:val="center"/>
          </w:tcPr>
          <w:p>
            <w:r>
              <w:rPr>
                <w:sz w:val="18"/>
              </w:rPr>
              <w:t>customer_equipment</w:t>
            </w:r>
          </w:p>
        </w:tc>
        <w:tc>
          <w:tcPr>
            <w:tcW w:type="dxa" w:w="2256"/>
            <w:vAlign w:val="center"/>
          </w:tcPr>
          <w:p>
            <w:r>
              <w:rPr>
                <w:sz w:val="18"/>
              </w:rPr>
              <w:t>Customer equipment failure affecting RPL</w:t>
            </w:r>
          </w:p>
        </w:tc>
        <w:tc>
          <w:tcPr>
            <w:tcW w:type="dxa" w:w="2256"/>
            <w:vAlign w:val="center"/>
          </w:tcPr>
          <w:p>
            <w:r>
              <w:rPr>
                <w:sz w:val="18"/>
              </w:rPr>
              <w:t>n/a</w:t>
            </w:r>
          </w:p>
        </w:tc>
      </w:tr>
      <w:tr>
        <w:tc>
          <w:tcPr>
            <w:tcW w:type="dxa" w:w="2256"/>
            <w:vAlign w:val="center"/>
          </w:tcPr>
          <w:p>
            <w:r>
              <w:rPr>
                <w:sz w:val="18"/>
              </w:rPr>
              <w:t>public</w:t>
            </w:r>
          </w:p>
        </w:tc>
        <w:tc>
          <w:tcPr>
            <w:tcW w:type="dxa" w:w="2256"/>
            <w:vAlign w:val="center"/>
          </w:tcPr>
          <w:p>
            <w:r>
              <w:rPr>
                <w:sz w:val="18"/>
              </w:rPr>
              <w:t>third_party_contact</w:t>
            </w:r>
          </w:p>
        </w:tc>
        <w:tc>
          <w:tcPr>
            <w:tcW w:type="dxa" w:w="2256"/>
            <w:vAlign w:val="center"/>
          </w:tcPr>
          <w:p>
            <w:r>
              <w:rPr>
                <w:sz w:val="18"/>
              </w:rPr>
              <w:t>Third-party contact with RPL facilities</w:t>
            </w:r>
          </w:p>
        </w:tc>
        <w:tc>
          <w:tcPr>
            <w:tcW w:type="dxa" w:w="2256"/>
            <w:vAlign w:val="center"/>
          </w:tcPr>
          <w:p>
            <w:r>
              <w:rPr>
                <w:sz w:val="18"/>
              </w:rPr>
              <w:t>n/a</w:t>
            </w:r>
          </w:p>
        </w:tc>
      </w:tr>
      <w:tr>
        <w:tc>
          <w:tcPr>
            <w:tcW w:type="dxa" w:w="2256"/>
            <w:vAlign w:val="center"/>
          </w:tcPr>
          <w:p>
            <w:r>
              <w:rPr>
                <w:sz w:val="18"/>
              </w:rPr>
              <w:t>power_supply</w:t>
            </w:r>
          </w:p>
        </w:tc>
        <w:tc>
          <w:tcPr>
            <w:tcW w:type="dxa" w:w="2256"/>
            <w:vAlign w:val="center"/>
          </w:tcPr>
          <w:p>
            <w:r>
              <w:rPr>
                <w:sz w:val="18"/>
              </w:rPr>
              <w:t>69kv_line</w:t>
            </w:r>
          </w:p>
        </w:tc>
        <w:tc>
          <w:tcPr>
            <w:tcW w:type="dxa" w:w="2256"/>
            <w:vAlign w:val="center"/>
          </w:tcPr>
          <w:p>
            <w:r>
              <w:rPr>
                <w:sz w:val="18"/>
              </w:rPr>
              <w:t>69 kV subtransmission line fault</w:t>
            </w:r>
          </w:p>
        </w:tc>
        <w:tc>
          <w:tcPr>
            <w:tcW w:type="dxa" w:w="2256"/>
            <w:vAlign w:val="center"/>
          </w:tcPr>
          <w:p>
            <w:r>
              <w:rPr>
                <w:sz w:val="18"/>
              </w:rPr>
              <w:t>n/a</w:t>
            </w:r>
          </w:p>
        </w:tc>
      </w:tr>
      <w:tr>
        <w:tc>
          <w:tcPr>
            <w:tcW w:type="dxa" w:w="2256"/>
            <w:vAlign w:val="center"/>
          </w:tcPr>
          <w:p>
            <w:r>
              <w:rPr>
                <w:sz w:val="18"/>
              </w:rPr>
              <w:t>power_supply</w:t>
            </w:r>
          </w:p>
        </w:tc>
        <w:tc>
          <w:tcPr>
            <w:tcW w:type="dxa" w:w="2256"/>
            <w:vAlign w:val="center"/>
          </w:tcPr>
          <w:p>
            <w:r>
              <w:rPr>
                <w:sz w:val="18"/>
              </w:rPr>
              <w:t>transmission_supply_miso</w:t>
            </w:r>
          </w:p>
        </w:tc>
        <w:tc>
          <w:tcPr>
            <w:tcW w:type="dxa" w:w="2256"/>
            <w:vAlign w:val="center"/>
          </w:tcPr>
          <w:p>
            <w:r>
              <w:rPr>
                <w:sz w:val="18"/>
              </w:rPr>
              <w:t>MISO transmission supply interruption</w:t>
            </w:r>
          </w:p>
        </w:tc>
        <w:tc>
          <w:tcPr>
            <w:tcW w:type="dxa" w:w="2256"/>
            <w:vAlign w:val="center"/>
          </w:tcPr>
          <w:p>
            <w:r>
              <w:rPr>
                <w:sz w:val="18"/>
              </w:rPr>
              <w:t>n/a</w:t>
            </w:r>
          </w:p>
        </w:tc>
      </w:tr>
      <w:tr>
        <w:tc>
          <w:tcPr>
            <w:tcW w:type="dxa" w:w="2256"/>
            <w:vAlign w:val="center"/>
          </w:tcPr>
          <w:p>
            <w:r>
              <w:rPr>
                <w:sz w:val="18"/>
              </w:rPr>
              <w:t>power_supply</w:t>
            </w:r>
          </w:p>
        </w:tc>
        <w:tc>
          <w:tcPr>
            <w:tcW w:type="dxa" w:w="2256"/>
            <w:vAlign w:val="center"/>
          </w:tcPr>
          <w:p>
            <w:r>
              <w:rPr>
                <w:sz w:val="18"/>
              </w:rPr>
              <w:t>substation_supply</w:t>
            </w:r>
          </w:p>
        </w:tc>
        <w:tc>
          <w:tcPr>
            <w:tcW w:type="dxa" w:w="2256"/>
            <w:vAlign w:val="center"/>
          </w:tcPr>
          <w:p>
            <w:r>
              <w:rPr>
                <w:sz w:val="18"/>
              </w:rPr>
              <w:t>Supply-side substation issue</w:t>
            </w:r>
          </w:p>
        </w:tc>
        <w:tc>
          <w:tcPr>
            <w:tcW w:type="dxa" w:w="2256"/>
            <w:vAlign w:val="center"/>
          </w:tcPr>
          <w:p>
            <w:r>
              <w:rPr>
                <w:sz w:val="18"/>
              </w:rPr>
              <w:t>n/a</w:t>
            </w:r>
          </w:p>
        </w:tc>
      </w:tr>
      <w:tr>
        <w:tc>
          <w:tcPr>
            <w:tcW w:type="dxa" w:w="2256"/>
            <w:vAlign w:val="center"/>
          </w:tcPr>
          <w:p>
            <w:r>
              <w:rPr>
                <w:sz w:val="18"/>
              </w:rPr>
              <w:t>operational</w:t>
            </w:r>
          </w:p>
        </w:tc>
        <w:tc>
          <w:tcPr>
            <w:tcW w:type="dxa" w:w="2256"/>
            <w:vAlign w:val="center"/>
          </w:tcPr>
          <w:p>
            <w:r>
              <w:rPr>
                <w:sz w:val="18"/>
              </w:rPr>
              <w:t>overload</w:t>
            </w:r>
          </w:p>
        </w:tc>
        <w:tc>
          <w:tcPr>
            <w:tcW w:type="dxa" w:w="2256"/>
            <w:vAlign w:val="center"/>
          </w:tcPr>
          <w:p>
            <w:r>
              <w:rPr>
                <w:sz w:val="18"/>
              </w:rPr>
              <w:t>Circuit overloaded</w:t>
            </w:r>
          </w:p>
        </w:tc>
        <w:tc>
          <w:tcPr>
            <w:tcW w:type="dxa" w:w="2256"/>
            <w:vAlign w:val="center"/>
          </w:tcPr>
          <w:p>
            <w:r>
              <w:rPr>
                <w:sz w:val="18"/>
              </w:rPr>
              <w:t>n/a</w:t>
            </w:r>
          </w:p>
        </w:tc>
      </w:tr>
      <w:tr>
        <w:tc>
          <w:tcPr>
            <w:tcW w:type="dxa" w:w="2256"/>
            <w:vAlign w:val="center"/>
          </w:tcPr>
          <w:p>
            <w:r>
              <w:rPr>
                <w:sz w:val="18"/>
              </w:rPr>
              <w:t>operational</w:t>
            </w:r>
          </w:p>
        </w:tc>
        <w:tc>
          <w:tcPr>
            <w:tcW w:type="dxa" w:w="2256"/>
            <w:vAlign w:val="center"/>
          </w:tcPr>
          <w:p>
            <w:r>
              <w:rPr>
                <w:sz w:val="18"/>
              </w:rPr>
              <w:t>switching_error</w:t>
            </w:r>
          </w:p>
        </w:tc>
        <w:tc>
          <w:tcPr>
            <w:tcW w:type="dxa" w:w="2256"/>
            <w:vAlign w:val="center"/>
          </w:tcPr>
          <w:p>
            <w:r>
              <w:rPr>
                <w:sz w:val="18"/>
              </w:rPr>
              <w:t>Switching error</w:t>
            </w:r>
          </w:p>
        </w:tc>
        <w:tc>
          <w:tcPr>
            <w:tcW w:type="dxa" w:w="2256"/>
            <w:vAlign w:val="center"/>
          </w:tcPr>
          <w:p>
            <w:r>
              <w:rPr>
                <w:sz w:val="18"/>
              </w:rPr>
              <w:t>n/a</w:t>
            </w:r>
          </w:p>
        </w:tc>
      </w:tr>
      <w:tr>
        <w:tc>
          <w:tcPr>
            <w:tcW w:type="dxa" w:w="2256"/>
            <w:vAlign w:val="center"/>
          </w:tcPr>
          <w:p>
            <w:r>
              <w:rPr>
                <w:sz w:val="18"/>
              </w:rPr>
              <w:t>operational</w:t>
            </w:r>
          </w:p>
        </w:tc>
        <w:tc>
          <w:tcPr>
            <w:tcW w:type="dxa" w:w="2256"/>
            <w:vAlign w:val="center"/>
          </w:tcPr>
          <w:p>
            <w:r>
              <w:rPr>
                <w:sz w:val="18"/>
              </w:rPr>
              <w:t>protection_miscoordination</w:t>
            </w:r>
          </w:p>
        </w:tc>
        <w:tc>
          <w:tcPr>
            <w:tcW w:type="dxa" w:w="2256"/>
            <w:vAlign w:val="center"/>
          </w:tcPr>
          <w:p>
            <w:r>
              <w:rPr>
                <w:sz w:val="18"/>
              </w:rPr>
              <w:t>Protection mis-coordination</w:t>
            </w:r>
          </w:p>
        </w:tc>
        <w:tc>
          <w:tcPr>
            <w:tcW w:type="dxa" w:w="2256"/>
            <w:vAlign w:val="center"/>
          </w:tcPr>
          <w:p>
            <w:r>
              <w:rPr>
                <w:sz w:val="18"/>
              </w:rPr>
              <w:t>n/a</w:t>
            </w:r>
          </w:p>
        </w:tc>
      </w:tr>
      <w:tr>
        <w:tc>
          <w:tcPr>
            <w:tcW w:type="dxa" w:w="2256"/>
            <w:vAlign w:val="center"/>
          </w:tcPr>
          <w:p>
            <w:r>
              <w:rPr>
                <w:sz w:val="18"/>
              </w:rPr>
              <w:t>planned</w:t>
            </w:r>
          </w:p>
        </w:tc>
        <w:tc>
          <w:tcPr>
            <w:tcW w:type="dxa" w:w="2256"/>
            <w:vAlign w:val="center"/>
          </w:tcPr>
          <w:p>
            <w:r>
              <w:rPr>
                <w:sz w:val="18"/>
              </w:rPr>
              <w:t>maintenance</w:t>
            </w:r>
          </w:p>
        </w:tc>
        <w:tc>
          <w:tcPr>
            <w:tcW w:type="dxa" w:w="2256"/>
            <w:vAlign w:val="center"/>
          </w:tcPr>
          <w:p>
            <w:r>
              <w:rPr>
                <w:sz w:val="18"/>
              </w:rPr>
              <w:t>Planned maintenance switching</w:t>
            </w:r>
          </w:p>
        </w:tc>
        <w:tc>
          <w:tcPr>
            <w:tcW w:type="dxa" w:w="2256"/>
            <w:vAlign w:val="center"/>
          </w:tcPr>
          <w:p>
            <w:r>
              <w:rPr>
                <w:sz w:val="18"/>
              </w:rPr>
              <w:t>n/a</w:t>
            </w:r>
          </w:p>
        </w:tc>
      </w:tr>
      <w:tr>
        <w:tc>
          <w:tcPr>
            <w:tcW w:type="dxa" w:w="2256"/>
            <w:vAlign w:val="center"/>
          </w:tcPr>
          <w:p>
            <w:r>
              <w:rPr>
                <w:sz w:val="18"/>
              </w:rPr>
              <w:t>planned</w:t>
            </w:r>
          </w:p>
        </w:tc>
        <w:tc>
          <w:tcPr>
            <w:tcW w:type="dxa" w:w="2256"/>
            <w:vAlign w:val="center"/>
          </w:tcPr>
          <w:p>
            <w:r>
              <w:rPr>
                <w:sz w:val="18"/>
              </w:rPr>
              <w:t>construction</w:t>
            </w:r>
          </w:p>
        </w:tc>
        <w:tc>
          <w:tcPr>
            <w:tcW w:type="dxa" w:w="2256"/>
            <w:vAlign w:val="center"/>
          </w:tcPr>
          <w:p>
            <w:r>
              <w:rPr>
                <w:sz w:val="18"/>
              </w:rPr>
              <w:t>Construction or new service</w:t>
            </w:r>
          </w:p>
        </w:tc>
        <w:tc>
          <w:tcPr>
            <w:tcW w:type="dxa" w:w="2256"/>
            <w:vAlign w:val="center"/>
          </w:tcPr>
          <w:p>
            <w:r>
              <w:rPr>
                <w:sz w:val="18"/>
              </w:rPr>
              <w:t>n/a</w:t>
            </w:r>
          </w:p>
        </w:tc>
      </w:tr>
      <w:tr>
        <w:tc>
          <w:tcPr>
            <w:tcW w:type="dxa" w:w="2256"/>
            <w:vAlign w:val="center"/>
          </w:tcPr>
          <w:p>
            <w:r>
              <w:rPr>
                <w:sz w:val="18"/>
              </w:rPr>
              <w:t>planned</w:t>
            </w:r>
          </w:p>
        </w:tc>
        <w:tc>
          <w:tcPr>
            <w:tcW w:type="dxa" w:w="2256"/>
            <w:vAlign w:val="center"/>
          </w:tcPr>
          <w:p>
            <w:r>
              <w:rPr>
                <w:sz w:val="18"/>
              </w:rPr>
              <w:t>emergency_switching_for_safety</w:t>
            </w:r>
          </w:p>
        </w:tc>
        <w:tc>
          <w:tcPr>
            <w:tcW w:type="dxa" w:w="2256"/>
            <w:vAlign w:val="center"/>
          </w:tcPr>
          <w:p>
            <w:r>
              <w:rPr>
                <w:sz w:val="18"/>
              </w:rPr>
              <w:t>Emergency switching for safety (treat as planned)</w:t>
            </w:r>
          </w:p>
        </w:tc>
        <w:tc>
          <w:tcPr>
            <w:tcW w:type="dxa" w:w="2256"/>
            <w:vAlign w:val="center"/>
          </w:tcPr>
          <w:p>
            <w:r>
              <w:rPr>
                <w:sz w:val="18"/>
              </w:rPr>
              <w:t>n/a</w:t>
            </w:r>
          </w:p>
        </w:tc>
      </w:tr>
      <w:tr>
        <w:tc>
          <w:tcPr>
            <w:tcW w:type="dxa" w:w="2256"/>
            <w:vAlign w:val="center"/>
          </w:tcPr>
          <w:p>
            <w:r>
              <w:rPr>
                <w:sz w:val="18"/>
              </w:rPr>
              <w:t>unknown</w:t>
            </w:r>
          </w:p>
        </w:tc>
        <w:tc>
          <w:tcPr>
            <w:tcW w:type="dxa" w:w="2256"/>
            <w:vAlign w:val="center"/>
          </w:tcPr>
          <w:p>
            <w:r>
              <w:rPr>
                <w:sz w:val="18"/>
              </w:rPr>
              <w:t>unknown_patrolled_no_cause</w:t>
            </w:r>
          </w:p>
        </w:tc>
        <w:tc>
          <w:tcPr>
            <w:tcW w:type="dxa" w:w="2256"/>
            <w:vAlign w:val="center"/>
          </w:tcPr>
          <w:p>
            <w:r>
              <w:rPr>
                <w:sz w:val="18"/>
              </w:rPr>
              <w:t>Patrolled; no cause identified</w:t>
            </w:r>
          </w:p>
        </w:tc>
        <w:tc>
          <w:tcPr>
            <w:tcW w:type="dxa" w:w="2256"/>
            <w:vAlign w:val="center"/>
          </w:tcPr>
          <w:p>
            <w:r>
              <w:rPr>
                <w:sz w:val="18"/>
              </w:rPr>
              <w:t>n/a</w:t>
            </w:r>
          </w:p>
        </w:tc>
      </w:tr>
    </w:tbl>
    <w:p>
      <w:pPr>
        <w:spacing w:before="120" w:after="120"/>
        <w:pBdr>
          <w:bottom w:val="single" w:sz="6" w:space="1" w:color="AAAAAA"/>
        </w:pBdr>
      </w:pPr>
    </w:p>
    <w:p>
      <w:r>
        <w:br w:type="page"/>
      </w:r>
    </w:p>
    <w:p>
      <w:pPr>
        <w:pStyle w:val="Heading2"/>
      </w:pPr>
      <w:r>
        <w:rPr>
          <w:color w:val="1F3864"/>
          <w:sz w:val="32"/>
        </w:rPr>
        <w:t>Appendix E — Data Dictionary</w:t>
      </w:r>
    </w:p>
    <w:p>
      <w:r>
        <w:rPr>
          <w:sz w:val="20"/>
        </w:rPr>
        <w:t xml:space="preserve">The following datasets are referenced by this document. Full field-level data dictionaries are in </w:t>
      </w:r>
      <w:r>
        <w:rPr>
          <w:rFonts w:ascii="Courier New" w:hAnsi="Courier New"/>
          <w:sz w:val="20"/>
        </w:rPr>
        <w:t>data/README.md</w:t>
      </w:r>
      <w:r>
        <w:rPr>
          <w:sz w:val="20"/>
        </w:rPr>
        <w:t>.</w:t>
      </w:r>
    </w:p>
    <w:tbl>
      <w:tblPr>
        <w:tblStyle w:val="TableGrid"/>
        <w:tblW w:type="auto" w:w="0"/>
        <w:tblLook w:firstColumn="1" w:firstRow="1" w:lastColumn="0" w:lastRow="0" w:noHBand="0" w:noVBand="1" w:val="04A0"/>
      </w:tblPr>
      <w:tblGrid>
        <w:gridCol w:w="2256"/>
        <w:gridCol w:w="2256"/>
        <w:gridCol w:w="2256"/>
        <w:gridCol w:w="2256"/>
      </w:tblGrid>
      <w:tr>
        <w:tc>
          <w:tcPr>
            <w:tcW w:type="dxa" w:w="2256"/>
            <w:vAlign w:val="center"/>
            <w:shd w:val="clear" w:color="auto" w:fill="D9E1F2"/>
          </w:tcPr>
          <w:p>
            <w:r>
              <w:rPr>
                <w:b/>
                <w:sz w:val="18"/>
              </w:rPr>
              <w:t>Dataset</w:t>
            </w:r>
          </w:p>
        </w:tc>
        <w:tc>
          <w:tcPr>
            <w:tcW w:type="dxa" w:w="2256"/>
            <w:vAlign w:val="center"/>
            <w:shd w:val="clear" w:color="auto" w:fill="D9E1F2"/>
          </w:tcPr>
          <w:p>
            <w:r>
              <w:rPr>
                <w:b/>
                <w:sz w:val="18"/>
              </w:rPr>
              <w:t>File</w:t>
            </w:r>
          </w:p>
        </w:tc>
        <w:tc>
          <w:tcPr>
            <w:tcW w:type="dxa" w:w="2256"/>
            <w:vAlign w:val="center"/>
            <w:shd w:val="clear" w:color="auto" w:fill="D9E1F2"/>
          </w:tcPr>
          <w:p>
            <w:r>
              <w:rPr>
                <w:b/>
                <w:sz w:val="18"/>
              </w:rPr>
              <w:t>Rows</w:t>
            </w:r>
          </w:p>
        </w:tc>
        <w:tc>
          <w:tcPr>
            <w:tcW w:type="dxa" w:w="2256"/>
            <w:vAlign w:val="center"/>
            <w:shd w:val="clear" w:color="auto" w:fill="D9E1F2"/>
          </w:tcPr>
          <w:p>
            <w:r>
              <w:rPr>
                <w:b/>
                <w:sz w:val="18"/>
              </w:rPr>
              <w:t>Purpose</w:t>
            </w:r>
          </w:p>
        </w:tc>
      </w:tr>
      <w:tr>
        <w:tc>
          <w:tcPr>
            <w:tcW w:type="dxa" w:w="2256"/>
            <w:vAlign w:val="center"/>
          </w:tcPr>
          <w:p>
            <w:r>
              <w:rPr>
                <w:sz w:val="18"/>
              </w:rPr>
              <w:t>Outage Incidents</w:t>
            </w:r>
          </w:p>
        </w:tc>
        <w:tc>
          <w:tcPr>
            <w:tcW w:type="dxa" w:w="2256"/>
            <w:vAlign w:val="center"/>
          </w:tcPr>
          <w:p>
            <w:r>
              <w:rPr>
                <w:sz w:val="18"/>
              </w:rPr>
              <w:t>`data/outage_incidents_2024-01-01_2025-01-31.csv`</w:t>
            </w:r>
          </w:p>
        </w:tc>
        <w:tc>
          <w:tcPr>
            <w:tcW w:type="dxa" w:w="2256"/>
            <w:vAlign w:val="center"/>
          </w:tcPr>
          <w:p>
            <w:r>
              <w:rPr>
                <w:sz w:val="18"/>
              </w:rPr>
              <w:t>9,509</w:t>
            </w:r>
          </w:p>
        </w:tc>
        <w:tc>
          <w:tcPr>
            <w:tcW w:type="dxa" w:w="2256"/>
            <w:vAlign w:val="center"/>
          </w:tcPr>
          <w:p>
            <w:r>
              <w:rPr>
                <w:sz w:val="18"/>
              </w:rPr>
              <w:t>One row per incident; includes IURC regulatory columns</w:t>
            </w:r>
          </w:p>
        </w:tc>
      </w:tr>
      <w:tr>
        <w:tc>
          <w:tcPr>
            <w:tcW w:type="dxa" w:w="2256"/>
            <w:vAlign w:val="center"/>
          </w:tcPr>
          <w:p>
            <w:r>
              <w:rPr>
                <w:sz w:val="18"/>
              </w:rPr>
              <w:t>Outage Events</w:t>
            </w:r>
          </w:p>
        </w:tc>
        <w:tc>
          <w:tcPr>
            <w:tcW w:type="dxa" w:w="2256"/>
            <w:vAlign w:val="center"/>
          </w:tcPr>
          <w:p>
            <w:r>
              <w:rPr>
                <w:sz w:val="18"/>
              </w:rPr>
              <w:t>`data/outage_events_2024-01-01_2025-01-31.csv`</w:t>
            </w:r>
          </w:p>
        </w:tc>
        <w:tc>
          <w:tcPr>
            <w:tcW w:type="dxa" w:w="2256"/>
            <w:vAlign w:val="center"/>
          </w:tcPr>
          <w:p>
            <w:r>
              <w:rPr>
                <w:sz w:val="18"/>
              </w:rPr>
              <w:t>10,928</w:t>
            </w:r>
          </w:p>
        </w:tc>
        <w:tc>
          <w:tcPr>
            <w:tcW w:type="dxa" w:w="2256"/>
            <w:vAlign w:val="center"/>
          </w:tcPr>
          <w:p>
            <w:r>
              <w:rPr>
                <w:sz w:val="18"/>
              </w:rPr>
              <w:t>One row per device operation / step restoration</w:t>
            </w:r>
          </w:p>
        </w:tc>
      </w:tr>
      <w:tr>
        <w:tc>
          <w:tcPr>
            <w:tcW w:type="dxa" w:w="2256"/>
            <w:vAlign w:val="center"/>
          </w:tcPr>
          <w:p>
            <w:r>
              <w:rPr>
                <w:sz w:val="18"/>
              </w:rPr>
              <w:t>IURC Report Log</w:t>
            </w:r>
          </w:p>
        </w:tc>
        <w:tc>
          <w:tcPr>
            <w:tcW w:type="dxa" w:w="2256"/>
            <w:vAlign w:val="center"/>
          </w:tcPr>
          <w:p>
            <w:r>
              <w:rPr>
                <w:sz w:val="18"/>
              </w:rPr>
              <w:t>`data/iurc_report_log_2024-01-01_2025-01-31.csv`</w:t>
            </w:r>
          </w:p>
        </w:tc>
        <w:tc>
          <w:tcPr>
            <w:tcW w:type="dxa" w:w="2256"/>
            <w:vAlign w:val="center"/>
          </w:tcPr>
          <w:p>
            <w:r>
              <w:rPr>
                <w:sz w:val="18"/>
              </w:rPr>
              <w:t>59</w:t>
            </w:r>
          </w:p>
        </w:tc>
        <w:tc>
          <w:tcPr>
            <w:tcW w:type="dxa" w:w="2256"/>
            <w:vAlign w:val="center"/>
          </w:tcPr>
          <w:p>
            <w:r>
              <w:rPr>
                <w:sz w:val="18"/>
              </w:rPr>
              <w:t>One row per IURC report submitted</w:t>
            </w:r>
          </w:p>
        </w:tc>
      </w:tr>
      <w:tr>
        <w:tc>
          <w:tcPr>
            <w:tcW w:type="dxa" w:w="2256"/>
            <w:vAlign w:val="center"/>
          </w:tcPr>
          <w:p>
            <w:r>
              <w:rPr>
                <w:sz w:val="18"/>
              </w:rPr>
              <w:t>Planned Notices</w:t>
            </w:r>
          </w:p>
        </w:tc>
        <w:tc>
          <w:tcPr>
            <w:tcW w:type="dxa" w:w="2256"/>
            <w:vAlign w:val="center"/>
          </w:tcPr>
          <w:p>
            <w:r>
              <w:rPr>
                <w:sz w:val="18"/>
              </w:rPr>
              <w:t>`data/planned_interruption_notices_2024.csv`</w:t>
            </w:r>
          </w:p>
        </w:tc>
        <w:tc>
          <w:tcPr>
            <w:tcW w:type="dxa" w:w="2256"/>
            <w:vAlign w:val="center"/>
          </w:tcPr>
          <w:p>
            <w:r>
              <w:rPr>
                <w:sz w:val="18"/>
              </w:rPr>
              <w:t>623</w:t>
            </w:r>
          </w:p>
        </w:tc>
        <w:tc>
          <w:tcPr>
            <w:tcW w:type="dxa" w:w="2256"/>
            <w:vAlign w:val="center"/>
          </w:tcPr>
          <w:p>
            <w:r>
              <w:rPr>
                <w:sz w:val="18"/>
              </w:rPr>
              <w:t>One row per planned interruption; notice compliance</w:t>
            </w:r>
          </w:p>
        </w:tc>
      </w:tr>
      <w:tr>
        <w:tc>
          <w:tcPr>
            <w:tcW w:type="dxa" w:w="2256"/>
            <w:vAlign w:val="center"/>
          </w:tcPr>
          <w:p>
            <w:r>
              <w:rPr>
                <w:sz w:val="18"/>
              </w:rPr>
              <w:t>Reliability Indices</w:t>
            </w:r>
          </w:p>
        </w:tc>
        <w:tc>
          <w:tcPr>
            <w:tcW w:type="dxa" w:w="2256"/>
            <w:vAlign w:val="center"/>
          </w:tcPr>
          <w:p>
            <w:r>
              <w:rPr>
                <w:sz w:val="18"/>
              </w:rPr>
              <w:t>`data/reliability_indices_2024.csv`</w:t>
            </w:r>
          </w:p>
        </w:tc>
        <w:tc>
          <w:tcPr>
            <w:tcW w:type="dxa" w:w="2256"/>
            <w:vAlign w:val="center"/>
          </w:tcPr>
          <w:p>
            <w:r>
              <w:rPr>
                <w:sz w:val="18"/>
              </w:rPr>
              <w:t>13</w:t>
            </w:r>
          </w:p>
        </w:tc>
        <w:tc>
          <w:tcPr>
            <w:tcW w:type="dxa" w:w="2256"/>
            <w:vAlign w:val="center"/>
          </w:tcPr>
          <w:p>
            <w:r>
              <w:rPr>
                <w:sz w:val="18"/>
              </w:rPr>
              <w:t>12 months + annual SAIFI/SAIDI/CAIDI with/without MED</w:t>
            </w:r>
          </w:p>
        </w:tc>
      </w:tr>
    </w:tbl>
    <w:p>
      <w:r>
        <w:rPr>
          <w:sz w:val="20"/>
        </w:rPr>
      </w:r>
      <w:r>
        <w:rPr>
          <w:b/>
          <w:sz w:val="20"/>
        </w:rPr>
        <w:t>Key field cross-references:</w:t>
      </w:r>
      <w:r>
        <w:rPr>
          <w:sz w:val="20"/>
        </w:rPr>
      </w:r>
    </w:p>
    <w:p>
      <w:pPr>
        <w:pStyle w:val="ListBullet"/>
      </w:pPr>
      <w:r>
        <w:rPr>
          <w:sz w:val="20"/>
        </w:rPr>
      </w:r>
      <w:r>
        <w:rPr>
          <w:rFonts w:ascii="Courier New" w:hAnsi="Courier New"/>
          <w:sz w:val="20"/>
        </w:rPr>
        <w:t>incident_id</w:t>
      </w:r>
      <w:r>
        <w:rPr>
          <w:sz w:val="20"/>
        </w:rPr>
        <w:t xml:space="preserve"> (</w:t>
      </w:r>
      <w:r>
        <w:rPr>
          <w:rFonts w:ascii="Courier New" w:hAnsi="Courier New"/>
          <w:sz w:val="20"/>
        </w:rPr>
        <w:t>INC-2024-nnnnn</w:t>
      </w:r>
      <w:r>
        <w:rPr>
          <w:sz w:val="20"/>
        </w:rPr>
        <w:t>): links incidents to events, report log, and planned notices.</w:t>
      </w:r>
    </w:p>
    <w:p>
      <w:pPr>
        <w:pStyle w:val="ListBullet"/>
      </w:pPr>
      <w:r>
        <w:rPr>
          <w:sz w:val="20"/>
        </w:rPr>
      </w:r>
      <w:r>
        <w:rPr>
          <w:rFonts w:ascii="Courier New" w:hAnsi="Courier New"/>
          <w:sz w:val="20"/>
        </w:rPr>
        <w:t>event_id</w:t>
      </w:r>
      <w:r>
        <w:rPr>
          <w:sz w:val="20"/>
        </w:rPr>
        <w:t xml:space="preserve"> (</w:t>
      </w:r>
      <w:r>
        <w:rPr>
          <w:rFonts w:ascii="Courier New" w:hAnsi="Courier New"/>
          <w:sz w:val="20"/>
        </w:rPr>
        <w:t>EVT-2024-nnnnnnn</w:t>
      </w:r>
      <w:r>
        <w:rPr>
          <w:sz w:val="20"/>
        </w:rPr>
        <w:t>): unique event record within an incident.</w:t>
      </w:r>
    </w:p>
    <w:p>
      <w:pPr>
        <w:pStyle w:val="ListBullet"/>
      </w:pPr>
      <w:r>
        <w:rPr>
          <w:sz w:val="20"/>
        </w:rPr>
      </w:r>
      <w:r>
        <w:rPr>
          <w:rFonts w:ascii="Courier New" w:hAnsi="Courier New"/>
          <w:sz w:val="20"/>
        </w:rPr>
        <w:t>report_id</w:t>
      </w:r>
      <w:r>
        <w:rPr>
          <w:sz w:val="20"/>
        </w:rPr>
        <w:t xml:space="preserve"> (</w:t>
      </w:r>
      <w:r>
        <w:rPr>
          <w:rFonts w:ascii="Courier New" w:hAnsi="Courier New"/>
          <w:sz w:val="20"/>
        </w:rPr>
        <w:t>RPT-YYYY-nnnnn{letter}</w:t>
      </w:r>
      <w:r>
        <w:rPr>
          <w:sz w:val="20"/>
        </w:rPr>
        <w:t>): unique IURC report record.</w:t>
      </w:r>
    </w:p>
    <w:p>
      <w:pPr>
        <w:pStyle w:val="ListBullet"/>
      </w:pPr>
      <w:r>
        <w:rPr>
          <w:sz w:val="20"/>
        </w:rPr>
      </w:r>
      <w:r>
        <w:rPr>
          <w:rFonts w:ascii="Courier New" w:hAnsi="Courier New"/>
          <w:sz w:val="20"/>
        </w:rPr>
        <w:t>circuit_id</w:t>
      </w:r>
      <w:r>
        <w:rPr>
          <w:sz w:val="20"/>
        </w:rPr>
        <w:t xml:space="preserve"> (</w:t>
      </w:r>
      <w:r>
        <w:rPr>
          <w:rFonts w:ascii="Courier New" w:hAnsi="Courier New"/>
          <w:sz w:val="20"/>
        </w:rPr>
        <w:t>{SC}-{nnn}-{n}</w:t>
      </w:r>
      <w:r>
        <w:rPr>
          <w:sz w:val="20"/>
        </w:rPr>
        <w:t xml:space="preserve">): joins to </w:t>
      </w:r>
      <w:r>
        <w:rPr>
          <w:rFonts w:ascii="Courier New" w:hAnsi="Courier New"/>
          <w:sz w:val="20"/>
        </w:rPr>
        <w:t>circuits_master.csv</w:t>
      </w:r>
      <w:r>
        <w:rPr>
          <w:sz w:val="20"/>
        </w:rPr>
        <w:t xml:space="preserve"> for circuit attributes.</w:t>
      </w:r>
    </w:p>
    <w:p>
      <w:r>
        <w:rPr>
          <w:sz w:val="20"/>
        </w:rPr>
      </w:r>
      <w:r>
        <w:rPr>
          <w:b/>
          <w:sz w:val="20"/>
        </w:rPr>
        <w:t>Regulatory parameters (from `params` in `scripts/generate_outage_data.py`):</w:t>
      </w:r>
      <w:r>
        <w:rPr>
          <w:sz w:val="20"/>
        </w:rPr>
      </w:r>
    </w:p>
    <w:tbl>
      <w:tblPr>
        <w:tblStyle w:val="TableGrid"/>
        <w:tblW w:type="auto" w:w="0"/>
        <w:tblLook w:firstColumn="1" w:firstRow="1" w:lastColumn="0" w:lastRow="0" w:noHBand="0" w:noVBand="1" w:val="04A0"/>
      </w:tblPr>
      <w:tblGrid>
        <w:gridCol w:w="3009"/>
        <w:gridCol w:w="3009"/>
        <w:gridCol w:w="3009"/>
      </w:tblGrid>
      <w:tr>
        <w:tc>
          <w:tcPr>
            <w:tcW w:type="dxa" w:w="3009"/>
            <w:vAlign w:val="center"/>
            <w:shd w:val="clear" w:color="auto" w:fill="D9E1F2"/>
          </w:tcPr>
          <w:p>
            <w:r>
              <w:rPr>
                <w:b/>
                <w:sz w:val="18"/>
              </w:rPr>
              <w:t>Parameter</w:t>
            </w:r>
          </w:p>
        </w:tc>
        <w:tc>
          <w:tcPr>
            <w:tcW w:type="dxa" w:w="3009"/>
            <w:vAlign w:val="center"/>
            <w:shd w:val="clear" w:color="auto" w:fill="D9E1F2"/>
          </w:tcPr>
          <w:p>
            <w:r>
              <w:rPr>
                <w:b/>
                <w:sz w:val="18"/>
              </w:rPr>
              <w:t>Value</w:t>
            </w:r>
          </w:p>
        </w:tc>
        <w:tc>
          <w:tcPr>
            <w:tcW w:type="dxa" w:w="3009"/>
            <w:vAlign w:val="center"/>
            <w:shd w:val="clear" w:color="auto" w:fill="D9E1F2"/>
          </w:tcPr>
          <w:p>
            <w:r>
              <w:rPr>
                <w:b/>
                <w:sz w:val="18"/>
              </w:rPr>
              <w:t>Source</w:t>
            </w:r>
          </w:p>
        </w:tc>
      </w:tr>
      <w:tr>
        <w:tc>
          <w:tcPr>
            <w:tcW w:type="dxa" w:w="3009"/>
            <w:vAlign w:val="center"/>
          </w:tcPr>
          <w:p>
            <w:r>
              <w:rPr>
                <w:sz w:val="18"/>
              </w:rPr>
              <w:t>Customer threshold (IOU)</w:t>
            </w:r>
          </w:p>
        </w:tc>
        <w:tc>
          <w:tcPr>
            <w:tcW w:type="dxa" w:w="3009"/>
            <w:vAlign w:val="center"/>
          </w:tcPr>
          <w:p>
            <w:r>
              <w:rPr>
                <w:sz w:val="18"/>
              </w:rPr>
              <w:t>5,000 (lesser of 2% = 8,149 and 5,000)</w:t>
            </w:r>
          </w:p>
        </w:tc>
        <w:tc>
          <w:tcPr>
            <w:tcW w:type="dxa" w:w="3009"/>
            <w:vAlign w:val="center"/>
          </w:tcPr>
          <w:p>
            <w:r>
              <w:rPr>
                <w:sz w:val="18"/>
              </w:rPr>
              <w:t>170 IAC 4-1-23(b)(1)(A)</w:t>
            </w:r>
          </w:p>
        </w:tc>
      </w:tr>
      <w:tr>
        <w:tc>
          <w:tcPr>
            <w:tcW w:type="dxa" w:w="3009"/>
            <w:vAlign w:val="center"/>
          </w:tcPr>
          <w:p>
            <w:r>
              <w:rPr>
                <w:sz w:val="18"/>
              </w:rPr>
              <w:t>Duration threshold</w:t>
            </w:r>
          </w:p>
        </w:tc>
        <w:tc>
          <w:tcPr>
            <w:tcW w:type="dxa" w:w="3009"/>
            <w:vAlign w:val="center"/>
          </w:tcPr>
          <w:p>
            <w:r>
              <w:rPr>
                <w:sz w:val="18"/>
              </w:rPr>
              <w:t>120 minutes (2 hours)</w:t>
            </w:r>
          </w:p>
        </w:tc>
        <w:tc>
          <w:tcPr>
            <w:tcW w:type="dxa" w:w="3009"/>
            <w:vAlign w:val="center"/>
          </w:tcPr>
          <w:p>
            <w:r>
              <w:rPr>
                <w:sz w:val="18"/>
              </w:rPr>
              <w:t>170 IAC 4-1-23(b)(1)(A)</w:t>
            </w:r>
          </w:p>
        </w:tc>
      </w:tr>
      <w:tr>
        <w:tc>
          <w:tcPr>
            <w:tcW w:type="dxa" w:w="3009"/>
            <w:vAlign w:val="center"/>
          </w:tcPr>
          <w:p>
            <w:r>
              <w:rPr>
                <w:sz w:val="18"/>
              </w:rPr>
              <w:t>Record retention (interruption records)</w:t>
            </w:r>
          </w:p>
        </w:tc>
        <w:tc>
          <w:tcPr>
            <w:tcW w:type="dxa" w:w="3009"/>
            <w:vAlign w:val="center"/>
          </w:tcPr>
          <w:p>
            <w:r>
              <w:rPr>
                <w:sz w:val="18"/>
              </w:rPr>
              <w:t>At least 3 years</w:t>
            </w:r>
          </w:p>
        </w:tc>
        <w:tc>
          <w:tcPr>
            <w:tcW w:type="dxa" w:w="3009"/>
            <w:vAlign w:val="center"/>
          </w:tcPr>
          <w:p>
            <w:r>
              <w:rPr>
                <w:sz w:val="18"/>
              </w:rPr>
              <w:t>170 IAC 4-1-3</w:t>
            </w:r>
          </w:p>
        </w:tc>
      </w:tr>
      <w:tr>
        <w:tc>
          <w:tcPr>
            <w:tcW w:type="dxa" w:w="3009"/>
            <w:vAlign w:val="center"/>
          </w:tcPr>
          <w:p>
            <w:r>
              <w:rPr>
                <w:sz w:val="18"/>
              </w:rPr>
              <w:t>Record retention (reliability data)</w:t>
            </w:r>
          </w:p>
        </w:tc>
        <w:tc>
          <w:tcPr>
            <w:tcW w:type="dxa" w:w="3009"/>
            <w:vAlign w:val="center"/>
          </w:tcPr>
          <w:p>
            <w:r>
              <w:rPr>
                <w:sz w:val="18"/>
              </w:rPr>
              <w:t>At least 7 years</w:t>
            </w:r>
          </w:p>
        </w:tc>
        <w:tc>
          <w:tcPr>
            <w:tcW w:type="dxa" w:w="3009"/>
            <w:vAlign w:val="center"/>
          </w:tcPr>
          <w:p>
            <w:r>
              <w:rPr>
                <w:sz w:val="18"/>
              </w:rPr>
              <w:t>170 IAC 4-1-23(f)</w:t>
            </w:r>
          </w:p>
        </w:tc>
      </w:tr>
      <w:tr>
        <w:tc>
          <w:tcPr>
            <w:tcW w:type="dxa" w:w="3009"/>
            <w:vAlign w:val="center"/>
          </w:tcPr>
          <w:p>
            <w:r>
              <w:rPr>
                <w:sz w:val="18"/>
              </w:rPr>
              <w:t>Annual report deadline</w:t>
            </w:r>
          </w:p>
        </w:tc>
        <w:tc>
          <w:tcPr>
            <w:tcW w:type="dxa" w:w="3009"/>
            <w:vAlign w:val="center"/>
          </w:tcPr>
          <w:p>
            <w:r>
              <w:rPr>
                <w:sz w:val="18"/>
              </w:rPr>
              <w:t>March 1</w:t>
            </w:r>
          </w:p>
        </w:tc>
        <w:tc>
          <w:tcPr>
            <w:tcW w:type="dxa" w:w="3009"/>
            <w:vAlign w:val="center"/>
          </w:tcPr>
          <w:p>
            <w:r>
              <w:rPr>
                <w:sz w:val="18"/>
              </w:rPr>
              <w:t>170 IAC 4-1-23(e)</w:t>
            </w:r>
          </w:p>
        </w:tc>
      </w:tr>
      <w:tr>
        <w:tc>
          <w:tcPr>
            <w:tcW w:type="dxa" w:w="3009"/>
            <w:vAlign w:val="center"/>
          </w:tcPr>
          <w:p>
            <w:r>
              <w:rPr>
                <w:sz w:val="18"/>
              </w:rPr>
              <w:t>Planned notice trigger</w:t>
            </w:r>
          </w:p>
        </w:tc>
        <w:tc>
          <w:tcPr>
            <w:tcW w:type="dxa" w:w="3009"/>
            <w:vAlign w:val="center"/>
          </w:tcPr>
          <w:p>
            <w:r>
              <w:rPr>
                <w:sz w:val="18"/>
              </w:rPr>
              <w:t>&gt; 1 hour</w:t>
            </w:r>
          </w:p>
        </w:tc>
        <w:tc>
          <w:tcPr>
            <w:tcW w:type="dxa" w:w="3009"/>
            <w:vAlign w:val="center"/>
          </w:tcPr>
          <w:p>
            <w:r>
              <w:rPr>
                <w:sz w:val="18"/>
              </w:rPr>
              <w:t>170 IAC 4-1-23(c)</w:t>
            </w:r>
          </w:p>
        </w:tc>
      </w:tr>
      <w:tr>
        <w:tc>
          <w:tcPr>
            <w:tcW w:type="dxa" w:w="3009"/>
            <w:vAlign w:val="center"/>
          </w:tcPr>
          <w:p>
            <w:r>
              <w:rPr>
                <w:sz w:val="18"/>
              </w:rPr>
              <w:t>Tree-related outage report deadline</w:t>
            </w:r>
          </w:p>
        </w:tc>
        <w:tc>
          <w:tcPr>
            <w:tcW w:type="dxa" w:w="3009"/>
            <w:vAlign w:val="center"/>
          </w:tcPr>
          <w:p>
            <w:r>
              <w:rPr>
                <w:sz w:val="18"/>
              </w:rPr>
              <w:t>March 31</w:t>
            </w:r>
          </w:p>
        </w:tc>
        <w:tc>
          <w:tcPr>
            <w:tcW w:type="dxa" w:w="3009"/>
            <w:vAlign w:val="center"/>
          </w:tcPr>
          <w:p>
            <w:r>
              <w:rPr>
                <w:sz w:val="18"/>
              </w:rPr>
              <w:t>170 IAC 4-9-7(g)</w:t>
            </w:r>
          </w:p>
        </w:tc>
      </w:tr>
    </w:tbl>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 xml:space="preserve"> PAGE </w:instrText>
      <w:fldChar w:fldCharType="end"/>
    </w:r>
    <w:r>
      <w:rPr>
        <w:sz w:val="18"/>
      </w:rPr>
      <w:t xml:space="preserve">  |  © Rockridge Power &amp; Light Company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44444"/>
        <w:sz w:val="18"/>
      </w:rPr>
      <w:t>RPL-DCC-PRO-003 v4.2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