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Records Retention Schedule</w:t>
      </w:r>
    </w:p>
    <w:p>
      <w:pPr>
        <w:jc w:val="center"/>
      </w:pPr>
      <w:r>
        <w:rPr>
          <w:b/>
          <w:sz w:val="26"/>
        </w:rPr>
        <w:t>RPL-LEG-RRS-001 v7.2 — Rockridge Power &amp; Light Company</w:t>
      </w:r>
    </w:p>
    <w:p/>
    <w:tbl>
      <w:tblPr>
        <w:tblStyle w:val="TableGrid"/>
        <w:tblW w:type="auto" w:w="0"/>
        <w:tblLook w:firstColumn="1" w:firstRow="1" w:lastColumn="0" w:lastRow="0" w:noHBand="0" w:noVBand="1" w:val="04A0"/>
      </w:tblPr>
      <w:tblGrid>
        <w:gridCol w:w="4392"/>
        <w:gridCol w:w="4392"/>
      </w:tblGrid>
      <w:tr>
        <w:tc>
          <w:tcPr>
            <w:tcW w:type="dxa" w:w="4392"/>
          </w:tcPr>
          <w:p>
            <w:r>
              <w:rPr>
                <w:b/>
              </w:rPr>
              <w:t>Document ID</w:t>
            </w:r>
          </w:p>
        </w:tc>
        <w:tc>
          <w:tcPr>
            <w:tcW w:type="dxa" w:w="4392"/>
          </w:tcPr>
          <w:p>
            <w:r>
              <w:t>RPL-LEG-RRS-001</w:t>
            </w:r>
          </w:p>
        </w:tc>
      </w:tr>
      <w:tr>
        <w:tc>
          <w:tcPr>
            <w:tcW w:type="dxa" w:w="4392"/>
          </w:tcPr>
          <w:p>
            <w:r>
              <w:rPr>
                <w:b/>
              </w:rPr>
              <w:t>Version</w:t>
            </w:r>
          </w:p>
        </w:tc>
        <w:tc>
          <w:tcPr>
            <w:tcW w:type="dxa" w:w="4392"/>
          </w:tcPr>
          <w:p>
            <w:r>
              <w:t>7.2</w:t>
            </w:r>
          </w:p>
        </w:tc>
      </w:tr>
      <w:tr>
        <w:tc>
          <w:tcPr>
            <w:tcW w:type="dxa" w:w="4392"/>
          </w:tcPr>
          <w:p>
            <w:r>
              <w:rPr>
                <w:b/>
              </w:rPr>
              <w:t>Approved</w:t>
            </w:r>
          </w:p>
        </w:tc>
        <w:tc>
          <w:tcPr>
            <w:tcW w:type="dxa" w:w="4392"/>
          </w:tcPr>
          <w:p>
            <w:r>
              <w:t>2025-01-23</w:t>
            </w:r>
          </w:p>
        </w:tc>
      </w:tr>
      <w:tr>
        <w:tc>
          <w:tcPr>
            <w:tcW w:type="dxa" w:w="4392"/>
          </w:tcPr>
          <w:p>
            <w:r>
              <w:rPr>
                <w:b/>
              </w:rPr>
              <w:t>Effective</w:t>
            </w:r>
          </w:p>
        </w:tc>
        <w:tc>
          <w:tcPr>
            <w:tcW w:type="dxa" w:w="4392"/>
          </w:tcPr>
          <w:p>
            <w:r>
              <w:t>2025-01-23</w:t>
            </w:r>
          </w:p>
        </w:tc>
      </w:tr>
      <w:tr>
        <w:tc>
          <w:tcPr>
            <w:tcW w:type="dxa" w:w="4392"/>
          </w:tcPr>
          <w:p>
            <w:r>
              <w:rPr>
                <w:b/>
              </w:rPr>
              <w:t>Prepared by</w:t>
            </w:r>
          </w:p>
        </w:tc>
        <w:tc>
          <w:tcPr>
            <w:tcW w:type="dxa" w:w="4392"/>
          </w:tcPr>
          <w:p>
            <w:r>
              <w:t>Jonathan Pierce, Senior Counsel Regulatory (P03)</w:t>
            </w:r>
          </w:p>
        </w:tc>
      </w:tr>
      <w:tr>
        <w:tc>
          <w:tcPr>
            <w:tcW w:type="dxa" w:w="4392"/>
          </w:tcPr>
          <w:p>
            <w:r>
              <w:rPr>
                <w:b/>
              </w:rPr>
              <w:t>Reviewed by</w:t>
            </w:r>
          </w:p>
        </w:tc>
        <w:tc>
          <w:tcPr>
            <w:tcW w:type="dxa" w:w="4392"/>
          </w:tcPr>
          <w:p>
            <w:r>
              <w:t>Elena Vasquez, Manager Regulatory Affairs (P08)</w:t>
            </w:r>
          </w:p>
        </w:tc>
      </w:tr>
      <w:tr>
        <w:tc>
          <w:tcPr>
            <w:tcW w:type="dxa" w:w="4392"/>
          </w:tcPr>
          <w:p>
            <w:r>
              <w:rPr>
                <w:b/>
              </w:rPr>
              <w:t>Approved by</w:t>
            </w:r>
          </w:p>
        </w:tc>
        <w:tc>
          <w:tcPr>
            <w:tcW w:type="dxa" w:w="4392"/>
          </w:tcPr>
          <w:p>
            <w:r>
              <w:t>Sandra Kim, Director Environmental Health &amp; Safety (P24)</w:t>
            </w:r>
          </w:p>
        </w:tc>
      </w:tr>
      <w:tr>
        <w:tc>
          <w:tcPr>
            <w:tcW w:type="dxa" w:w="4392"/>
          </w:tcPr>
          <w:p>
            <w:r>
              <w:rPr>
                <w:b/>
              </w:rPr>
              <w:t>Supersedes</w:t>
            </w:r>
          </w:p>
        </w:tc>
        <w:tc>
          <w:tcPr>
            <w:tcW w:type="dxa" w:w="4392"/>
          </w:tcPr>
          <w:p>
            <w:r>
              <w:t>RPL-LEG-RRS-001 v7.1 (2024-04-01)</w:t>
            </w:r>
          </w:p>
        </w:tc>
      </w:tr>
      <w:tr>
        <w:tc>
          <w:tcPr>
            <w:tcW w:type="dxa" w:w="4392"/>
          </w:tcPr>
          <w:p>
            <w:r>
              <w:rPr>
                <w:b/>
              </w:rPr>
              <w:t>Law As-Of Date</w:t>
            </w:r>
          </w:p>
        </w:tc>
        <w:tc>
          <w:tcPr>
            <w:tcW w:type="dxa" w:w="4392"/>
          </w:tcPr>
          <w:p>
            <w:r>
              <w:t>2024-12-31 (Snapshot S1)</w:t>
            </w:r>
          </w:p>
        </w:tc>
      </w:tr>
    </w:tbl>
    <w:p/>
    <w:p>
      <w:r>
        <w:rPr>
          <w:b/>
        </w:rPr>
        <w:t>Approved:</w:t>
      </w:r>
      <w:r>
        <w:t xml:space="preserve"> 2025-01-23 | </w:t>
      </w:r>
      <w:r>
        <w:rPr>
          <w:b/>
        </w:rPr>
        <w:t>Effective:</w:t>
      </w:r>
      <w:r>
        <w:t xml:space="preserve"> 2025-01-23</w:t>
      </w:r>
    </w:p>
    <w:p>
      <w:r>
        <w:rPr>
          <w:b/>
        </w:rPr>
        <w:t>Prepared by:</w:t>
      </w:r>
      <w:r>
        <w:t xml:space="preserve"> Jonathan Pierce, Senior Counsel Regulatory (P03)</w:t>
      </w:r>
    </w:p>
    <w:p>
      <w:r>
        <w:rPr>
          <w:b/>
        </w:rPr>
        <w:t>Reviewer:</w:t>
      </w:r>
      <w:r>
        <w:t xml:space="preserve"> Elena Vasquez, Manager Regulatory Affairs (P08)</w:t>
      </w:r>
    </w:p>
    <w:p>
      <w:r>
        <w:rPr>
          <w:b/>
        </w:rPr>
        <w:t>Approver:</w:t>
      </w:r>
      <w:r>
        <w:t xml:space="preserve"> Sandra Kim, Director Environmental Health &amp; Safety (P24)</w:t>
      </w:r>
    </w:p>
    <w:p>
      <w:r>
        <w:rPr>
          <w:b/>
        </w:rPr>
        <w:t>Owner Department:</w:t>
      </w:r>
      <w:r>
        <w:t xml:space="preserve"> Legal</w:t>
      </w:r>
    </w:p>
    <w:p>
      <w:r>
        <w:rPr>
          <w:b/>
        </w:rPr>
        <w:t>Supersedes:</w:t>
      </w:r>
      <w:r>
        <w:t xml:space="preserve"> RPL-LEG-RRS-001 v7.1 (2024-04-01)</w:t>
      </w:r>
    </w:p>
    <w:p>
      <w:r>
        <w:rPr>
          <w:b/>
        </w:rPr>
        <w:t>Law As-Of Date:</w:t>
      </w:r>
      <w:r>
        <w:t xml:space="preserve"> 2024-12-31 (Snapshot S1)</w:t>
      </w:r>
    </w:p>
    <w:p>
      <w:pPr>
        <w:pStyle w:val="Heading1"/>
      </w:pPr>
      <w:r>
        <w:t>Section 1 — Purpose</w:t>
      </w:r>
    </w:p>
    <w:p>
      <w:r>
        <w:rPr>
          <w:b/>
        </w:rPr>
        <w:t>1.1 Primary Purpose.</w:t>
      </w:r>
      <w:r>
        <w:t xml:space="preserve"> This Records Retention Schedule ("Schedule") establishes the authoritative policy of Rockridge Power &amp; Light Company ("RPL" or "Company") governing the creation, maintenance, retention, archiving, and lawful disposition of all Company records. The Schedule specifies minimum retention periods for each category of record series maintained by RPL, identifies the regulatory authority mandating each period, and assigns custodial accountability.</w:t>
      </w:r>
    </w:p>
    <w:p>
      <w:r>
        <w:rPr>
          <w:b/>
        </w:rPr>
        <w:t>1.2 Regulatory Compliance.</w:t>
      </w:r>
      <w:r>
        <w:t xml:space="preserve"> RPL operates as an investor-owned electric distribution utility under the jurisdiction of the Indiana Utility Regulatory Commission ("IURC"), with IURC Utility ID 99012. RPL is also subject to Federal Energy Regulatory Commission ("FERC") jurisdiction for its wholesale power purchase arrangements under the MISO tariff. This Schedule reflects the records preservation requirements of the Indiana Administrative Code (IAC), Indiana Code (IC), FERC regulations, EPA regulations, IOSHA requirements, and applicable federal tax law, all as in effect on the law-as-of date of 2024-12-31.</w:t>
      </w:r>
    </w:p>
    <w:p>
      <w:r>
        <w:rPr>
          <w:b/>
        </w:rPr>
        <w:t>1.3 Protection of Company and Customer Interests.</w:t>
      </w:r>
      <w:r>
        <w:t xml:space="preserve"> Beyond strict regulatory compliance, this Schedule protects RPL and its customers by ensuring that records necessary to defend litigation, support rate proceedings, demonstrate regulatory compliance, and reconstruct business transactions are available when needed. The Schedule applies the principle that records should be retained no longer than necessary to serve their legitimate business and legal purposes, thereby reducing storage costs, data privacy risk, and information management burden.</w:t>
      </w:r>
    </w:p>
    <w:p>
      <w:r>
        <w:rPr>
          <w:b/>
        </w:rPr>
        <w:t>1.4 Document Metadata.</w:t>
      </w:r>
      <w:r>
        <w:t xml:space="preserve"> This document is assigned document number RPL-LEG-RRS-001. Version 7.2 was prepared by Jonathan Pierce (P03, Senior Counsel Regulatory), reviewed by Elena Vasquez (P08, Manager Regulatory Affairs), and approved by Sandra Kim (P24, Director Environmental Health &amp; Safety) on 2025-01-23 with an effective date of 2025-01-23. The Schedule supersedes version 7.1, which was effective 2024-04-01. The full master retention schedule data file is maintained at `data/retention_schedule_2024-12-31.csv` in the document package.</w:t>
      </w:r>
    </w:p>
    <w:p>
      <w:pPr>
        <w:pStyle w:val="Heading1"/>
      </w:pPr>
      <w:r>
        <w:t>Section 2 — Scope</w:t>
      </w:r>
    </w:p>
    <w:p>
      <w:r>
        <w:rPr>
          <w:b/>
        </w:rPr>
        <w:t>2.1 Included Record Types.</w:t>
      </w:r>
      <w:r>
        <w:t xml:space="preserve"> This Schedule applies to all records, regardless of format or media, created or received by RPL employees, officers, or agents in the conduct of Company business. Covered record types include, but are not limited to: (a) customer service and billing records; (b) metering and measurement records; (c) distribution operations and outage records; (d) environmental compliance records; (e) safety and occupational health records; (f) financial and accounting records; (g) legal, regulatory, and tariff records; (h) human resources and payroll records; and (i) general corporate governance records.</w:t>
      </w:r>
    </w:p>
    <w:p>
      <w:r>
        <w:rPr>
          <w:b/>
        </w:rPr>
        <w:t>2.2 Media and Format.</w:t>
      </w:r>
      <w:r>
        <w:t xml:space="preserve"> The Schedule applies to records in all media and formats, including: paper documents; electronic files stored on Company servers, cloud platforms, workstations, or portable media; records stored in enterprise applications including the Customer Information System (CIS), Outage Management System (OMS), AMI Head-End System (AMI-HES), Geographic Information System (GIS), Work and Asset Management system (WAM), and EHS Incident Management System (EHS-IMS); email and other electronic communications; photographs, audio, and video recordings; drawings, maps, and survey documents; and any other medium that captures information about Company activities.</w:t>
      </w:r>
    </w:p>
    <w:p>
      <w:r>
        <w:rPr>
          <w:b/>
        </w:rPr>
        <w:t>2.3 Geographic Locations.</w:t>
      </w:r>
      <w:r>
        <w:t xml:space="preserve"> This Schedule applies to records at all RPL locations, including: RPL headquarters at 400 Wabash Commons Drive, Lafayette, IN 47901; the Lafayette Meter Shop and Standards Laboratory; the Distribution Control Center (Lafayette); and all field service centers at Crawfordsville (CRW), Terre Haute (THT), Frankfort (FRK), and Danville (DAN). Offsite storage locations under contract to RPL are also subject to this Schedule.</w:t>
      </w:r>
    </w:p>
    <w:p>
      <w:r>
        <w:rPr>
          <w:b/>
        </w:rPr>
        <w:t>2.4 Included Personnel and Third Parties.</w:t>
      </w:r>
      <w:r>
        <w:t xml:space="preserve"> This Schedule applies to all RPL employees, temporary workers, contractors, agents, and authorized users of RPL information systems who create, receive, or maintain Company records. Third-party service providers and contractors who handle RPL records are subject to Section 11 of this Schedule.</w:t>
      </w:r>
    </w:p>
    <w:p>
      <w:r>
        <w:rPr>
          <w:b/>
        </w:rPr>
        <w:t>2.5 Excluded Records.</w:t>
      </w:r>
      <w:r>
        <w:t xml:space="preserve"> The following are outside the scope of this Schedule: (a) publicly available information not created by RPL; (b) personal records of employees that are not connected with Company business; (c) duplicate convenience copies held only for reference purposes, provided that the record copy is maintained per this Schedule; and (d) transitory records with no continuing business or legal value (e.g., meeting logistics messages, informal drafts superseded before finalization), provided that any substantive content is captured in a retained record. Employees exercising judgment to discard transitory records must be certain no retention trigger applies before destruction.</w:t>
      </w:r>
    </w:p>
    <w:p>
      <w:r>
        <w:rPr>
          <w:b/>
        </w:rPr>
        <w:t>2.6 Relationship to Other Schedules.</w:t>
      </w:r>
      <w:r>
        <w:t xml:space="preserve"> 170 IAC 1-2-1 requires that public utilities operating at more than one location maintain separate tariff schedules for each location and service. Consistent with that requirement, this master Schedule is the consolidating document that encompasses all record series maintained at each RPL service center and operating location. Supplemental location-specific procedures may be maintained by operating department supervisors, provided they are consistent with and do not substitute for this Schedule.</w:t>
      </w:r>
    </w:p>
    <w:p>
      <w:pPr>
        <w:pStyle w:val="Heading1"/>
      </w:pPr>
      <w:r>
        <w:t>Section 3 — Definitions</w:t>
      </w:r>
    </w:p>
    <w:p>
      <w:r>
        <w:rPr>
          <w:b/>
        </w:rPr>
        <w:t>3.1 "Record"</w:t>
      </w:r>
      <w:r>
        <w:t xml:space="preserve"> means any document, data, or information, regardless of physical form or media, that is created, received, or maintained by RPL in the conduct of its business and that has ongoing operational, legal, regulatory, fiscal, or historical value. A record is distinguished from a non-record, which includes transitory drafts, duplicate reference copies, and personal materials unrelated to Company business.</w:t>
      </w:r>
    </w:p>
    <w:p>
      <w:r>
        <w:rPr>
          <w:b/>
        </w:rPr>
        <w:t>3.2 "Record Series"</w:t>
      </w:r>
      <w:r>
        <w:t xml:space="preserve"> means a group of records that (a) relate to a particular subject or function; (b) result from the same activity; (c) have the same format; or (d) are kept together because they document a unified transaction or business process. Each row in the master Schedule data file (`retention_schedule_2024-12-31.csv`) defines one record series.</w:t>
      </w:r>
    </w:p>
    <w:p>
      <w:r>
        <w:rPr>
          <w:b/>
        </w:rPr>
        <w:t>3.3 "Retention Period"</w:t>
      </w:r>
      <w:r>
        <w:t xml:space="preserve"> means the minimum length of time that a record series must be maintained before it may be considered eligible for disposition, measured from the applicable trigger event. Retention periods in this Schedule represent legally required minimums plus any additional periods mandated by company practice; records may be retained longer than the minimum period when business need warrants.</w:t>
      </w:r>
    </w:p>
    <w:p>
      <w:r>
        <w:rPr>
          <w:b/>
        </w:rPr>
        <w:t>3.4 "Trigger Event"</w:t>
      </w:r>
      <w:r>
        <w:t xml:space="preserve"> means the event that starts the clock for the retention period, such as the date a record was created, the date of a transaction, the date a contract expired, the date of an employee's separation, or the date an account was closed. Trigger events are specified in the individual record series descriptions in the master Schedule.</w:t>
      </w:r>
    </w:p>
    <w:p>
      <w:r>
        <w:rPr>
          <w:b/>
        </w:rPr>
        <w:t>3.5 "Disposition"</w:t>
      </w:r>
      <w:r>
        <w:t xml:space="preserve"> means the action taken with a record at the end of its retention period. Approved disposition actions under this Schedule are: (a) secure destruction; (b) secure deletion of electronic records; (c) transfer to archival storage; and (d) transfer to the IURC or another regulatory body as directed by law. "Disposition" does not include routine deletion without authorization.</w:t>
      </w:r>
    </w:p>
    <w:p>
      <w:r>
        <w:rPr>
          <w:b/>
        </w:rPr>
        <w:t>3.6 "Active Record"</w:t>
      </w:r>
      <w:r>
        <w:t xml:space="preserve"> means a record that is regularly referenced in the conduct of current business operations. Active records are typically maintained in the originating department's primary filing systems or enterprise applications.</w:t>
      </w:r>
    </w:p>
    <w:p>
      <w:r>
        <w:rPr>
          <w:b/>
        </w:rPr>
        <w:t>3.7 "Inactive Record"</w:t>
      </w:r>
      <w:r>
        <w:t xml:space="preserve"> means a record that is no longer regularly referenced but that has not yet reached the end of its retention period. Inactive records may be transferred to lower-cost storage, either on-site or off-site, pending expiration of the retention period.</w:t>
      </w:r>
    </w:p>
    <w:p>
      <w:r>
        <w:rPr>
          <w:b/>
        </w:rPr>
        <w:t>3.8 "Archival Record"</w:t>
      </w:r>
      <w:r>
        <w:t xml:space="preserve"> means a record that has reached the end of its retention period but has been selected for permanent preservation due to its historical, legal, or institutional significance. Archival records are not subject to routine destruction and require special preservation conditions.</w:t>
      </w:r>
    </w:p>
    <w:p>
      <w:r>
        <w:rPr>
          <w:b/>
        </w:rPr>
        <w:t>3.9 "Vital Record"</w:t>
      </w:r>
      <w:r>
        <w:t xml:space="preserve"> means a record that is essential to RPL's ability to resume critical operations following a disaster, protect the legal and financial rights of RPL, its shareholders, and its customers, or fulfill regulatory obligations. Vital records are identified in the `vital_record` column of the master Schedule and are subject to the enhanced protection requirements of Section 7.</w:t>
      </w:r>
    </w:p>
    <w:p>
      <w:r>
        <w:rPr>
          <w:b/>
        </w:rPr>
        <w:t>3.10 "Legal Hold"</w:t>
      </w:r>
      <w:r>
        <w:t xml:space="preserve"> (also called a "litigation hold" or "preservation notice") means a directive issued by the Legal department requiring that destruction of identified records be suspended when litigation, regulatory investigation, audit, or other legal proceeding is reasonably anticipated or pending. Legal holds override retention schedule disposition until the Legal department issues a release.</w:t>
      </w:r>
    </w:p>
    <w:p>
      <w:r>
        <w:rPr>
          <w:b/>
        </w:rPr>
        <w:t>3.11 "Destruction"</w:t>
      </w:r>
      <w:r>
        <w:t xml:space="preserve"> means the permanent, irreversible elimination of records such that they cannot be reconstructed. Approved destruction methods include: cross-cut or micro-cut shredding for paper records; degaussing, cryptographic erasure, or physical destruction of storage media; and certified deletion using approved software tools for electronic records.</w:t>
      </w:r>
    </w:p>
    <w:p>
      <w:r>
        <w:rPr>
          <w:b/>
        </w:rPr>
        <w:t>3.12 "Secure Destruction"</w:t>
      </w:r>
      <w:r>
        <w:t xml:space="preserve"> means destruction of records containing confidential, proprietary, or personally identifiable information using methods that prevent unauthorized access during and after the destruction process.</w:t>
      </w:r>
    </w:p>
    <w:p>
      <w:r>
        <w:rPr>
          <w:b/>
        </w:rPr>
        <w:t>3.13 "Company Practice"</w:t>
      </w:r>
      <w:r>
        <w:t xml:space="preserve"> means a retention period that exceeds a regulatory minimum and is adopted by RPL for documented business reasons, including protection against litigation, alignment with related record series, or administrative efficiency. Where this Schedule labels a retention basis as "company practice," no specific regulation mandates that exact period, and RPL has adopted it by policy.</w:t>
      </w:r>
    </w:p>
    <w:p>
      <w:r>
        <w:rPr>
          <w:b/>
        </w:rPr>
        <w:t>3.14 "Regulatory Authority"</w:t>
      </w:r>
      <w:r>
        <w:t xml:space="preserve"> means the agency or body whose statute or regulation mandates a minimum retention period for a record series. As used in this Schedule, the primary regulatory authorities are: (a) IURC (Indiana Utility Regulatory Commission); (b) FERC (Federal Energy Regulatory Commission); (c) EPA (U.S. Environmental Protection Agency); (d) IDEM (Indiana Department of Environmental Management); (e) IOSHA (Indiana Occupational Safety and Health Administration, which enforces federal OSHA standards); (f) IRS (Internal Revenue Service); and (g) Indiana Department of Revenue.</w:t>
      </w:r>
    </w:p>
    <w:p>
      <w:r>
        <w:rPr>
          <w:b/>
        </w:rPr>
        <w:t>3.15 "Record Copy"</w:t>
      </w:r>
      <w:r>
        <w:t xml:space="preserve"> means the single official copy of a record designated for retention per this Schedule. Where multiple copies of a record exist, only the record copy must be retained for the full retention period; other copies are non-records after the record copy is identified.</w:t>
      </w:r>
    </w:p>
    <w:p>
      <w:r>
        <w:rPr>
          <w:b/>
        </w:rPr>
        <w:t>3.16 "Owner Department"</w:t>
      </w:r>
      <w:r>
        <w:t xml:space="preserve"> means the RPL organizational unit primarily responsible for maintaining a record series and ensuring compliance with its retention requirements. Owner departments are identified in the master Schedule.</w:t>
      </w:r>
    </w:p>
    <w:p>
      <w:r>
        <w:rPr>
          <w:b/>
        </w:rPr>
        <w:t>3.17 "Off-Site Storage"</w:t>
      </w:r>
      <w:r>
        <w:t xml:space="preserve"> means a secondary facility, whether operated by RPL or a third-party vendor, used to house inactive records that are not regularly accessed but must be retained per this Schedule.</w:t>
      </w:r>
    </w:p>
    <w:p>
      <w:r>
        <w:rPr>
          <w:b/>
        </w:rPr>
        <w:t>3.18 "Records and Information Manager"</w:t>
      </w:r>
      <w:r>
        <w:t xml:space="preserve"> means the RPL employee designated by the VP &amp; General Counsel to administer this Schedule, coordinate legal holds, oversee disposition, and maintain training programs. The current Records and Information Manager is Linda Nguyen (P12).</w:t>
      </w:r>
    </w:p>
    <w:p>
      <w:pPr>
        <w:pStyle w:val="Heading1"/>
      </w:pPr>
      <w:r>
        <w:t>Section 4 — Regulatory Framework</w:t>
      </w:r>
    </w:p>
    <w:p>
      <w:r>
        <w:rPr>
          <w:b/>
        </w:rPr>
        <w:t>4.1 Indiana Utility Regulatory Commission (IURC).</w:t>
      </w:r>
      <w:r>
        <w:t xml:space="preserve"> The IURC exercises jurisdiction over RPL under IC 8-1-2 and is RPL's primary state regulator. The following IURC administrative code provisions directly govern record-keeping and retention:</w:t>
      </w:r>
    </w:p>
    <w:p>
      <w:pPr>
        <w:pStyle w:val="ListBullet"/>
      </w:pPr>
      <w:r>
        <w:t>(a) **170 IAC 4-1-3 (Retention of Records):** All records required by 170 IAC 4 (Electric Service Rules) "shall be preserved for at least three years except as otherwise provided herein or by IC 8-1-2-40." This three-year minimum applies to general utility operations records, meter test records, outage records, voltage survey records, and customer-related records not otherwise covered by a longer period. The three-year period is reflected as the minimum floor for all IURC-governed record series in this Schedule.</w:t>
      </w:r>
    </w:p>
    <w:p>
      <w:pPr>
        <w:pStyle w:val="ListBullet"/>
      </w:pPr>
      <w:r>
        <w:t>(b) **170 IAC 4-1-4 (Meter Records):** Requires that permanent records be maintained for each meter owned or used by RPL, showing: the year of purchase; the meter's identification; and the record of the last test. These permanent records form record series RRS-MTR-001 and RRS-MTR-008 in this Schedule.</w:t>
      </w:r>
    </w:p>
    <w:p>
      <w:pPr>
        <w:pStyle w:val="ListBullet"/>
      </w:pPr>
      <w:r>
        <w:t>(c) **170 IAC 16-1-4(b) (Customer Dispute Records):** Requires that RPL "retain records of disputes received under this rule and the resolutions thereof for a period of six (6) months from the date of final resolution of the dispute." This period governs RRS-CS-003. RPL's company practice extends retention for IURC-escalated complaints to three years (RRS-CS-004).</w:t>
      </w:r>
    </w:p>
    <w:p>
      <w:pPr>
        <w:pStyle w:val="ListBullet"/>
      </w:pPr>
      <w:r>
        <w:t>(d) **170 IAC 4-1-23 (Service Interruption Records):** Requires records of service interruptions including timing, cause, and duration. These records support SAIDI/SAIFI reliability reporting and are retained per RRS-DO-001 and RRS-DO-002.</w:t>
      </w:r>
    </w:p>
    <w:p>
      <w:pPr>
        <w:pStyle w:val="ListBullet"/>
      </w:pPr>
      <w:r>
        <w:t>(e) **170 IAC 4-9 (Vegetation Management):** Requires records of customer notices, dispute resolution steps, and vegetation management activities (RRS-DO-005, RRS-DO-006).</w:t>
      </w:r>
    </w:p>
    <w:p>
      <w:r>
        <w:t>(f) **IC 8-1-2-40:** Grants the IURC authority to inspect RPL's books, accounts, papers, and records at any time. This provision reinforces the need to maintain all regulatory records in accessible form throughout the applicable retention period and is a foundational authority for this Schedule.</w:t>
      </w:r>
    </w:p>
    <w:p>
      <w:r>
        <w:rPr>
          <w:b/>
        </w:rPr>
        <w:t>4.2 Federal Energy Regulatory Commission (FERC).</w:t>
      </w:r>
      <w:r>
        <w:t xml:space="preserve"> RPL's wholesale electricity purchases are subject to FERC jurisdiction under its MISO membership and full-requirements supply arrangement. FERC retention requirements applicable to RPL include:</w:t>
      </w:r>
    </w:p>
    <w:p>
      <w:pPr>
        <w:pStyle w:val="ListBullet"/>
      </w:pPr>
      <w:r>
        <w:t>(a) **18 CFR Part 125 (FERC USOA Records Retention):** Establishes retention periods for records maintained under the Uniform System of Accounts for Electric Plant, including general ledger records (not less than 10 years), plant accounts (life of plant plus specified years), fuel records (7 years), and purchased power records.</w:t>
      </w:r>
    </w:p>
    <w:p>
      <w:pPr>
        <w:pStyle w:val="ListBullet"/>
      </w:pPr>
      <w:r>
        <w:t>(b) **18 CFR 35.19a:** Governs retention of FERC tariff filings and Electric Quarterly Reports (EQR). RPL retains FERC filings per RRS-LEG-009.</w:t>
      </w:r>
    </w:p>
    <w:p>
      <w:pPr>
        <w:pStyle w:val="ListBullet"/>
      </w:pPr>
      <w:r>
        <w:t>(c) **FERC USOA Plant Accounts (18 CFR Part 101):** Fixed asset records under FERC accounting must be maintained permanently while the asset is in service, and for a specified period following retirement. See RRS-FIN-006.</w:t>
      </w:r>
    </w:p>
    <w:p>
      <w:r>
        <w:rPr>
          <w:b/>
        </w:rPr>
        <w:t>4.3 Environmental Regulations (EPA and IDEM).</w:t>
      </w:r>
      <w:r>
        <w:t xml:space="preserve"> RPL operates equipment and facilities subject to federal and state environmental regulations:</w:t>
      </w:r>
    </w:p>
    <w:p>
      <w:pPr>
        <w:pStyle w:val="ListBullet"/>
      </w:pPr>
      <w:r>
        <w:t>(a) **40 CFR Part 112 (SPCC):** Requires maintenance of Spill Prevention, Control, and Countermeasure plans and inspection records. RPL's 41 oil-filled substations and five service centers with aboveground fuel storage are covered. Inspection logs retained 3 years; SPCC plans retained permanently while facilities are in operation. See RRS-ENV-001.</w:t>
      </w:r>
    </w:p>
    <w:p>
      <w:pPr>
        <w:pStyle w:val="ListBullet"/>
      </w:pPr>
      <w:r>
        <w:t>(b) **40 CFR Part 761 (TSCA/PCBs):** Requires retention of PCB equipment inspection records for 3 years, and disposal manifests/certificates of disposal for 25 years per 40 CFR 761.180(b)(1). See RRS-ENV-003 and RRS-ENV-004.</w:t>
      </w:r>
    </w:p>
    <w:p>
      <w:pPr>
        <w:pStyle w:val="ListBullet"/>
      </w:pPr>
      <w:r>
        <w:t>(c) **40 CFR Part 262 (Hazardous Waste):** Requires hazardous waste manifests and tracking records to be maintained for 3 years per 40 CFR 262.40. See RRS-ENV-005.</w:t>
      </w:r>
    </w:p>
    <w:p>
      <w:pPr>
        <w:pStyle w:val="ListBullet"/>
      </w:pPr>
      <w:r>
        <w:t>(d) **40 CFR Part 122 / 327 IAC 15 (Stormwater):** Stormwater Pollution Prevention Plans and monitoring records retained for the life of the permit plus 3 years. See RRS-ENV-006 and RRS-ENV-007.</w:t>
      </w:r>
    </w:p>
    <w:p>
      <w:pPr>
        <w:pStyle w:val="ListBullet"/>
      </w:pPr>
      <w:r>
        <w:t>(e) **329 IAC 9 / 40 CFR 280 (Underground/Aboveground Storage Tanks):** UST and aboveground storage tank records retained for the life of the tank plus 10 years. See RRS-ENV-008.</w:t>
      </w:r>
    </w:p>
    <w:p>
      <w:r>
        <w:rPr>
          <w:b/>
        </w:rPr>
        <w:t>4.4 Occupational Safety and Health (IOSHA).</w:t>
      </w:r>
      <w:r>
        <w:t xml:space="preserve"> Indiana's occupational safety program is administered by IOSHA, which enforces federal OSHA standards. Applicable retention requirements include:</w:t>
      </w:r>
    </w:p>
    <w:p>
      <w:pPr>
        <w:pStyle w:val="ListBullet"/>
      </w:pPr>
      <w:r>
        <w:t>(a) **29 CFR 1904.33 (OSHA 300 Logs):** OSHA 300 logs, 300A annual summaries, and 301 incident investigation reports must be retained for 5 years from the end of the calendar year to which they relate. See RRS-SAF-001 and RRS-SAF-002.</w:t>
      </w:r>
    </w:p>
    <w:p>
      <w:pPr>
        <w:pStyle w:val="ListBullet"/>
      </w:pPr>
      <w:r>
        <w:t>(b) **29 CFR 1910.1020 (Medical Records Access):** Employee medical records must be retained for the duration of employment plus 30 years; employee exposure records (air sampling, noise monitoring) must be retained for 30 years. See RRS-SAF-003 and RRS-SAF-004.</w:t>
      </w:r>
    </w:p>
    <w:p>
      <w:pPr>
        <w:pStyle w:val="ListBullet"/>
      </w:pPr>
      <w:r>
        <w:t>(c) **29 CFR 1910.146(e)(6) (Confined Space Permits):** Completed confined space entry permits must be retained for at least 1 year. See RRS-SAF-007.</w:t>
      </w:r>
    </w:p>
    <w:p>
      <w:pPr>
        <w:pStyle w:val="ListBullet"/>
      </w:pPr>
      <w:r>
        <w:t>(d) **29 CFR 1910.332 (Electrical Safety Training):** Training records for employees exposed to electrical hazards. See RRS-SAF-005.</w:t>
      </w:r>
    </w:p>
    <w:p>
      <w:r>
        <w:rPr>
          <w:b/>
        </w:rPr>
        <w:t>4.5 Tax and Financial Reporting.</w:t>
      </w:r>
      <w:r>
        <w:t xml:space="preserve"> RPL maintains records required for federal and state tax compliance:</w:t>
      </w:r>
    </w:p>
    <w:p>
      <w:pPr>
        <w:pStyle w:val="ListBullet"/>
      </w:pPr>
      <w:r>
        <w:t>(a) **26 USC 6501 / 26 USC 6511:** The federal statute of limitations for assessment of income tax is generally three years, but extends to six years for substantial understatement of income and to an unlimited period for fraudulent returns. RPL's company practice is to retain all tax records for seven years to ensure protection through the longest practically applicable limitations period.</w:t>
      </w:r>
    </w:p>
    <w:p>
      <w:pPr>
        <w:pStyle w:val="ListBullet"/>
      </w:pPr>
      <w:r>
        <w:t>(b) **IC 6-8.1-5-2:** Indiana's statute of limitations for state tax assessments similarly supports a seven-year retention period for state tax filings and supporting workpapers.</w:t>
      </w:r>
    </w:p>
    <w:p>
      <w:pPr>
        <w:pStyle w:val="ListBullet"/>
      </w:pPr>
      <w:r>
        <w:t>(c) **IC 6-3-4-8 / IC 22-2-9-4:** Indiana withholding and payroll tax requirements. See RRS-HR-003.</w:t>
      </w:r>
    </w:p>
    <w:p>
      <w:r>
        <w:rPr>
          <w:b/>
        </w:rPr>
        <w:t>4.6 Corporate and Entity Records.</w:t>
      </w:r>
      <w:r>
        <w:t xml:space="preserve"> Indiana corporate law and general business practice govern the following:</w:t>
      </w:r>
    </w:p>
    <w:p>
      <w:pPr>
        <w:pStyle w:val="ListBullet"/>
      </w:pPr>
      <w:r>
        <w:t>(a) **IC 23-1-52-1:** Indiana Business Corporation Law requires that minutes of shareholder and board meetings be retained for at least three years. RPL's company practice is to retain corporate minutes permanently.</w:t>
      </w:r>
    </w:p>
    <w:p>
      <w:pPr>
        <w:pStyle w:val="ListBullet"/>
      </w:pPr>
      <w:r>
        <w:t>(b) **IC 8-1-2-86:** Governs franchise agreements and certificates of territorial authority for Indiana electric utilities. These are vital records retained permanently.</w:t>
      </w:r>
    </w:p>
    <w:p>
      <w:pPr>
        <w:pStyle w:val="ListBullet"/>
      </w:pPr>
      <w:r>
        <w:t>(c) **IC 24-4.9:** Indiana breach of security notification law requires notice to affected Indiana residents following a breach of personal information. RPL retains breach notification and cybersecurity incident records for seven years under RRS-GEN-007.</w:t>
      </w:r>
    </w:p>
    <w:p>
      <w:pPr>
        <w:pStyle w:val="ListBullet"/>
      </w:pPr>
      <w:r>
        <w:t>(d) **29 USC 1059 (ERISA):** Requires that records related to employee benefit plans be retained for not less than six years after the filing date of the documents. See RRS-HR-004.</w:t>
      </w:r>
    </w:p>
    <w:p>
      <w:pPr>
        <w:pStyle w:val="Heading1"/>
      </w:pPr>
      <w:r>
        <w:t>Section 5 — Retention Principles</w:t>
      </w:r>
    </w:p>
    <w:p>
      <w:r>
        <w:rPr>
          <w:b/>
        </w:rPr>
        <w:t>5.1 Trigger Event Rule.</w:t>
      </w:r>
      <w:r>
        <w:t xml:space="preserve"> The retention period for each record series begins from the trigger event specified in this Schedule, not from the date the record was created (unless those are the same). Common trigger events and their application are:</w:t>
      </w:r>
    </w:p>
    <w:p>
      <w:pPr>
        <w:pStyle w:val="ListBullet"/>
      </w:pPr>
      <w:r>
        <w:t>(a) *Date of creation or receipt:* For most correspondence, reports, and general records where the record documents a completed transaction or event.</w:t>
      </w:r>
    </w:p>
    <w:p>
      <w:pPr>
        <w:pStyle w:val="ListBullet"/>
      </w:pPr>
      <w:r>
        <w:t>(b) *End of fiscal or calendar year:* For annual reports, OSHA 300 logs, and records that accumulate over a year.</w:t>
      </w:r>
    </w:p>
    <w:p>
      <w:pPr>
        <w:pStyle w:val="ListBullet"/>
      </w:pPr>
      <w:r>
        <w:t>(c) *Expiration or termination of the relationship:* For contracts, employment records, and customer account records, where the retention period is measured from the date the contract expired, the employee separated, or the account closed.</w:t>
      </w:r>
    </w:p>
    <w:p>
      <w:pPr>
        <w:pStyle w:val="ListBullet"/>
      </w:pPr>
      <w:r>
        <w:t>(d) *Date of final resolution:* For litigation files, IURC proceedings, and dispute records, where the record's legal significance persists through the resolution and any appeal period.</w:t>
      </w:r>
    </w:p>
    <w:p>
      <w:pPr>
        <w:pStyle w:val="ListBullet"/>
      </w:pPr>
      <w:r>
        <w:t>(e) *Date of final regulatory order:* For rate case and regulatory proceeding records, measured from the date the IURC or FERC order becomes final and non-appealable.</w:t>
      </w:r>
    </w:p>
    <w:p>
      <w:r>
        <w:rPr>
          <w:b/>
        </w:rPr>
        <w:t>5.2 Counting the Period.</w:t>
      </w:r>
      <w:r>
        <w:t xml:space="preserve"> Retention periods are counted in whole years from the trigger event unless the applicable regulation specifies otherwise. A record with a seven-year retention period and a trigger date of January 15, 2020 may not be destroyed before January 16, 2027. For records with trigger events within a calendar year, RPL applies the convention that the period begins at the end of the calendar year in which the trigger occurred, unless the regulation specifies the trigger date itself.</w:t>
      </w:r>
    </w:p>
    <w:p>
      <w:r>
        <w:rPr>
          <w:b/>
        </w:rPr>
        <w:t>5.3 Dual-Requirement Rule.</w:t>
      </w:r>
      <w:r>
        <w:t xml:space="preserve"> Where a record series is subject to two or more regulatory requirements with different retention periods, the longer period governs. No record may be destroyed before the expiration of the longest applicable retention requirement. Where it is unclear which period applies, the Records and Information Manager shall make a written determination, which shall be noted in the master Schedule.</w:t>
      </w:r>
    </w:p>
    <w:p>
      <w:r>
        <w:rPr>
          <w:b/>
        </w:rPr>
        <w:t>5.4 Litigation Hold Prohibition.</w:t>
      </w:r>
      <w:r>
        <w:t xml:space="preserve"> A record subject to a legal hold issued under Section 8 of this Schedule may not be destroyed, altered, or transferred regardless of whether its retention period has expired. Records under legal hold must be preserved in their original format until the Legal department issues a written release. The expiration of a retention period does not override an active legal hold.</w:t>
      </w:r>
    </w:p>
    <w:p>
      <w:r>
        <w:rPr>
          <w:b/>
        </w:rPr>
        <w:t>5.5 Regulatory Investigation and Audit Hold.</w:t>
      </w:r>
      <w:r>
        <w:t xml:space="preserve"> Records that are the subject of a pending or reasonably anticipated regulatory investigation, audit, examination, or data request may not be destroyed until the matter is fully resolved and the Legal department confirms in writing that no further preservation is required.</w:t>
      </w:r>
    </w:p>
    <w:p>
      <w:r>
        <w:rPr>
          <w:b/>
        </w:rPr>
        <w:t>5.6 Destruction Prohibition Period.</w:t>
      </w:r>
      <w:r>
        <w:t xml:space="preserve"> Absent a legal hold, a record series may not be destroyed until it has reached the end of its retention period and a destruction authorization has been obtained under Section 9. Early destruction of records, even of records that appear to have no further value, is prohibited without authorization. Deliberate early destruction of records known to be relevant to pending legal proceedings or investigations may constitute obstruction and exposes RPL and responsible employees to legal liability.</w:t>
      </w:r>
    </w:p>
    <w:p>
      <w:r>
        <w:rPr>
          <w:b/>
        </w:rPr>
        <w:t>5.7 Company Practice Periods.</w:t>
      </w:r>
      <w:r>
        <w:t xml:space="preserve"> Where a retention period in this Schedule is labeled "company practice," it represents an RPL policy decision to retain records for a period that exceeds the applicable regulatory minimum (or for which no regulatory minimum exists). Company practice periods are binding on all employees and may not be shortened without amendment to this Schedule by the Legal department.</w:t>
      </w:r>
    </w:p>
    <w:p>
      <w:r>
        <w:rPr>
          <w:b/>
        </w:rPr>
        <w:t>5.8 Permanent Retention.</w:t>
      </w:r>
      <w:r>
        <w:t xml:space="preserve"> Records designated "permanent" in this Schedule are not subject to routine destruction review. They shall be transferred to archival storage following the active and inactive phases and maintained indefinitely. The Legal department shall review all permanent designations as part of each full revision of this Schedule.</w:t>
      </w:r>
    </w:p>
    <w:p>
      <w:r>
        <w:rPr>
          <w:b/>
        </w:rPr>
        <w:t>5.9 Electronic Records Equivalence.</w:t>
      </w:r>
      <w:r>
        <w:t xml:space="preserve"> An electronic record that faithfully captures the information content and context of a paper record is the legal equivalent of the paper original for retention purposes, provided it is maintained in a format that: (a) can be reproduced in legible, usable form throughout the retention period; (b) has not been improperly altered; and (c) is accessible and retrievable on reasonable notice. Migrating records from one electronic system to another does not restart the retention clock; the trigger event date of the original record governs.</w:t>
      </w:r>
    </w:p>
    <w:p>
      <w:r>
        <w:rPr>
          <w:b/>
        </w:rPr>
        <w:t>5.10 System Decommissioning.</w:t>
      </w:r>
      <w:r>
        <w:t xml:space="preserve"> When an enterprise application that holds records subject to this Schedule is decommissioned, the IT department and the Records and Information Manager shall coordinate to export and archive affected records before the system is shut down. Records may not be allowed to expire due to system decommissioning without explicit disposition authorization.</w:t>
      </w:r>
    </w:p>
    <w:p>
      <w:pPr>
        <w:pStyle w:val="Heading1"/>
      </w:pPr>
      <w:r>
        <w:t>Section 6 — Record Series Summary Table</w:t>
      </w:r>
    </w:p>
    <w:p>
      <w:r>
        <w:rPr>
          <w:b/>
        </w:rPr>
        <w:t>6.1 Master Schedule.</w:t>
      </w:r>
      <w:r>
        <w:t xml:space="preserve"> The complete master retention schedule is maintained in the data file `data/retention_schedule_2024-12-31.csv` in this document package, which contains 86 record series with retention periods, regulatory bases, vital record designations, and disposition methods. The full schedule is also reproduced in spreadsheet form in `render/RPL-LEG-RRS-001_retention_schedule.xlsx`.</w:t>
      </w:r>
    </w:p>
    <w:p>
      <w:r>
        <w:rPr>
          <w:b/>
        </w:rPr>
        <w:t>6.2 Top Record Series by Category.</w:t>
      </w:r>
      <w:r>
        <w:t xml:space="preserve"> The following table summarizes the major record categories and their governing regulatory authority. See Appendix A for the top 30 series ranked by regulatory retention period.</w:t>
      </w:r>
    </w:p>
    <w:tbl>
      <w:tblPr>
        <w:tblStyle w:val="TableGrid"/>
        <w:tblW w:type="auto" w:w="0"/>
        <w:tblLook w:firstColumn="1" w:firstRow="1" w:lastColumn="0" w:lastRow="0" w:noHBand="0" w:noVBand="1" w:val="04A0"/>
      </w:tblPr>
      <w:tblGrid>
        <w:gridCol w:w="2196"/>
        <w:gridCol w:w="2196"/>
        <w:gridCol w:w="2196"/>
        <w:gridCol w:w="2196"/>
      </w:tblGrid>
      <w:tr>
        <w:tc>
          <w:tcPr>
            <w:tcW w:type="dxa" w:w="2196"/>
          </w:tcPr>
          <w:p>
            <w:r>
              <w:rPr>
                <w:b/>
              </w:rPr>
              <w:t>Category</w:t>
            </w:r>
          </w:p>
        </w:tc>
        <w:tc>
          <w:tcPr>
            <w:tcW w:type="dxa" w:w="2196"/>
          </w:tcPr>
          <w:p>
            <w:r>
              <w:rPr>
                <w:b/>
              </w:rPr>
              <w:t>Series Range</w:t>
            </w:r>
          </w:p>
        </w:tc>
        <w:tc>
          <w:tcPr>
            <w:tcW w:type="dxa" w:w="2196"/>
          </w:tcPr>
          <w:p>
            <w:r>
              <w:rPr>
                <w:b/>
              </w:rPr>
              <w:t>Count</w:t>
            </w:r>
          </w:p>
        </w:tc>
        <w:tc>
          <w:tcPr>
            <w:tcW w:type="dxa" w:w="2196"/>
          </w:tcPr>
          <w:p>
            <w:r>
              <w:rPr>
                <w:b/>
              </w:rPr>
              <w:t>Governing Authorities</w:t>
            </w:r>
          </w:p>
        </w:tc>
      </w:tr>
      <w:tr>
        <w:tc>
          <w:tcPr>
            <w:tcW w:type="dxa" w:w="2196"/>
          </w:tcPr>
          <w:p>
            <w:r>
              <w:t>Customer Service</w:t>
            </w:r>
          </w:p>
        </w:tc>
        <w:tc>
          <w:tcPr>
            <w:tcW w:type="dxa" w:w="2196"/>
          </w:tcPr>
          <w:p>
            <w:r>
              <w:t>RRS-CS-001 – RRS-CS-010</w:t>
            </w:r>
          </w:p>
        </w:tc>
        <w:tc>
          <w:tcPr>
            <w:tcW w:type="dxa" w:w="2196"/>
          </w:tcPr>
          <w:p>
            <w:r>
              <w:t>10</w:t>
            </w:r>
          </w:p>
        </w:tc>
        <w:tc>
          <w:tcPr>
            <w:tcW w:type="dxa" w:w="2196"/>
          </w:tcPr>
          <w:p>
            <w:r>
              <w:t>IURC, company practice</w:t>
            </w:r>
          </w:p>
        </w:tc>
      </w:tr>
      <w:tr>
        <w:tc>
          <w:tcPr>
            <w:tcW w:type="dxa" w:w="2196"/>
          </w:tcPr>
          <w:p>
            <w:r>
              <w:t>Metering</w:t>
            </w:r>
          </w:p>
        </w:tc>
        <w:tc>
          <w:tcPr>
            <w:tcW w:type="dxa" w:w="2196"/>
          </w:tcPr>
          <w:p>
            <w:r>
              <w:t>RRS-MTR-001 – RRS-MTR-008</w:t>
            </w:r>
          </w:p>
        </w:tc>
        <w:tc>
          <w:tcPr>
            <w:tcW w:type="dxa" w:w="2196"/>
          </w:tcPr>
          <w:p>
            <w:r>
              <w:t>8</w:t>
            </w:r>
          </w:p>
        </w:tc>
        <w:tc>
          <w:tcPr>
            <w:tcW w:type="dxa" w:w="2196"/>
          </w:tcPr>
          <w:p>
            <w:r>
              <w:t>IURC</w:t>
            </w:r>
          </w:p>
        </w:tc>
      </w:tr>
      <w:tr>
        <w:tc>
          <w:tcPr>
            <w:tcW w:type="dxa" w:w="2196"/>
          </w:tcPr>
          <w:p>
            <w:r>
              <w:t>Distribution Operations</w:t>
            </w:r>
          </w:p>
        </w:tc>
        <w:tc>
          <w:tcPr>
            <w:tcW w:type="dxa" w:w="2196"/>
          </w:tcPr>
          <w:p>
            <w:r>
              <w:t>RRS-DO-001 – RRS-DO-010</w:t>
            </w:r>
          </w:p>
        </w:tc>
        <w:tc>
          <w:tcPr>
            <w:tcW w:type="dxa" w:w="2196"/>
          </w:tcPr>
          <w:p>
            <w:r>
              <w:t>10</w:t>
            </w:r>
          </w:p>
        </w:tc>
        <w:tc>
          <w:tcPr>
            <w:tcW w:type="dxa" w:w="2196"/>
          </w:tcPr>
          <w:p>
            <w:r>
              <w:t>IURC, company practice</w:t>
            </w:r>
          </w:p>
        </w:tc>
      </w:tr>
      <w:tr>
        <w:tc>
          <w:tcPr>
            <w:tcW w:type="dxa" w:w="2196"/>
          </w:tcPr>
          <w:p>
            <w:r>
              <w:t>Environmental</w:t>
            </w:r>
          </w:p>
        </w:tc>
        <w:tc>
          <w:tcPr>
            <w:tcW w:type="dxa" w:w="2196"/>
          </w:tcPr>
          <w:p>
            <w:r>
              <w:t>RRS-ENV-001 – RRS-ENV-008</w:t>
            </w:r>
          </w:p>
        </w:tc>
        <w:tc>
          <w:tcPr>
            <w:tcW w:type="dxa" w:w="2196"/>
          </w:tcPr>
          <w:p>
            <w:r>
              <w:t>8</w:t>
            </w:r>
          </w:p>
        </w:tc>
        <w:tc>
          <w:tcPr>
            <w:tcW w:type="dxa" w:w="2196"/>
          </w:tcPr>
          <w:p>
            <w:r>
              <w:t>EPA, IDEM</w:t>
            </w:r>
          </w:p>
        </w:tc>
      </w:tr>
      <w:tr>
        <w:tc>
          <w:tcPr>
            <w:tcW w:type="dxa" w:w="2196"/>
          </w:tcPr>
          <w:p>
            <w:r>
              <w:t>Safety</w:t>
            </w:r>
          </w:p>
        </w:tc>
        <w:tc>
          <w:tcPr>
            <w:tcW w:type="dxa" w:w="2196"/>
          </w:tcPr>
          <w:p>
            <w:r>
              <w:t>RRS-SAF-001 – RRS-SAF-010</w:t>
            </w:r>
          </w:p>
        </w:tc>
        <w:tc>
          <w:tcPr>
            <w:tcW w:type="dxa" w:w="2196"/>
          </w:tcPr>
          <w:p>
            <w:r>
              <w:t>10</w:t>
            </w:r>
          </w:p>
        </w:tc>
        <w:tc>
          <w:tcPr>
            <w:tcW w:type="dxa" w:w="2196"/>
          </w:tcPr>
          <w:p>
            <w:r>
              <w:t>IOSHA</w:t>
            </w:r>
          </w:p>
        </w:tc>
      </w:tr>
      <w:tr>
        <w:tc>
          <w:tcPr>
            <w:tcW w:type="dxa" w:w="2196"/>
          </w:tcPr>
          <w:p>
            <w:r>
              <w:t>Financial</w:t>
            </w:r>
          </w:p>
        </w:tc>
        <w:tc>
          <w:tcPr>
            <w:tcW w:type="dxa" w:w="2196"/>
          </w:tcPr>
          <w:p>
            <w:r>
              <w:t>RRS-FIN-001 – RRS-FIN-011</w:t>
            </w:r>
          </w:p>
        </w:tc>
        <w:tc>
          <w:tcPr>
            <w:tcW w:type="dxa" w:w="2196"/>
          </w:tcPr>
          <w:p>
            <w:r>
              <w:t>11</w:t>
            </w:r>
          </w:p>
        </w:tc>
        <w:tc>
          <w:tcPr>
            <w:tcW w:type="dxa" w:w="2196"/>
          </w:tcPr>
          <w:p>
            <w:r>
              <w:t>FERC, IURC, IRS</w:t>
            </w:r>
          </w:p>
        </w:tc>
      </w:tr>
      <w:tr>
        <w:tc>
          <w:tcPr>
            <w:tcW w:type="dxa" w:w="2196"/>
          </w:tcPr>
          <w:p>
            <w:r>
              <w:t>Legal/Regulatory</w:t>
            </w:r>
          </w:p>
        </w:tc>
        <w:tc>
          <w:tcPr>
            <w:tcW w:type="dxa" w:w="2196"/>
          </w:tcPr>
          <w:p>
            <w:r>
              <w:t>RRS-LEG-001 – RRS-LEG-011</w:t>
            </w:r>
          </w:p>
        </w:tc>
        <w:tc>
          <w:tcPr>
            <w:tcW w:type="dxa" w:w="2196"/>
          </w:tcPr>
          <w:p>
            <w:r>
              <w:t>11</w:t>
            </w:r>
          </w:p>
        </w:tc>
        <w:tc>
          <w:tcPr>
            <w:tcW w:type="dxa" w:w="2196"/>
          </w:tcPr>
          <w:p>
            <w:r>
              <w:t>IURC, FERC, company practice</w:t>
            </w:r>
          </w:p>
        </w:tc>
      </w:tr>
      <w:tr>
        <w:tc>
          <w:tcPr>
            <w:tcW w:type="dxa" w:w="2196"/>
          </w:tcPr>
          <w:p>
            <w:r>
              <w:t>Human Resources</w:t>
            </w:r>
          </w:p>
        </w:tc>
        <w:tc>
          <w:tcPr>
            <w:tcW w:type="dxa" w:w="2196"/>
          </w:tcPr>
          <w:p>
            <w:r>
              <w:t>RRS-HR-001 – RRS-HR-008</w:t>
            </w:r>
          </w:p>
        </w:tc>
        <w:tc>
          <w:tcPr>
            <w:tcW w:type="dxa" w:w="2196"/>
          </w:tcPr>
          <w:p>
            <w:r>
              <w:t>8</w:t>
            </w:r>
          </w:p>
        </w:tc>
        <w:tc>
          <w:tcPr>
            <w:tcW w:type="dxa" w:w="2196"/>
          </w:tcPr>
          <w:p>
            <w:r>
              <w:t>IRS, IOSHA, ERISA</w:t>
            </w:r>
          </w:p>
        </w:tc>
      </w:tr>
      <w:tr>
        <w:tc>
          <w:tcPr>
            <w:tcW w:type="dxa" w:w="2196"/>
          </w:tcPr>
          <w:p>
            <w:r>
              <w:t>General Corporate</w:t>
            </w:r>
          </w:p>
        </w:tc>
        <w:tc>
          <w:tcPr>
            <w:tcW w:type="dxa" w:w="2196"/>
          </w:tcPr>
          <w:p>
            <w:r>
              <w:t>RRS-GEN-001 – RRS-GEN-010</w:t>
            </w:r>
          </w:p>
        </w:tc>
        <w:tc>
          <w:tcPr>
            <w:tcW w:type="dxa" w:w="2196"/>
          </w:tcPr>
          <w:p>
            <w:r>
              <w:t>10</w:t>
            </w:r>
          </w:p>
        </w:tc>
        <w:tc>
          <w:tcPr>
            <w:tcW w:type="dxa" w:w="2196"/>
          </w:tcPr>
          <w:p>
            <w:r>
              <w:t>company practice</w:t>
            </w:r>
          </w:p>
        </w:tc>
      </w:tr>
      <w:tr>
        <w:tc>
          <w:tcPr>
            <w:tcW w:type="dxa" w:w="2196"/>
          </w:tcPr>
          <w:p>
            <w:r>
              <w:t>**Total**</w:t>
            </w:r>
          </w:p>
        </w:tc>
        <w:tc>
          <w:tcPr>
            <w:tcW w:type="dxa" w:w="2196"/>
          </w:tcPr>
          <w:p>
            <w:r/>
          </w:p>
        </w:tc>
        <w:tc>
          <w:tcPr>
            <w:tcW w:type="dxa" w:w="2196"/>
          </w:tcPr>
          <w:p>
            <w:r>
              <w:t>**86**</w:t>
            </w:r>
          </w:p>
        </w:tc>
        <w:tc>
          <w:tcPr>
            <w:tcW w:type="dxa" w:w="2196"/>
          </w:tcPr>
          <w:p>
            <w:r/>
          </w:p>
        </w:tc>
      </w:tr>
    </w:tbl>
    <w:p/>
    <w:p>
      <w:r>
        <w:rPr>
          <w:b/>
        </w:rPr>
        <w:t>6.3 Minimum Retention Floor.</w:t>
      </w:r>
      <w:r>
        <w:t xml:space="preserve"> Consistent with 170 IAC 4-1-3, no record in this Schedule that is required by 170 IAC 4 is assigned a retention period of less than three years. Where RPL's company practice or another regulatory authority requires a longer period, the longer period governs per Section 5.3.</w:t>
      </w:r>
    </w:p>
    <w:p>
      <w:pPr>
        <w:pStyle w:val="Heading1"/>
      </w:pPr>
      <w:r>
        <w:t>Section 7 — Vital Records Program</w:t>
      </w:r>
    </w:p>
    <w:p>
      <w:r>
        <w:rPr>
          <w:b/>
        </w:rPr>
        <w:t>7.1 Definition and Identification.</w:t>
      </w:r>
      <w:r>
        <w:t xml:space="preserve"> Vital records are records that, if lost or destroyed in a disaster, would severely impair RPL's ability to resume critical operations, protect the legal rights of the Company and its customers, or fulfill immediate regulatory obligations. Vital records are identified in the `vital_record` column of the master Schedule with a designation of "Y." As of the effective date of this version, the following categories of records are designated vital:</w:t>
      </w:r>
    </w:p>
    <w:p>
      <w:pPr>
        <w:pStyle w:val="ListBullet"/>
      </w:pPr>
      <w:r>
        <w:t>Tariff schedules filed with IURC (RRS-CS-009)</w:t>
      </w:r>
    </w:p>
    <w:p>
      <w:pPr>
        <w:pStyle w:val="ListBullet"/>
      </w:pPr>
      <w:r>
        <w:t>Rate case working papers and IURC proceeding files (RRS-CS-010, RRS-FIN-003, RRS-LEG-006)</w:t>
      </w:r>
    </w:p>
    <w:p>
      <w:pPr>
        <w:pStyle w:val="ListBullet"/>
      </w:pPr>
      <w:r>
        <w:t>Meter permanent records (RRS-MTR-001, RRS-MTR-008)</w:t>
      </w:r>
    </w:p>
    <w:p>
      <w:pPr>
        <w:pStyle w:val="ListBullet"/>
      </w:pPr>
      <w:r>
        <w:t>Service interruption records supporting regulatory reporting (RRS-DO-001, RRS-DO-002)</w:t>
      </w:r>
    </w:p>
    <w:p>
      <w:pPr>
        <w:pStyle w:val="ListBullet"/>
      </w:pPr>
      <w:r>
        <w:t>Distribution system maps and GIS data (RRS-DO-003)</w:t>
      </w:r>
    </w:p>
    <w:p>
      <w:pPr>
        <w:pStyle w:val="ListBullet"/>
      </w:pPr>
      <w:r>
        <w:t>Distribution Control Center logs (RRS-DO-010)</w:t>
      </w:r>
    </w:p>
    <w:p>
      <w:pPr>
        <w:pStyle w:val="ListBullet"/>
      </w:pPr>
      <w:r>
        <w:t>SPCC plans (RRS-ENV-001)</w:t>
      </w:r>
    </w:p>
    <w:p>
      <w:pPr>
        <w:pStyle w:val="ListBullet"/>
      </w:pPr>
      <w:r>
        <w:t>OSHA 300 logs (RRS-SAF-001)</w:t>
      </w:r>
    </w:p>
    <w:p>
      <w:pPr>
        <w:pStyle w:val="ListBullet"/>
      </w:pPr>
      <w:r>
        <w:t>General ledger and FERC plant accounts (RRS-FIN-001, RRS-FIN-006, RRS-FIN-007)</w:t>
      </w:r>
    </w:p>
    <w:p>
      <w:pPr>
        <w:pStyle w:val="ListBullet"/>
      </w:pPr>
      <w:r>
        <w:t>Fuel and purchased power records (RRS-FIN-004)</w:t>
      </w:r>
    </w:p>
    <w:p>
      <w:pPr>
        <w:pStyle w:val="ListBullet"/>
      </w:pPr>
      <w:r>
        <w:t>Tax returns (RRS-FIN-005)</w:t>
      </w:r>
    </w:p>
    <w:p>
      <w:pPr>
        <w:pStyle w:val="ListBullet"/>
      </w:pPr>
      <w:r>
        <w:t>Rider and adjustment clause records (RRS-FIN-011)</w:t>
      </w:r>
    </w:p>
    <w:p>
      <w:pPr>
        <w:pStyle w:val="ListBullet"/>
      </w:pPr>
      <w:r>
        <w:t>Corporate charter and board minutes (RRS-LEG-001, RRS-LEG-002)</w:t>
      </w:r>
    </w:p>
    <w:p>
      <w:pPr>
        <w:pStyle w:val="ListBullet"/>
      </w:pPr>
      <w:r>
        <w:t>Franchise agreements and territorial authority (RRS-LEG-008)</w:t>
      </w:r>
    </w:p>
    <w:p>
      <w:pPr>
        <w:pStyle w:val="ListBullet"/>
      </w:pPr>
      <w:r>
        <w:t>Records retention schedule and legal hold logs (RRS-LEG-010)</w:t>
      </w:r>
    </w:p>
    <w:p>
      <w:pPr>
        <w:pStyle w:val="ListBullet"/>
      </w:pPr>
      <w:r>
        <w:t>Real property records (RRS-GEN-009)</w:t>
      </w:r>
    </w:p>
    <w:p>
      <w:pPr>
        <w:pStyle w:val="ListBullet"/>
      </w:pPr>
      <w:r>
        <w:t>Operating permits (RRS-GEN-010)</w:t>
      </w:r>
    </w:p>
    <w:p>
      <w:pPr>
        <w:pStyle w:val="ListBullet"/>
      </w:pPr>
      <w:r>
        <w:t>Business continuity plans (RRS-GEN-005)</w:t>
      </w:r>
    </w:p>
    <w:p>
      <w:pPr>
        <w:pStyle w:val="ListBullet"/>
      </w:pPr>
      <w:r>
        <w:t>Corporate annual reports (RRS-GEN-003)</w:t>
      </w:r>
    </w:p>
    <w:p>
      <w:r>
        <w:rPr>
          <w:b/>
        </w:rPr>
        <w:t>7.2 Off-Site Storage Requirements.</w:t>
      </w:r>
      <w:r>
        <w:t xml:space="preserve"> Paper vital records shall maintain an off-site duplicate at an RPL-approved secure facility located outside the primary hazard zone for Lafayette, Indiana. Electronic vital records shall be backed up to geographically separated data storage with recovery point objectives consistent with RPL's Business Continuity Plan. The Records and Information Manager, in coordination with the IT department, shall confirm at least annually that off-site copies of all vital record series are current and retrievable.</w:t>
      </w:r>
    </w:p>
    <w:p>
      <w:r>
        <w:rPr>
          <w:b/>
        </w:rPr>
        <w:t>7.3 Recovery Priority.</w:t>
      </w:r>
      <w:r>
        <w:t xml:space="preserve"> In the event of a disaster or emergency, vital records recovery shall be prioritized as follows: (a) records required to restore electric service operations (GIS, OMS, DCC logs, switching records); (b) records required to meet immediate regulatory obligations (IURC correspondence, tariff schedules); (c) records required to protect financial and legal rights (plant accounts, tax records, corporate charter, franchise agreements); (d) records required for customer service restoration (CIS account data, billing records).</w:t>
      </w:r>
    </w:p>
    <w:p>
      <w:r>
        <w:rPr>
          <w:b/>
        </w:rPr>
        <w:t>7.4 Annual Vital Records Inventory.</w:t>
      </w:r>
      <w:r>
        <w:t xml:space="preserve"> The Records and Information Manager shall maintain a current inventory of all vital record series, their storage locations, off-site backup status, and the responsible department contact. This inventory shall be reviewed and updated at least annually and shall be incorporated into RPL's Business Continuity Plan.</w:t>
      </w:r>
    </w:p>
    <w:p>
      <w:r>
        <w:rPr>
          <w:b/>
        </w:rPr>
        <w:t>7.5 Vital Records Protection Standards.</w:t>
      </w:r>
      <w:r>
        <w:t xml:space="preserve"> Paper vital records stored on-site shall be maintained in fire-resistant containers rated for at least one-hour fire protection. Off-site storage facilities shall meet or exceed the security and environmental controls specified in RPL's off-site storage vendor contracts. Electronic vital records shall be encrypted and stored in access-controlled repositories with change logging enabled.</w:t>
      </w:r>
    </w:p>
    <w:p>
      <w:pPr>
        <w:pStyle w:val="Heading1"/>
      </w:pPr>
      <w:r>
        <w:t>Section 8 — Legal Holds</w:t>
      </w:r>
    </w:p>
    <w:p>
      <w:r>
        <w:rPr>
          <w:b/>
        </w:rPr>
        <w:t>8.1 Trigger for Legal Hold.</w:t>
      </w:r>
      <w:r>
        <w:t xml:space="preserve"> A legal hold shall be issued when: (a) RPL has been served with a complaint, subpoena, or government investigation demand; (b) in-house or outside counsel has determined that litigation, government investigation, or formal regulatory audit is reasonably anticipated; (c) an IURC, FERC, or other regulatory proceeding has been initiated that requires preservation of specific records; or (d) RPL's insurance carrier has issued a preservation directive in connection with a covered claim. Counsel shall make the determination of when anticipation is "reasonable" based on all available facts.</w:t>
      </w:r>
    </w:p>
    <w:p>
      <w:r>
        <w:rPr>
          <w:b/>
        </w:rPr>
        <w:t>8.2 Notification Process.</w:t>
      </w:r>
      <w:r>
        <w:t xml:space="preserve"> Upon the triggering event identified in Section 8.1, the Legal department shall:</w:t>
      </w:r>
    </w:p>
    <w:p>
      <w:pPr>
        <w:pStyle w:val="ListBullet"/>
      </w:pPr>
      <w:r>
        <w:t>(a) Prepare a written legal hold notice specifying: the matter description, the categories of records to be preserved, the time period covered, the custodians and departments responsible for complying, and the person in Legal who is the point of contact.</w:t>
      </w:r>
    </w:p>
    <w:p>
      <w:pPr>
        <w:pStyle w:val="ListBullet"/>
      </w:pPr>
      <w:r>
        <w:t>(b) Distribute the legal hold notice to all identified custodians, their supervisors, and the Records and Information Manager within three business days of the triggering event.</w:t>
      </w:r>
    </w:p>
    <w:p>
      <w:pPr>
        <w:pStyle w:val="ListBullet"/>
      </w:pPr>
      <w:r>
        <w:t>(c) Confirm receipt and compliance by each custodian in writing within five business days of distribution.</w:t>
      </w:r>
    </w:p>
    <w:p>
      <w:pPr>
        <w:pStyle w:val="ListBullet"/>
      </w:pPr>
      <w:r>
        <w:t>(d) Record the legal hold in the legal hold log maintained by the Records and Information Manager under RRS-LEG-010.</w:t>
      </w:r>
    </w:p>
    <w:p>
      <w:r>
        <w:t>See Appendix C for the standard Legal Hold Notice template.</w:t>
      </w:r>
    </w:p>
    <w:p>
      <w:r>
        <w:rPr>
          <w:b/>
        </w:rPr>
        <w:t>8.3 Scope and Coverage.</w:t>
      </w:r>
      <w:r>
        <w:t xml:space="preserve"> A legal hold notice shall identify with sufficient specificity the: (a) subject matter of the legal hold; (b) time period of records to be preserved; (c) types of records and record series covered; (d) systems and repositories to be preserved; and (e) identity of all custodians who may hold relevant information. Where the scope is initially uncertain, the Legal department shall err on the side of broader coverage and narrow the scope as facts develop.</w:t>
      </w:r>
    </w:p>
    <w:p>
      <w:r>
        <w:rPr>
          <w:b/>
        </w:rPr>
        <w:t>8.4 Suspension of Disposition.</w:t>
      </w:r>
      <w:r>
        <w:t xml:space="preserve"> Upon receipt of a legal hold notice, all disposition activities—including routine scheduled destruction, migration, and transfer—for covered records shall be immediately suspended. Automated deletion processes (such as email purge policies or system archiving scripts) shall be disabled for covered data sets. The Records and Information Manager and IT department shall coordinate to implement technical holds in enterprise systems as needed.</w:t>
      </w:r>
    </w:p>
    <w:p>
      <w:r>
        <w:rPr>
          <w:b/>
        </w:rPr>
        <w:t>8.5 Custodian Obligations.</w:t>
      </w:r>
      <w:r>
        <w:t xml:space="preserve"> Each custodian who receives a legal hold notice shall: (a) immediately cease destruction or alteration of any covered records; (b) identify and segregate covered records where feasible; (c) notify the Legal department if they become aware of additional custodians or record sets that may be covered; and (d) comply with any supplemental instructions issued by the Legal department during the course of the matter.</w:t>
      </w:r>
    </w:p>
    <w:p>
      <w:r>
        <w:rPr>
          <w:b/>
        </w:rPr>
        <w:t>8.6 Release of Legal Hold.</w:t>
      </w:r>
      <w:r>
        <w:t xml:space="preserve"> A legal hold may be released only by written notice from the Legal department. Before issuing a release, counsel shall confirm that: (a) the underlying matter is finally resolved with no remaining appeals; (b) no new related matters are pending or anticipated; and (c) the relevant statutes of limitations have run for any residual claims. Upon release, covered records return to their normal retention schedule position. Records whose scheduled destruction date passed during the hold shall be reviewed for disposition within 30 days of the release.</w:t>
      </w:r>
    </w:p>
    <w:p>
      <w:r>
        <w:rPr>
          <w:b/>
        </w:rPr>
        <w:t>8.7 Annual Legal Hold Review.</w:t>
      </w:r>
      <w:r>
        <w:t xml:space="preserve"> The Records and Information Manager, in coordination with the Legal department, shall review all active legal holds at least annually to confirm they remain necessary and that the scope accurately reflects the status of each matter.</w:t>
      </w:r>
    </w:p>
    <w:p>
      <w:pPr>
        <w:pStyle w:val="Heading1"/>
      </w:pPr>
      <w:r>
        <w:t>Section 9 — Disposition and Destruction</w:t>
      </w:r>
    </w:p>
    <w:p>
      <w:r>
        <w:rPr>
          <w:b/>
        </w:rPr>
        <w:t>9.1 Destruction Eligibility.</w:t>
      </w:r>
      <w:r>
        <w:t xml:space="preserve"> A record series is eligible for disposition only when: (a) the full retention period specified in this Schedule has been satisfied; (b) no active legal hold covers any records in the series; (c) no pending regulatory audit, examination, or data request covers the records; and (d) the Records and Information Manager has reviewed and authorized the destruction in writing.</w:t>
      </w:r>
    </w:p>
    <w:p>
      <w:r>
        <w:rPr>
          <w:b/>
        </w:rPr>
        <w:t>9.2 Approval Workflow.</w:t>
      </w:r>
      <w:r>
        <w:t xml:space="preserve"> The destruction approval process is as follows:</w:t>
      </w:r>
    </w:p>
    <w:p>
      <w:pPr>
        <w:pStyle w:val="ListBullet"/>
      </w:pPr>
      <w:r>
        <w:t>(a) The owner department identifies record series eligible for disposition and submits a destruction request to the Records and Information Manager.</w:t>
      </w:r>
    </w:p>
    <w:p>
      <w:pPr>
        <w:pStyle w:val="ListBullet"/>
      </w:pPr>
      <w:r>
        <w:t>(b) The Records and Information Manager verifies eligibility against this Schedule and confirms no active legal holds apply.</w:t>
      </w:r>
    </w:p>
    <w:p>
      <w:pPr>
        <w:pStyle w:val="ListBullet"/>
      </w:pPr>
      <w:r>
        <w:t>(c) For records in the `disposition_method` column designated `IURC_approval_required`, the Legal department shall seek and obtain IURC authorization before destruction.</w:t>
      </w:r>
    </w:p>
    <w:p>
      <w:pPr>
        <w:pStyle w:val="ListBullet"/>
      </w:pPr>
      <w:r>
        <w:t>(d) The Records and Information Manager issues a written Destruction Authorization on the standard form (see Appendix B). No records shall be destroyed without a signed Destruction Authorization.</w:t>
      </w:r>
    </w:p>
    <w:p>
      <w:pPr>
        <w:pStyle w:val="ListBullet"/>
      </w:pPr>
      <w:r>
        <w:t>(e) Destruction is carried out by the owner department or a designated third-party vendor, using an approved method per Section 9.3.</w:t>
      </w:r>
    </w:p>
    <w:p>
      <w:r>
        <w:t>(f) A Certificate of Destruction is completed and filed under RRS-GEN-002.</w:t>
      </w:r>
    </w:p>
    <w:p>
      <w:r>
        <w:rPr>
          <w:b/>
        </w:rPr>
        <w:t>9.3 Destruction Methods.</w:t>
      </w:r>
      <w:r>
        <w:t xml:space="preserve"> The following destruction methods are approved under this Schedule:</w:t>
      </w:r>
    </w:p>
    <w:tbl>
      <w:tblPr>
        <w:tblStyle w:val="TableGrid"/>
        <w:tblW w:type="auto" w:w="0"/>
        <w:tblLook w:firstColumn="1" w:firstRow="1" w:lastColumn="0" w:lastRow="0" w:noHBand="0" w:noVBand="1" w:val="04A0"/>
      </w:tblPr>
      <w:tblGrid>
        <w:gridCol w:w="4392"/>
        <w:gridCol w:w="4392"/>
      </w:tblGrid>
      <w:tr>
        <w:tc>
          <w:tcPr>
            <w:tcW w:type="dxa" w:w="4392"/>
          </w:tcPr>
          <w:p>
            <w:r>
              <w:rPr>
                <w:b/>
              </w:rPr>
              <w:t>Record Type</w:t>
            </w:r>
          </w:p>
        </w:tc>
        <w:tc>
          <w:tcPr>
            <w:tcW w:type="dxa" w:w="4392"/>
          </w:tcPr>
          <w:p>
            <w:r>
              <w:rPr>
                <w:b/>
              </w:rPr>
              <w:t>Approved Method</w:t>
            </w:r>
          </w:p>
        </w:tc>
      </w:tr>
      <w:tr>
        <w:tc>
          <w:tcPr>
            <w:tcW w:type="dxa" w:w="4392"/>
          </w:tcPr>
          <w:p>
            <w:r>
              <w:t>Paper records – non-confidential</w:t>
            </w:r>
          </w:p>
        </w:tc>
        <w:tc>
          <w:tcPr>
            <w:tcW w:type="dxa" w:w="4392"/>
          </w:tcPr>
          <w:p>
            <w:r>
              <w:t>Cross-cut shredding (DIN 66399 Level P-3 or higher)</w:t>
            </w:r>
          </w:p>
        </w:tc>
      </w:tr>
      <w:tr>
        <w:tc>
          <w:tcPr>
            <w:tcW w:type="dxa" w:w="4392"/>
          </w:tcPr>
          <w:p>
            <w:r>
              <w:t>Paper records – confidential/PII</w:t>
            </w:r>
          </w:p>
        </w:tc>
        <w:tc>
          <w:tcPr>
            <w:tcW w:type="dxa" w:w="4392"/>
          </w:tcPr>
          <w:p>
            <w:r>
              <w:t>Cross-cut shredding (DIN 66399 Level P-4 or higher) or incineration</w:t>
            </w:r>
          </w:p>
        </w:tc>
      </w:tr>
      <w:tr>
        <w:tc>
          <w:tcPr>
            <w:tcW w:type="dxa" w:w="4392"/>
          </w:tcPr>
          <w:p>
            <w:r>
              <w:t>Electronic files – standard</w:t>
            </w:r>
          </w:p>
        </w:tc>
        <w:tc>
          <w:tcPr>
            <w:tcW w:type="dxa" w:w="4392"/>
          </w:tcPr>
          <w:p>
            <w:r>
              <w:t>Secure overwrite (NIST SP 800-88 Clear) or deletion with erasure verification</w:t>
            </w:r>
          </w:p>
        </w:tc>
      </w:tr>
      <w:tr>
        <w:tc>
          <w:tcPr>
            <w:tcW w:type="dxa" w:w="4392"/>
          </w:tcPr>
          <w:p>
            <w:r>
              <w:t>Electronic files – highly sensitive</w:t>
            </w:r>
          </w:p>
        </w:tc>
        <w:tc>
          <w:tcPr>
            <w:tcW w:type="dxa" w:w="4392"/>
          </w:tcPr>
          <w:p>
            <w:r>
              <w:t>Cryptographic erasure or physical media destruction</w:t>
            </w:r>
          </w:p>
        </w:tc>
      </w:tr>
      <w:tr>
        <w:tc>
          <w:tcPr>
            <w:tcW w:type="dxa" w:w="4392"/>
          </w:tcPr>
          <w:p>
            <w:r>
              <w:t>Storage media (hard drives, tapes)</w:t>
            </w:r>
          </w:p>
        </w:tc>
        <w:tc>
          <w:tcPr>
            <w:tcW w:type="dxa" w:w="4392"/>
          </w:tcPr>
          <w:p>
            <w:r>
              <w:t>Degaussing plus physical destruction</w:t>
            </w:r>
          </w:p>
        </w:tc>
      </w:tr>
      <w:tr>
        <w:tc>
          <w:tcPr>
            <w:tcW w:type="dxa" w:w="4392"/>
          </w:tcPr>
          <w:p>
            <w:r>
              <w:t>Optical media (CDs, DVDs)</w:t>
            </w:r>
          </w:p>
        </w:tc>
        <w:tc>
          <w:tcPr>
            <w:tcW w:type="dxa" w:w="4392"/>
          </w:tcPr>
          <w:p>
            <w:r>
              <w:t>Physical destruction (shredding or incineration)</w:t>
            </w:r>
          </w:p>
        </w:tc>
      </w:tr>
    </w:tbl>
    <w:p/>
    <w:p>
      <w:r>
        <w:rPr>
          <w:b/>
        </w:rPr>
        <w:t>9.4 Third-Party Destruction Vendors.</w:t>
      </w:r>
      <w:r>
        <w:t xml:space="preserve"> When RPL engages third-party vendors for record destruction services, the vendor shall: (a) be under written contract with RPL; (b) certify the destruction method and confirm compliance with this Schedule; (c) provide a Certificate of Destruction identifying the record series, volume, destruction method, and date; and (d) be subject to audit by RPL.</w:t>
      </w:r>
    </w:p>
    <w:p>
      <w:r>
        <w:rPr>
          <w:b/>
        </w:rPr>
        <w:t>9.5 Certificates of Destruction.</w:t>
      </w:r>
      <w:r>
        <w:t xml:space="preserve"> A Certificate of Destruction shall be completed for every disposition event. Certificates shall be retained under RRS-GEN-002 for 10 years from the date of destruction. The standard Destruction Log template is provided in Appendix B. Certificates shall include at minimum: record series ID, record series name, date range of records destroyed, volume (box count or electronic size), destruction method, date of destruction, name of person or vendor performing destruction, and signature of the Records and Information Manager.</w:t>
      </w:r>
    </w:p>
    <w:p>
      <w:r>
        <w:rPr>
          <w:b/>
        </w:rPr>
        <w:t>9.6 Prohibition on Partial Destruction.</w:t>
      </w:r>
      <w:r>
        <w:t xml:space="preserve"> Records within an active legal hold may not be partially destroyed even if some records in the batch are outside the scope of the hold. Where records subject to a hold are commingled with unrelated records, the entire batch shall be treated as held pending segregation or Legal department guidance.</w:t>
      </w:r>
    </w:p>
    <w:p>
      <w:r>
        <w:rPr>
          <w:b/>
        </w:rPr>
        <w:t>9.7 Archival Transfer.</w:t>
      </w:r>
      <w:r>
        <w:t xml:space="preserve"> Records designated `archive` in the disposition_method column shall be transferred to off-site archival storage rather than destroyed. Archival transfers shall be documented in a Transfer Log substantially similar to the Destruction Log template in Appendix B. Archived records remain subject to this Schedule and may be retrieved for legal, regulatory, or business purposes.</w:t>
      </w:r>
    </w:p>
    <w:p>
      <w:pPr>
        <w:pStyle w:val="Heading1"/>
      </w:pPr>
      <w:r>
        <w:t>Section 10 — Electronic Records and Systems</w:t>
      </w:r>
    </w:p>
    <w:p>
      <w:r>
        <w:rPr>
          <w:b/>
        </w:rPr>
        <w:t>10.1 Enterprise System Governance.</w:t>
      </w:r>
      <w:r>
        <w:t xml:space="preserve"> Records maintained in RPL's enterprise systems—CIS, OMS, AMI-HES, GIS, WAM, and EHS-IMS—are subject to this Schedule. The Records and Information Manager and the IT department shall jointly maintain a System-of-Record Registry that maps each record series in this Schedule to the primary system or systems where it is maintained. Retention periods shall be implemented in system configuration where technically feasible.</w:t>
      </w:r>
    </w:p>
    <w:p>
      <w:r>
        <w:rPr>
          <w:b/>
        </w:rPr>
        <w:t>10.2 Email.</w:t>
      </w:r>
      <w:r>
        <w:t xml:space="preserve"> Email is a medium that may contain Company records. The determination of whether an email message is a record subject to this Schedule depends on its content, not its format. Email messages that document significant business decisions, contain regulatory correspondence, memorialize agreements, or otherwise fall within a record series defined in this Schedule shall be filed or categorized as records. RPL's standard email retention policy shall be consistent with this Schedule.</w:t>
      </w:r>
    </w:p>
    <w:p>
      <w:r>
        <w:rPr>
          <w:b/>
        </w:rPr>
        <w:t>10.3 Metadata and Audit Logs.</w:t>
      </w:r>
      <w:r>
        <w:t xml:space="preserve"> Electronic records shall be maintained with sufficient metadata—including creation date, modification dates, author, and system of record—to establish their authenticity and compliance with retention requirements. System audit logs that capture access, modification, and deletion events for regulated records shall themselves be treated as records and retained for a minimum of three years.</w:t>
      </w:r>
    </w:p>
    <w:p>
      <w:r>
        <w:rPr>
          <w:b/>
        </w:rPr>
        <w:t>10.4 Cloud Storage.</w:t>
      </w:r>
      <w:r>
        <w:t xml:space="preserve"> Records maintained in cloud environments contracted by RPL are subject to this Schedule. Cloud service agreements shall include contractual provisions requiring: (a) retention of data for the periods specified in this Schedule; (b) notification to RPL before data deletion; (c) ability to export data in usable format; and (d) compliance with legal hold requests.</w:t>
      </w:r>
    </w:p>
    <w:p>
      <w:r>
        <w:rPr>
          <w:b/>
        </w:rPr>
        <w:t>10.5 System Migrations and Upgrades.</w:t>
      </w:r>
      <w:r>
        <w:t xml:space="preserve"> When RPL migrates records from one electronic system to another—whether as part of a technology upgrade, vendor change, or system retirement—the migrated records must retain their original creation dates and metadata. Migration shall not alter retention trigger dates. The IT department shall document each migration event and confirm completeness in a written Migration Attestation filed under RRS-GEN-004.</w:t>
      </w:r>
    </w:p>
    <w:p>
      <w:r>
        <w:rPr>
          <w:b/>
        </w:rPr>
        <w:t>10.6 AMI and Metering Data.</w:t>
      </w:r>
      <w:r>
        <w:t xml:space="preserve"> AMI interval usage data and related meter data records generated by RPL's 371,200 solid-state AMI meters and 31,400 AMR meters constitute records subject to this Schedule. 15-minute and hourly interval data retained under RRS-MTR-006 shall be maintained in the AMI-HES or a designated archival data store for the periods specified. Individual meter test records maintained in the Meter Shop system constitute permanent records per RRS-MTR-001.</w:t>
      </w:r>
    </w:p>
    <w:p>
      <w:pPr>
        <w:pStyle w:val="Heading1"/>
      </w:pPr>
      <w:r>
        <w:t>Section 11 — Third-Party and Contractor Records</w:t>
      </w:r>
    </w:p>
    <w:p>
      <w:r>
        <w:rPr>
          <w:b/>
        </w:rPr>
        <w:t>11.1 Contractor-Held Records.</w:t>
      </w:r>
      <w:r>
        <w:t xml:space="preserve"> Contractors and vendors who create or maintain records on RPL's behalf—including vegetation management contractors, meter deployment contractors, IT service providers, and environmental compliance consultants—shall maintain such records in accordance with this Schedule or deliver them to RPL in a mutually agreed format prior to termination of the contract. Contracts with such parties shall include a records retention provision incorporating these requirements by reference.</w:t>
      </w:r>
    </w:p>
    <w:p>
      <w:r>
        <w:rPr>
          <w:b/>
        </w:rPr>
        <w:t>11.2 Return or Destruction of Records on Contract Termination.</w:t>
      </w:r>
      <w:r>
        <w:t xml:space="preserve"> Upon termination or expiration of a contractor relationship, the contractor shall, within 30 days, either: (a) return all RPL records to the Records and Information Manager; or (b) certify destruction of such records using approved methods per Section 9.3, with a Certificate of Destruction provided to RPL. The selection of return versus destruction shall be directed by the Legal department based on the record type and retention status.</w:t>
      </w:r>
    </w:p>
    <w:p>
      <w:r>
        <w:rPr>
          <w:b/>
        </w:rPr>
        <w:t>11.3 Third-Party Records of Joint Activities.</w:t>
      </w:r>
      <w:r>
        <w:t xml:space="preserve"> Where RPL jointly conducts activities with other entities—such as joint pole attachments, shared easement management, or MISO settlement records maintained by the ISO—RPL's copy of the associated records is subject to this Schedule regardless of whether the other party maintains its own copy.</w:t>
      </w:r>
    </w:p>
    <w:p>
      <w:r>
        <w:rPr>
          <w:b/>
        </w:rPr>
        <w:t>11.4 Vegetation Management Records.</w:t>
      </w:r>
      <w:r>
        <w:t xml:space="preserve"> Records generated by RPL's two primary vegetation management contractors in the performance of services under RPL's vegetation management program (RPL-DO-PLN-002) shall be delivered to RPL and filed under RRS-DO-005 and RRS-DO-006. Contractor notice logs, inspection reports, and work completion certificates are RPL records subject to this Schedule regardless of which party initially created them.</w:t>
      </w:r>
    </w:p>
    <w:p>
      <w:pPr>
        <w:pStyle w:val="Heading1"/>
      </w:pPr>
      <w:r>
        <w:t>Section 12 — Training and Compliance</w:t>
      </w:r>
    </w:p>
    <w:p>
      <w:r>
        <w:rPr>
          <w:b/>
        </w:rPr>
        <w:t>12.1 Initial Training.</w:t>
      </w:r>
      <w:r>
        <w:t xml:space="preserve"> All new RPL employees shall receive records management training within 30 days of hire, covering: the purpose and scope of this Schedule; how to identify records versus non-records; the employee's responsibilities for maintaining, storing, and not destroying records; the legal hold process; and how to contact the Records and Information Manager.</w:t>
      </w:r>
    </w:p>
    <w:p>
      <w:r>
        <w:rPr>
          <w:b/>
        </w:rPr>
        <w:t>12.2 Refresher Training.</w:t>
      </w:r>
      <w:r>
        <w:t xml:space="preserve"> All employees with records responsibilities shall receive refresher training at least every two years, or upon material changes to this Schedule, whichever occurs first. Training completion shall be documented and maintained under RRS-SAF-005 for employees and in a separate records training log for non-safety training.</w:t>
      </w:r>
    </w:p>
    <w:p>
      <w:r>
        <w:rPr>
          <w:b/>
        </w:rPr>
        <w:t>12.3 Department Coordinator Program.</w:t>
      </w:r>
      <w:r>
        <w:t xml:space="preserve"> Each major department shall designate a Records Coordinator responsible for implementing this Schedule within the department, coordinating with the Records and Information Manager on disposition activities, and serving as the first point of contact for records-related questions. Current Records Coordinator assignments are maintained by the Records and Information Manager.</w:t>
      </w:r>
    </w:p>
    <w:p>
      <w:r>
        <w:rPr>
          <w:b/>
        </w:rPr>
        <w:t>12.4 Monitoring and Auditing.</w:t>
      </w:r>
      <w:r>
        <w:t xml:space="preserve"> The Records and Information Manager shall conduct periodic audits of record-keeping practices across RPL departments to assess compliance with this Schedule. Audit findings shall be reported to the VP &amp; General Counsel annually. Significant non-compliance findings shall be escalated to the appropriate department VP.</w:t>
      </w:r>
    </w:p>
    <w:p>
      <w:r>
        <w:rPr>
          <w:b/>
        </w:rPr>
        <w:t>12.5 Consequences of Non-Compliance.</w:t>
      </w:r>
      <w:r>
        <w:t xml:space="preserve"> Unauthorized destruction of records, failure to comply with a legal hold, intentional falsification of records, or other material violations of this Schedule may subject employees to disciplinary action up to and including termination, and may expose RPL and the responsible individual to legal liability.</w:t>
      </w:r>
    </w:p>
    <w:p>
      <w:pPr>
        <w:pStyle w:val="Heading1"/>
      </w:pPr>
      <w:r>
        <w:t>Section 13 — Revision History</w:t>
      </w:r>
    </w:p>
    <w:tbl>
      <w:tblPr>
        <w:tblStyle w:val="TableGrid"/>
        <w:tblW w:type="auto" w:w="0"/>
        <w:tblLook w:firstColumn="1" w:firstRow="1" w:lastColumn="0" w:lastRow="0" w:noHBand="0" w:noVBand="1" w:val="04A0"/>
      </w:tblPr>
      <w:tblGrid>
        <w:gridCol w:w="2196"/>
        <w:gridCol w:w="2196"/>
        <w:gridCol w:w="2196"/>
        <w:gridCol w:w="2196"/>
      </w:tblGrid>
      <w:tr>
        <w:tc>
          <w:tcPr>
            <w:tcW w:type="dxa" w:w="2196"/>
          </w:tcPr>
          <w:p>
            <w:r>
              <w:rPr>
                <w:b/>
              </w:rPr>
              <w:t>Version</w:t>
            </w:r>
          </w:p>
        </w:tc>
        <w:tc>
          <w:tcPr>
            <w:tcW w:type="dxa" w:w="2196"/>
          </w:tcPr>
          <w:p>
            <w:r>
              <w:rPr>
                <w:b/>
              </w:rPr>
              <w:t>Effective Date</w:t>
            </w:r>
          </w:p>
        </w:tc>
        <w:tc>
          <w:tcPr>
            <w:tcW w:type="dxa" w:w="2196"/>
          </w:tcPr>
          <w:p>
            <w:r>
              <w:rPr>
                <w:b/>
              </w:rPr>
              <w:t>Summary of Changes</w:t>
            </w:r>
          </w:p>
        </w:tc>
        <w:tc>
          <w:tcPr>
            <w:tcW w:type="dxa" w:w="2196"/>
          </w:tcPr>
          <w:p>
            <w:r>
              <w:rPr>
                <w:b/>
              </w:rPr>
              <w:t>Approved By</w:t>
            </w:r>
          </w:p>
        </w:tc>
      </w:tr>
      <w:tr>
        <w:tc>
          <w:tcPr>
            <w:tcW w:type="dxa" w:w="2196"/>
          </w:tcPr>
          <w:p>
            <w:r>
              <w:t>v5.0</w:t>
            </w:r>
          </w:p>
        </w:tc>
        <w:tc>
          <w:tcPr>
            <w:tcW w:type="dxa" w:w="2196"/>
          </w:tcPr>
          <w:p>
            <w:r>
              <w:t>2017-01-01</w:t>
            </w:r>
          </w:p>
        </w:tc>
        <w:tc>
          <w:tcPr>
            <w:tcW w:type="dxa" w:w="2196"/>
          </w:tcPr>
          <w:p>
            <w:r>
              <w:t>Initial full rewrite; added FERC USOA alignment; added environmental section</w:t>
            </w:r>
          </w:p>
        </w:tc>
        <w:tc>
          <w:tcPr>
            <w:tcW w:type="dxa" w:w="2196"/>
          </w:tcPr>
          <w:p>
            <w:r>
              <w:t>VP &amp; General Counsel</w:t>
            </w:r>
          </w:p>
        </w:tc>
      </w:tr>
      <w:tr>
        <w:tc>
          <w:tcPr>
            <w:tcW w:type="dxa" w:w="2196"/>
          </w:tcPr>
          <w:p>
            <w:r>
              <w:t>v6.0</w:t>
            </w:r>
          </w:p>
        </w:tc>
        <w:tc>
          <w:tcPr>
            <w:tcW w:type="dxa" w:w="2196"/>
          </w:tcPr>
          <w:p>
            <w:r>
              <w:t>2019-06-01</w:t>
            </w:r>
          </w:p>
        </w:tc>
        <w:tc>
          <w:tcPr>
            <w:tcW w:type="dxa" w:w="2196"/>
          </w:tcPr>
          <w:p>
            <w:r>
              <w:t>Added AMI data records; updated PCB disposal manifest period per 40 CFR 761.180 revision; added cybersecurity incident records</w:t>
            </w:r>
          </w:p>
        </w:tc>
        <w:tc>
          <w:tcPr>
            <w:tcW w:type="dxa" w:w="2196"/>
          </w:tcPr>
          <w:p>
            <w:r>
              <w:t>VP &amp; General Counsel</w:t>
            </w:r>
          </w:p>
        </w:tc>
      </w:tr>
      <w:tr>
        <w:tc>
          <w:tcPr>
            <w:tcW w:type="dxa" w:w="2196"/>
          </w:tcPr>
          <w:p>
            <w:r>
              <w:t>v7.0</w:t>
            </w:r>
          </w:p>
        </w:tc>
        <w:tc>
          <w:tcPr>
            <w:tcW w:type="dxa" w:w="2196"/>
          </w:tcPr>
          <w:p>
            <w:r>
              <w:t>2021-03-15</w:t>
            </w:r>
          </w:p>
        </w:tc>
        <w:tc>
          <w:tcPr>
            <w:tcW w:type="dxa" w:w="2196"/>
          </w:tcPr>
          <w:p>
            <w:r>
              <w:t>Major revision: added vegetation management records per 170 IAC 4-9 effective 2019; updated OSHA medical records per 29 CFR 1910.1020; added legal hold release procedures</w:t>
            </w:r>
          </w:p>
        </w:tc>
        <w:tc>
          <w:tcPr>
            <w:tcW w:type="dxa" w:w="2196"/>
          </w:tcPr>
          <w:p>
            <w:r>
              <w:t>VP &amp; General Counsel</w:t>
            </w:r>
          </w:p>
        </w:tc>
      </w:tr>
      <w:tr>
        <w:tc>
          <w:tcPr>
            <w:tcW w:type="dxa" w:w="2196"/>
          </w:tcPr>
          <w:p>
            <w:r>
              <w:t>v7.1</w:t>
            </w:r>
          </w:p>
        </w:tc>
        <w:tc>
          <w:tcPr>
            <w:tcW w:type="dxa" w:w="2196"/>
          </w:tcPr>
          <w:p>
            <w:r>
              <w:t>2024-04-01</w:t>
            </w:r>
          </w:p>
        </w:tc>
        <w:tc>
          <w:tcPr>
            <w:tcW w:type="dxa" w:w="2196"/>
          </w:tcPr>
          <w:p>
            <w:r>
              <w:t>Minor revision: updated metering records for AMI rollout; updated electronic records provisions for cloud storage; added system decommissioning guidance</w:t>
            </w:r>
          </w:p>
        </w:tc>
        <w:tc>
          <w:tcPr>
            <w:tcW w:type="dxa" w:w="2196"/>
          </w:tcPr>
          <w:p>
            <w:r>
              <w:t>Senior Counsel Regulatory</w:t>
            </w:r>
          </w:p>
        </w:tc>
      </w:tr>
      <w:tr>
        <w:tc>
          <w:tcPr>
            <w:tcW w:type="dxa" w:w="2196"/>
          </w:tcPr>
          <w:p>
            <w:r>
              <w:t>v7.2</w:t>
            </w:r>
          </w:p>
        </w:tc>
        <w:tc>
          <w:tcPr>
            <w:tcW w:type="dxa" w:w="2196"/>
          </w:tcPr>
          <w:p>
            <w:r>
              <w:t>2025-01-23</w:t>
            </w:r>
          </w:p>
        </w:tc>
        <w:tc>
          <w:tcPr>
            <w:tcW w:type="dxa" w:w="2196"/>
          </w:tcPr>
          <w:p>
            <w:r>
              <w:t>Wave 3 full review: aligned all periods with 2024-12-31 regulatory snapshot (S1); added Wave 2 clause cross-references in Appendix D; added dual-requirement rule; added Appendix D cross-reference table</w:t>
            </w:r>
          </w:p>
        </w:tc>
        <w:tc>
          <w:tcPr>
            <w:tcW w:type="dxa" w:w="2196"/>
          </w:tcPr>
          <w:p>
            <w:r>
              <w:t>Sandra Kim (P24)</w:t>
            </w:r>
          </w:p>
        </w:tc>
      </w:tr>
    </w:tbl>
    <w:p/>
    <w:p>
      <w:pPr>
        <w:pStyle w:val="Heading1"/>
      </w:pPr>
      <w:r>
        <w:t>Section 14 — Approval Block</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tcPr>
          <w:p>
            <w:r>
              <w:rPr>
                <w:b/>
              </w:rPr>
              <w:t>Role</w:t>
            </w:r>
          </w:p>
        </w:tc>
        <w:tc>
          <w:tcPr>
            <w:tcW w:type="dxa" w:w="1757"/>
          </w:tcPr>
          <w:p>
            <w:r>
              <w:rPr>
                <w:b/>
              </w:rPr>
              <w:t>Name</w:t>
            </w:r>
          </w:p>
        </w:tc>
        <w:tc>
          <w:tcPr>
            <w:tcW w:type="dxa" w:w="1757"/>
          </w:tcPr>
          <w:p>
            <w:r>
              <w:rPr>
                <w:b/>
              </w:rPr>
              <w:t>Title</w:t>
            </w:r>
          </w:p>
        </w:tc>
        <w:tc>
          <w:tcPr>
            <w:tcW w:type="dxa" w:w="1757"/>
          </w:tcPr>
          <w:p>
            <w:r>
              <w:rPr>
                <w:b/>
              </w:rPr>
              <w:t>Signature</w:t>
            </w:r>
          </w:p>
        </w:tc>
        <w:tc>
          <w:tcPr>
            <w:tcW w:type="dxa" w:w="1757"/>
          </w:tcPr>
          <w:p>
            <w:r>
              <w:rPr>
                <w:b/>
              </w:rPr>
              <w:t>Date</w:t>
            </w:r>
          </w:p>
        </w:tc>
      </w:tr>
      <w:tr>
        <w:tc>
          <w:tcPr>
            <w:tcW w:type="dxa" w:w="1757"/>
          </w:tcPr>
          <w:p>
            <w:r>
              <w:t>Prepared by</w:t>
            </w:r>
          </w:p>
        </w:tc>
        <w:tc>
          <w:tcPr>
            <w:tcW w:type="dxa" w:w="1757"/>
          </w:tcPr>
          <w:p>
            <w:r>
              <w:t>Jonathan Pierce</w:t>
            </w:r>
          </w:p>
        </w:tc>
        <w:tc>
          <w:tcPr>
            <w:tcW w:type="dxa" w:w="1757"/>
          </w:tcPr>
          <w:p>
            <w:r>
              <w:t>Senior Counsel Regulatory</w:t>
            </w:r>
          </w:p>
        </w:tc>
        <w:tc>
          <w:tcPr>
            <w:tcW w:type="dxa" w:w="1757"/>
          </w:tcPr>
          <w:p>
            <w:r>
              <w:t>/s/ Jonathan Pierce</w:t>
            </w:r>
          </w:p>
        </w:tc>
        <w:tc>
          <w:tcPr>
            <w:tcW w:type="dxa" w:w="1757"/>
          </w:tcPr>
          <w:p>
            <w:r>
              <w:t>2025-01-23</w:t>
            </w:r>
          </w:p>
        </w:tc>
      </w:tr>
      <w:tr>
        <w:tc>
          <w:tcPr>
            <w:tcW w:type="dxa" w:w="1757"/>
          </w:tcPr>
          <w:p>
            <w:r>
              <w:t>Reviewed by</w:t>
            </w:r>
          </w:p>
        </w:tc>
        <w:tc>
          <w:tcPr>
            <w:tcW w:type="dxa" w:w="1757"/>
          </w:tcPr>
          <w:p>
            <w:r>
              <w:t>Elena Vasquez</w:t>
            </w:r>
          </w:p>
        </w:tc>
        <w:tc>
          <w:tcPr>
            <w:tcW w:type="dxa" w:w="1757"/>
          </w:tcPr>
          <w:p>
            <w:r>
              <w:t>Manager Regulatory Affairs</w:t>
            </w:r>
          </w:p>
        </w:tc>
        <w:tc>
          <w:tcPr>
            <w:tcW w:type="dxa" w:w="1757"/>
          </w:tcPr>
          <w:p>
            <w:r>
              <w:t>/s/ Elena Vasquez</w:t>
            </w:r>
          </w:p>
        </w:tc>
        <w:tc>
          <w:tcPr>
            <w:tcW w:type="dxa" w:w="1757"/>
          </w:tcPr>
          <w:p>
            <w:r>
              <w:t>2025-01-23</w:t>
            </w:r>
          </w:p>
        </w:tc>
      </w:tr>
      <w:tr>
        <w:tc>
          <w:tcPr>
            <w:tcW w:type="dxa" w:w="1757"/>
          </w:tcPr>
          <w:p>
            <w:r>
              <w:t>Approved by</w:t>
            </w:r>
          </w:p>
        </w:tc>
        <w:tc>
          <w:tcPr>
            <w:tcW w:type="dxa" w:w="1757"/>
          </w:tcPr>
          <w:p>
            <w:r>
              <w:t>Sandra Kim</w:t>
            </w:r>
          </w:p>
        </w:tc>
        <w:tc>
          <w:tcPr>
            <w:tcW w:type="dxa" w:w="1757"/>
          </w:tcPr>
          <w:p>
            <w:r>
              <w:t>Director Environmental Health &amp; Safety</w:t>
            </w:r>
          </w:p>
        </w:tc>
        <w:tc>
          <w:tcPr>
            <w:tcW w:type="dxa" w:w="1757"/>
          </w:tcPr>
          <w:p>
            <w:r>
              <w:t>/s/ Sandra Kim</w:t>
            </w:r>
          </w:p>
        </w:tc>
        <w:tc>
          <w:tcPr>
            <w:tcW w:type="dxa" w:w="1757"/>
          </w:tcPr>
          <w:p>
            <w:r>
              <w:t>2025-01-23</w:t>
            </w:r>
          </w:p>
        </w:tc>
      </w:tr>
    </w:tbl>
    <w:p/>
    <w:p>
      <w:r>
        <w:rPr>
          <w:b/>
        </w:rPr>
        <w:t>Effective Date:</w:t>
      </w:r>
      <w:r>
        <w:t xml:space="preserve"> 2025-01-23</w:t>
      </w:r>
    </w:p>
    <w:p>
      <w:r>
        <w:rPr>
          <w:b/>
        </w:rPr>
        <w:t>Next Scheduled Review:</w:t>
      </w:r>
      <w:r>
        <w:t xml:space="preserve"> 2027-01-23 (biennial)</w:t>
      </w:r>
    </w:p>
    <w:p>
      <w:r>
        <w:t>Questions regarding this Schedule should be directed to:</w:t>
      </w:r>
    </w:p>
    <w:p>
      <w:r>
        <w:rPr>
          <w:b/>
        </w:rPr>
        <w:t>Linda Nguyen, Records and Information Manager</w:t>
      </w:r>
    </w:p>
    <w:p>
      <w:r>
        <w:t>Legal Department, 400 Wabash Commons Drive, Lafayette, IN 47901</w:t>
      </w:r>
    </w:p>
    <w:p>
      <w:r>
        <w:t>linda.nguyen@rockridge-pl.example | Ext. 4012</w:t>
      </w:r>
    </w:p>
    <w:p>
      <w:pPr>
        <w:pStyle w:val="Heading1"/>
      </w:pPr>
      <w:r>
        <w:t>Appendix A — Top 30 Record Series by Regulatory Retention Period</w:t>
      </w:r>
    </w:p>
    <w:p>
      <w:r>
        <w:t>The following 30 record series carry the longest minimum regulatory retention periods and therefore represent the highest-priority series for careful management, off-site backup, and legal hold compliance.</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tcPr>
          <w:p>
            <w:r>
              <w:rPr>
                <w:b/>
              </w:rPr>
              <w:t>Rank</w:t>
            </w:r>
          </w:p>
        </w:tc>
        <w:tc>
          <w:tcPr>
            <w:tcW w:type="dxa" w:w="1757"/>
          </w:tcPr>
          <w:p>
            <w:r>
              <w:rPr>
                <w:b/>
              </w:rPr>
              <w:t>RRS ID</w:t>
            </w:r>
          </w:p>
        </w:tc>
        <w:tc>
          <w:tcPr>
            <w:tcW w:type="dxa" w:w="1757"/>
          </w:tcPr>
          <w:p>
            <w:r>
              <w:rPr>
                <w:b/>
              </w:rPr>
              <w:t>Record Series Name</w:t>
            </w:r>
          </w:p>
        </w:tc>
        <w:tc>
          <w:tcPr>
            <w:tcW w:type="dxa" w:w="1757"/>
          </w:tcPr>
          <w:p>
            <w:r>
              <w:rPr>
                <w:b/>
              </w:rPr>
              <w:t>Retention Period</w:t>
            </w:r>
          </w:p>
        </w:tc>
        <w:tc>
          <w:tcPr>
            <w:tcW w:type="dxa" w:w="1757"/>
          </w:tcPr>
          <w:p>
            <w:r>
              <w:rPr>
                <w:b/>
              </w:rPr>
              <w:t>Regulatory Authority</w:t>
            </w:r>
          </w:p>
        </w:tc>
      </w:tr>
      <w:tr>
        <w:tc>
          <w:tcPr>
            <w:tcW w:type="dxa" w:w="1757"/>
          </w:tcPr>
          <w:p>
            <w:r>
              <w:t>1</w:t>
            </w:r>
          </w:p>
        </w:tc>
        <w:tc>
          <w:tcPr>
            <w:tcW w:type="dxa" w:w="1757"/>
          </w:tcPr>
          <w:p>
            <w:r>
              <w:t>RRS-MTR-001</w:t>
            </w:r>
          </w:p>
        </w:tc>
        <w:tc>
          <w:tcPr>
            <w:tcW w:type="dxa" w:w="1757"/>
          </w:tcPr>
          <w:p>
            <w:r>
              <w:t>Meter Test Records – Individual (Permanent)</w:t>
            </w:r>
          </w:p>
        </w:tc>
        <w:tc>
          <w:tcPr>
            <w:tcW w:type="dxa" w:w="1757"/>
          </w:tcPr>
          <w:p>
            <w:r>
              <w:t>Permanent</w:t>
            </w:r>
          </w:p>
        </w:tc>
        <w:tc>
          <w:tcPr>
            <w:tcW w:type="dxa" w:w="1757"/>
          </w:tcPr>
          <w:p>
            <w:r>
              <w:t>170 IAC 4-1-4(b)</w:t>
            </w:r>
          </w:p>
        </w:tc>
      </w:tr>
      <w:tr>
        <w:tc>
          <w:tcPr>
            <w:tcW w:type="dxa" w:w="1757"/>
          </w:tcPr>
          <w:p>
            <w:r>
              <w:t>2</w:t>
            </w:r>
          </w:p>
        </w:tc>
        <w:tc>
          <w:tcPr>
            <w:tcW w:type="dxa" w:w="1757"/>
          </w:tcPr>
          <w:p>
            <w:r>
              <w:t>RRS-MTR-008</w:t>
            </w:r>
          </w:p>
        </w:tc>
        <w:tc>
          <w:tcPr>
            <w:tcW w:type="dxa" w:w="1757"/>
          </w:tcPr>
          <w:p>
            <w:r>
              <w:t>Meter Inventory and Asset Records</w:t>
            </w:r>
          </w:p>
        </w:tc>
        <w:tc>
          <w:tcPr>
            <w:tcW w:type="dxa" w:w="1757"/>
          </w:tcPr>
          <w:p>
            <w:r>
              <w:t>Permanent</w:t>
            </w:r>
          </w:p>
        </w:tc>
        <w:tc>
          <w:tcPr>
            <w:tcW w:type="dxa" w:w="1757"/>
          </w:tcPr>
          <w:p>
            <w:r>
              <w:t>170 IAC 4-1-4(b)</w:t>
            </w:r>
          </w:p>
        </w:tc>
      </w:tr>
      <w:tr>
        <w:tc>
          <w:tcPr>
            <w:tcW w:type="dxa" w:w="1757"/>
          </w:tcPr>
          <w:p>
            <w:r>
              <w:t>3</w:t>
            </w:r>
          </w:p>
        </w:tc>
        <w:tc>
          <w:tcPr>
            <w:tcW w:type="dxa" w:w="1757"/>
          </w:tcPr>
          <w:p>
            <w:r>
              <w:t>RRS-CS-009</w:t>
            </w:r>
          </w:p>
        </w:tc>
        <w:tc>
          <w:tcPr>
            <w:tcW w:type="dxa" w:w="1757"/>
          </w:tcPr>
          <w:p>
            <w:r>
              <w:t>Tariff Schedules – Filed and Superseded</w:t>
            </w:r>
          </w:p>
        </w:tc>
        <w:tc>
          <w:tcPr>
            <w:tcW w:type="dxa" w:w="1757"/>
          </w:tcPr>
          <w:p>
            <w:r>
              <w:t>Permanent</w:t>
            </w:r>
          </w:p>
        </w:tc>
        <w:tc>
          <w:tcPr>
            <w:tcW w:type="dxa" w:w="1757"/>
          </w:tcPr>
          <w:p>
            <w:r>
              <w:t>IC 8-1-2-40; 170 IAC 1-2-1</w:t>
            </w:r>
          </w:p>
        </w:tc>
      </w:tr>
      <w:tr>
        <w:tc>
          <w:tcPr>
            <w:tcW w:type="dxa" w:w="1757"/>
          </w:tcPr>
          <w:p>
            <w:r>
              <w:t>4</w:t>
            </w:r>
          </w:p>
        </w:tc>
        <w:tc>
          <w:tcPr>
            <w:tcW w:type="dxa" w:w="1757"/>
          </w:tcPr>
          <w:p>
            <w:r>
              <w:t>RRS-DO-003</w:t>
            </w:r>
          </w:p>
        </w:tc>
        <w:tc>
          <w:tcPr>
            <w:tcW w:type="dxa" w:w="1757"/>
          </w:tcPr>
          <w:p>
            <w:r>
              <w:t>Distribution System Maps and GIS Records</w:t>
            </w:r>
          </w:p>
        </w:tc>
        <w:tc>
          <w:tcPr>
            <w:tcW w:type="dxa" w:w="1757"/>
          </w:tcPr>
          <w:p>
            <w:r>
              <w:t>Permanent</w:t>
            </w:r>
          </w:p>
        </w:tc>
        <w:tc>
          <w:tcPr>
            <w:tcW w:type="dxa" w:w="1757"/>
          </w:tcPr>
          <w:p>
            <w:r>
              <w:t>company practice</w:t>
            </w:r>
          </w:p>
        </w:tc>
      </w:tr>
      <w:tr>
        <w:tc>
          <w:tcPr>
            <w:tcW w:type="dxa" w:w="1757"/>
          </w:tcPr>
          <w:p>
            <w:r>
              <w:t>5</w:t>
            </w:r>
          </w:p>
        </w:tc>
        <w:tc>
          <w:tcPr>
            <w:tcW w:type="dxa" w:w="1757"/>
          </w:tcPr>
          <w:p>
            <w:r>
              <w:t>RRS-LEG-001</w:t>
            </w:r>
          </w:p>
        </w:tc>
        <w:tc>
          <w:tcPr>
            <w:tcW w:type="dxa" w:w="1757"/>
          </w:tcPr>
          <w:p>
            <w:r>
              <w:t>Corporate Charter and Incorporation Documents</w:t>
            </w:r>
          </w:p>
        </w:tc>
        <w:tc>
          <w:tcPr>
            <w:tcW w:type="dxa" w:w="1757"/>
          </w:tcPr>
          <w:p>
            <w:r>
              <w:t>Permanent</w:t>
            </w:r>
          </w:p>
        </w:tc>
        <w:tc>
          <w:tcPr>
            <w:tcW w:type="dxa" w:w="1757"/>
          </w:tcPr>
          <w:p>
            <w:r>
              <w:t>company practice</w:t>
            </w:r>
          </w:p>
        </w:tc>
      </w:tr>
      <w:tr>
        <w:tc>
          <w:tcPr>
            <w:tcW w:type="dxa" w:w="1757"/>
          </w:tcPr>
          <w:p>
            <w:r>
              <w:t>6</w:t>
            </w:r>
          </w:p>
        </w:tc>
        <w:tc>
          <w:tcPr>
            <w:tcW w:type="dxa" w:w="1757"/>
          </w:tcPr>
          <w:p>
            <w:r>
              <w:t>RRS-LEG-002</w:t>
            </w:r>
          </w:p>
        </w:tc>
        <w:tc>
          <w:tcPr>
            <w:tcW w:type="dxa" w:w="1757"/>
          </w:tcPr>
          <w:p>
            <w:r>
              <w:t>Board of Directors Minutes and Resolutions</w:t>
            </w:r>
          </w:p>
        </w:tc>
        <w:tc>
          <w:tcPr>
            <w:tcW w:type="dxa" w:w="1757"/>
          </w:tcPr>
          <w:p>
            <w:r>
              <w:t>Permanent</w:t>
            </w:r>
          </w:p>
        </w:tc>
        <w:tc>
          <w:tcPr>
            <w:tcW w:type="dxa" w:w="1757"/>
          </w:tcPr>
          <w:p>
            <w:r>
              <w:t>company practice; IC 23-1-52-1</w:t>
            </w:r>
          </w:p>
        </w:tc>
      </w:tr>
      <w:tr>
        <w:tc>
          <w:tcPr>
            <w:tcW w:type="dxa" w:w="1757"/>
          </w:tcPr>
          <w:p>
            <w:r>
              <w:t>7</w:t>
            </w:r>
          </w:p>
        </w:tc>
        <w:tc>
          <w:tcPr>
            <w:tcW w:type="dxa" w:w="1757"/>
          </w:tcPr>
          <w:p>
            <w:r>
              <w:t>RRS-LEG-008</w:t>
            </w:r>
          </w:p>
        </w:tc>
        <w:tc>
          <w:tcPr>
            <w:tcW w:type="dxa" w:w="1757"/>
          </w:tcPr>
          <w:p>
            <w:r>
              <w:t>Franchise Agreements and Service Territory Records</w:t>
            </w:r>
          </w:p>
        </w:tc>
        <w:tc>
          <w:tcPr>
            <w:tcW w:type="dxa" w:w="1757"/>
          </w:tcPr>
          <w:p>
            <w:r>
              <w:t>Permanent</w:t>
            </w:r>
          </w:p>
        </w:tc>
        <w:tc>
          <w:tcPr>
            <w:tcW w:type="dxa" w:w="1757"/>
          </w:tcPr>
          <w:p>
            <w:r>
              <w:t>company practice; IC 8-1-2-86</w:t>
            </w:r>
          </w:p>
        </w:tc>
      </w:tr>
      <w:tr>
        <w:tc>
          <w:tcPr>
            <w:tcW w:type="dxa" w:w="1757"/>
          </w:tcPr>
          <w:p>
            <w:r>
              <w:t>8</w:t>
            </w:r>
          </w:p>
        </w:tc>
        <w:tc>
          <w:tcPr>
            <w:tcW w:type="dxa" w:w="1757"/>
          </w:tcPr>
          <w:p>
            <w:r>
              <w:t>RRS-FIN-006</w:t>
            </w:r>
          </w:p>
        </w:tc>
        <w:tc>
          <w:tcPr>
            <w:tcW w:type="dxa" w:w="1757"/>
          </w:tcPr>
          <w:p>
            <w:r>
              <w:t>Fixed Asset and Plant Accounting Records</w:t>
            </w:r>
          </w:p>
        </w:tc>
        <w:tc>
          <w:tcPr>
            <w:tcW w:type="dxa" w:w="1757"/>
          </w:tcPr>
          <w:p>
            <w:r>
              <w:t>Permanent</w:t>
            </w:r>
          </w:p>
        </w:tc>
        <w:tc>
          <w:tcPr>
            <w:tcW w:type="dxa" w:w="1757"/>
          </w:tcPr>
          <w:p>
            <w:r>
              <w:t>18 CFR 125.2</w:t>
            </w:r>
          </w:p>
        </w:tc>
      </w:tr>
      <w:tr>
        <w:tc>
          <w:tcPr>
            <w:tcW w:type="dxa" w:w="1757"/>
          </w:tcPr>
          <w:p>
            <w:r>
              <w:t>9</w:t>
            </w:r>
          </w:p>
        </w:tc>
        <w:tc>
          <w:tcPr>
            <w:tcW w:type="dxa" w:w="1757"/>
          </w:tcPr>
          <w:p>
            <w:r>
              <w:t>RRS-LEG-010</w:t>
            </w:r>
          </w:p>
        </w:tc>
        <w:tc>
          <w:tcPr>
            <w:tcW w:type="dxa" w:w="1757"/>
          </w:tcPr>
          <w:p>
            <w:r>
              <w:t>Records Retention Schedule and Legal Hold Logs</w:t>
            </w:r>
          </w:p>
        </w:tc>
        <w:tc>
          <w:tcPr>
            <w:tcW w:type="dxa" w:w="1757"/>
          </w:tcPr>
          <w:p>
            <w:r>
              <w:t>Permanent (schedule)</w:t>
            </w:r>
          </w:p>
        </w:tc>
        <w:tc>
          <w:tcPr>
            <w:tcW w:type="dxa" w:w="1757"/>
          </w:tcPr>
          <w:p>
            <w:r>
              <w:t>company practice</w:t>
            </w:r>
          </w:p>
        </w:tc>
      </w:tr>
      <w:tr>
        <w:tc>
          <w:tcPr>
            <w:tcW w:type="dxa" w:w="1757"/>
          </w:tcPr>
          <w:p>
            <w:r>
              <w:t>10</w:t>
            </w:r>
          </w:p>
        </w:tc>
        <w:tc>
          <w:tcPr>
            <w:tcW w:type="dxa" w:w="1757"/>
          </w:tcPr>
          <w:p>
            <w:r>
              <w:t>RRS-GEN-001</w:t>
            </w:r>
          </w:p>
        </w:tc>
        <w:tc>
          <w:tcPr>
            <w:tcW w:type="dxa" w:w="1757"/>
          </w:tcPr>
          <w:p>
            <w:r>
              <w:t>Corporate Charter (Corporate Records)</w:t>
            </w:r>
          </w:p>
        </w:tc>
        <w:tc>
          <w:tcPr>
            <w:tcW w:type="dxa" w:w="1757"/>
          </w:tcPr>
          <w:p>
            <w:r>
              <w:t>Permanent</w:t>
            </w:r>
          </w:p>
        </w:tc>
        <w:tc>
          <w:tcPr>
            <w:tcW w:type="dxa" w:w="1757"/>
          </w:tcPr>
          <w:p>
            <w:r>
              <w:t>company practice</w:t>
            </w:r>
          </w:p>
        </w:tc>
      </w:tr>
      <w:tr>
        <w:tc>
          <w:tcPr>
            <w:tcW w:type="dxa" w:w="1757"/>
          </w:tcPr>
          <w:p>
            <w:r>
              <w:t>11</w:t>
            </w:r>
          </w:p>
        </w:tc>
        <w:tc>
          <w:tcPr>
            <w:tcW w:type="dxa" w:w="1757"/>
          </w:tcPr>
          <w:p>
            <w:r>
              <w:t>RRS-GEN-009</w:t>
            </w:r>
          </w:p>
        </w:tc>
        <w:tc>
          <w:tcPr>
            <w:tcW w:type="dxa" w:w="1757"/>
          </w:tcPr>
          <w:p>
            <w:r>
              <w:t>Real Property Records</w:t>
            </w:r>
          </w:p>
        </w:tc>
        <w:tc>
          <w:tcPr>
            <w:tcW w:type="dxa" w:w="1757"/>
          </w:tcPr>
          <w:p>
            <w:r>
              <w:t>Permanent</w:t>
            </w:r>
          </w:p>
        </w:tc>
        <w:tc>
          <w:tcPr>
            <w:tcW w:type="dxa" w:w="1757"/>
          </w:tcPr>
          <w:p>
            <w:r>
              <w:t>company practice</w:t>
            </w:r>
          </w:p>
        </w:tc>
      </w:tr>
      <w:tr>
        <w:tc>
          <w:tcPr>
            <w:tcW w:type="dxa" w:w="1757"/>
          </w:tcPr>
          <w:p>
            <w:r>
              <w:t>12</w:t>
            </w:r>
          </w:p>
        </w:tc>
        <w:tc>
          <w:tcPr>
            <w:tcW w:type="dxa" w:w="1757"/>
          </w:tcPr>
          <w:p>
            <w:r>
              <w:t>RRS-GEN-003</w:t>
            </w:r>
          </w:p>
        </w:tc>
        <w:tc>
          <w:tcPr>
            <w:tcW w:type="dxa" w:w="1757"/>
          </w:tcPr>
          <w:p>
            <w:r>
              <w:t>Corporate Annual Reports</w:t>
            </w:r>
          </w:p>
        </w:tc>
        <w:tc>
          <w:tcPr>
            <w:tcW w:type="dxa" w:w="1757"/>
          </w:tcPr>
          <w:p>
            <w:r>
              <w:t>Permanent</w:t>
            </w:r>
          </w:p>
        </w:tc>
        <w:tc>
          <w:tcPr>
            <w:tcW w:type="dxa" w:w="1757"/>
          </w:tcPr>
          <w:p>
            <w:r>
              <w:t>company practice</w:t>
            </w:r>
          </w:p>
        </w:tc>
      </w:tr>
      <w:tr>
        <w:tc>
          <w:tcPr>
            <w:tcW w:type="dxa" w:w="1757"/>
          </w:tcPr>
          <w:p>
            <w:r>
              <w:t>13</w:t>
            </w:r>
          </w:p>
        </w:tc>
        <w:tc>
          <w:tcPr>
            <w:tcW w:type="dxa" w:w="1757"/>
          </w:tcPr>
          <w:p>
            <w:r>
              <w:t>RRS-ENV-004</w:t>
            </w:r>
          </w:p>
        </w:tc>
        <w:tc>
          <w:tcPr>
            <w:tcW w:type="dxa" w:w="1757"/>
          </w:tcPr>
          <w:p>
            <w:r>
              <w:t>PCB Disposal Certificates and Manifests</w:t>
            </w:r>
          </w:p>
        </w:tc>
        <w:tc>
          <w:tcPr>
            <w:tcW w:type="dxa" w:w="1757"/>
          </w:tcPr>
          <w:p>
            <w:r>
              <w:t>25 years</w:t>
            </w:r>
          </w:p>
        </w:tc>
        <w:tc>
          <w:tcPr>
            <w:tcW w:type="dxa" w:w="1757"/>
          </w:tcPr>
          <w:p>
            <w:r>
              <w:t>40 CFR 761.180(b)</w:t>
            </w:r>
          </w:p>
        </w:tc>
      </w:tr>
      <w:tr>
        <w:tc>
          <w:tcPr>
            <w:tcW w:type="dxa" w:w="1757"/>
          </w:tcPr>
          <w:p>
            <w:r>
              <w:t>14</w:t>
            </w:r>
          </w:p>
        </w:tc>
        <w:tc>
          <w:tcPr>
            <w:tcW w:type="dxa" w:w="1757"/>
          </w:tcPr>
          <w:p>
            <w:r>
              <w:t>RRS-SAF-003</w:t>
            </w:r>
          </w:p>
        </w:tc>
        <w:tc>
          <w:tcPr>
            <w:tcW w:type="dxa" w:w="1757"/>
          </w:tcPr>
          <w:p>
            <w:r>
              <w:t>Employee Medical Records</w:t>
            </w:r>
          </w:p>
        </w:tc>
        <w:tc>
          <w:tcPr>
            <w:tcW w:type="dxa" w:w="1757"/>
          </w:tcPr>
          <w:p>
            <w:r>
              <w:t>Duration of employment + 30 years</w:t>
            </w:r>
          </w:p>
        </w:tc>
        <w:tc>
          <w:tcPr>
            <w:tcW w:type="dxa" w:w="1757"/>
          </w:tcPr>
          <w:p>
            <w:r>
              <w:t>29 CFR 1910.1020</w:t>
            </w:r>
          </w:p>
        </w:tc>
      </w:tr>
      <w:tr>
        <w:tc>
          <w:tcPr>
            <w:tcW w:type="dxa" w:w="1757"/>
          </w:tcPr>
          <w:p>
            <w:r>
              <w:t>15</w:t>
            </w:r>
          </w:p>
        </w:tc>
        <w:tc>
          <w:tcPr>
            <w:tcW w:type="dxa" w:w="1757"/>
          </w:tcPr>
          <w:p>
            <w:r>
              <w:t>RRS-SAF-004</w:t>
            </w:r>
          </w:p>
        </w:tc>
        <w:tc>
          <w:tcPr>
            <w:tcW w:type="dxa" w:w="1757"/>
          </w:tcPr>
          <w:p>
            <w:r>
              <w:t>Employee Exposure Records</w:t>
            </w:r>
          </w:p>
        </w:tc>
        <w:tc>
          <w:tcPr>
            <w:tcW w:type="dxa" w:w="1757"/>
          </w:tcPr>
          <w:p>
            <w:r>
              <w:t>30 years</w:t>
            </w:r>
          </w:p>
        </w:tc>
        <w:tc>
          <w:tcPr>
            <w:tcW w:type="dxa" w:w="1757"/>
          </w:tcPr>
          <w:p>
            <w:r>
              <w:t>29 CFR 1910.1020(d)(1)</w:t>
            </w:r>
          </w:p>
        </w:tc>
      </w:tr>
      <w:tr>
        <w:tc>
          <w:tcPr>
            <w:tcW w:type="dxa" w:w="1757"/>
          </w:tcPr>
          <w:p>
            <w:r>
              <w:t>16</w:t>
            </w:r>
          </w:p>
        </w:tc>
        <w:tc>
          <w:tcPr>
            <w:tcW w:type="dxa" w:w="1757"/>
          </w:tcPr>
          <w:p>
            <w:r>
              <w:t>RRS-FIN-001</w:t>
            </w:r>
          </w:p>
        </w:tc>
        <w:tc>
          <w:tcPr>
            <w:tcW w:type="dxa" w:w="1757"/>
          </w:tcPr>
          <w:p>
            <w:r>
              <w:t>General Ledger and Chart of Accounts</w:t>
            </w:r>
          </w:p>
        </w:tc>
        <w:tc>
          <w:tcPr>
            <w:tcW w:type="dxa" w:w="1757"/>
          </w:tcPr>
          <w:p>
            <w:r>
              <w:t>10 years</w:t>
            </w:r>
          </w:p>
        </w:tc>
        <w:tc>
          <w:tcPr>
            <w:tcW w:type="dxa" w:w="1757"/>
          </w:tcPr>
          <w:p>
            <w:r>
              <w:t>18 CFR 125.2</w:t>
            </w:r>
          </w:p>
        </w:tc>
      </w:tr>
      <w:tr>
        <w:tc>
          <w:tcPr>
            <w:tcW w:type="dxa" w:w="1757"/>
          </w:tcPr>
          <w:p>
            <w:r>
              <w:t>17</w:t>
            </w:r>
          </w:p>
        </w:tc>
        <w:tc>
          <w:tcPr>
            <w:tcW w:type="dxa" w:w="1757"/>
          </w:tcPr>
          <w:p>
            <w:r>
              <w:t>RRS-FIN-003</w:t>
            </w:r>
          </w:p>
        </w:tc>
        <w:tc>
          <w:tcPr>
            <w:tcW w:type="dxa" w:w="1757"/>
          </w:tcPr>
          <w:p>
            <w:r>
              <w:t>Rate Case Supporting Documentation</w:t>
            </w:r>
          </w:p>
        </w:tc>
        <w:tc>
          <w:tcPr>
            <w:tcW w:type="dxa" w:w="1757"/>
          </w:tcPr>
          <w:p>
            <w:r>
              <w:t>10 years after final order</w:t>
            </w:r>
          </w:p>
        </w:tc>
        <w:tc>
          <w:tcPr>
            <w:tcW w:type="dxa" w:w="1757"/>
          </w:tcPr>
          <w:p>
            <w:r>
              <w:t>170 IAC 1-5-9</w:t>
            </w:r>
          </w:p>
        </w:tc>
      </w:tr>
      <w:tr>
        <w:tc>
          <w:tcPr>
            <w:tcW w:type="dxa" w:w="1757"/>
          </w:tcPr>
          <w:p>
            <w:r>
              <w:t>18</w:t>
            </w:r>
          </w:p>
        </w:tc>
        <w:tc>
          <w:tcPr>
            <w:tcW w:type="dxa" w:w="1757"/>
          </w:tcPr>
          <w:p>
            <w:r>
              <w:t>RRS-CS-010</w:t>
            </w:r>
          </w:p>
        </w:tc>
        <w:tc>
          <w:tcPr>
            <w:tcW w:type="dxa" w:w="1757"/>
          </w:tcPr>
          <w:p>
            <w:r>
              <w:t>Rate Case Working Papers</w:t>
            </w:r>
          </w:p>
        </w:tc>
        <w:tc>
          <w:tcPr>
            <w:tcW w:type="dxa" w:w="1757"/>
          </w:tcPr>
          <w:p>
            <w:r>
              <w:t>10 years after order</w:t>
            </w:r>
          </w:p>
        </w:tc>
        <w:tc>
          <w:tcPr>
            <w:tcW w:type="dxa" w:w="1757"/>
          </w:tcPr>
          <w:p>
            <w:r>
              <w:t>170 IAC 1-5-2</w:t>
            </w:r>
          </w:p>
        </w:tc>
      </w:tr>
      <w:tr>
        <w:tc>
          <w:tcPr>
            <w:tcW w:type="dxa" w:w="1757"/>
          </w:tcPr>
          <w:p>
            <w:r>
              <w:t>19</w:t>
            </w:r>
          </w:p>
        </w:tc>
        <w:tc>
          <w:tcPr>
            <w:tcW w:type="dxa" w:w="1757"/>
          </w:tcPr>
          <w:p>
            <w:r>
              <w:t>RRS-LEG-005</w:t>
            </w:r>
          </w:p>
        </w:tc>
        <w:tc>
          <w:tcPr>
            <w:tcW w:type="dxa" w:w="1757"/>
          </w:tcPr>
          <w:p>
            <w:r>
              <w:t>Litigation Files</w:t>
            </w:r>
          </w:p>
        </w:tc>
        <w:tc>
          <w:tcPr>
            <w:tcW w:type="dxa" w:w="1757"/>
          </w:tcPr>
          <w:p>
            <w:r>
              <w:t>10 years after final disposition</w:t>
            </w:r>
          </w:p>
        </w:tc>
        <w:tc>
          <w:tcPr>
            <w:tcW w:type="dxa" w:w="1757"/>
          </w:tcPr>
          <w:p>
            <w:r>
              <w:t>company practice</w:t>
            </w:r>
          </w:p>
        </w:tc>
      </w:tr>
      <w:tr>
        <w:tc>
          <w:tcPr>
            <w:tcW w:type="dxa" w:w="1757"/>
          </w:tcPr>
          <w:p>
            <w:r>
              <w:t>20</w:t>
            </w:r>
          </w:p>
        </w:tc>
        <w:tc>
          <w:tcPr>
            <w:tcW w:type="dxa" w:w="1757"/>
          </w:tcPr>
          <w:p>
            <w:r>
              <w:t>RRS-LEG-006</w:t>
            </w:r>
          </w:p>
        </w:tc>
        <w:tc>
          <w:tcPr>
            <w:tcW w:type="dxa" w:w="1757"/>
          </w:tcPr>
          <w:p>
            <w:r>
              <w:t>IURC Proceeding Files</w:t>
            </w:r>
          </w:p>
        </w:tc>
        <w:tc>
          <w:tcPr>
            <w:tcW w:type="dxa" w:w="1757"/>
          </w:tcPr>
          <w:p>
            <w:r>
              <w:t>10 years after final order</w:t>
            </w:r>
          </w:p>
        </w:tc>
        <w:tc>
          <w:tcPr>
            <w:tcW w:type="dxa" w:w="1757"/>
          </w:tcPr>
          <w:p>
            <w:r>
              <w:t>IC 8-1-2-40</w:t>
            </w:r>
          </w:p>
        </w:tc>
      </w:tr>
      <w:tr>
        <w:tc>
          <w:tcPr>
            <w:tcW w:type="dxa" w:w="1757"/>
          </w:tcPr>
          <w:p>
            <w:r>
              <w:t>21</w:t>
            </w:r>
          </w:p>
        </w:tc>
        <w:tc>
          <w:tcPr>
            <w:tcW w:type="dxa" w:w="1757"/>
          </w:tcPr>
          <w:p>
            <w:r>
              <w:t>RRS-LEG-007</w:t>
            </w:r>
          </w:p>
        </w:tc>
        <w:tc>
          <w:tcPr>
            <w:tcW w:type="dxa" w:w="1757"/>
          </w:tcPr>
          <w:p>
            <w:r>
              <w:t>Regulatory Correspondence – IURC and FERC</w:t>
            </w:r>
          </w:p>
        </w:tc>
        <w:tc>
          <w:tcPr>
            <w:tcW w:type="dxa" w:w="1757"/>
          </w:tcPr>
          <w:p>
            <w:r>
              <w:t>10 years</w:t>
            </w:r>
          </w:p>
        </w:tc>
        <w:tc>
          <w:tcPr>
            <w:tcW w:type="dxa" w:w="1757"/>
          </w:tcPr>
          <w:p>
            <w:r>
              <w:t>company practice</w:t>
            </w:r>
          </w:p>
        </w:tc>
      </w:tr>
      <w:tr>
        <w:tc>
          <w:tcPr>
            <w:tcW w:type="dxa" w:w="1757"/>
          </w:tcPr>
          <w:p>
            <w:r>
              <w:t>22</w:t>
            </w:r>
          </w:p>
        </w:tc>
        <w:tc>
          <w:tcPr>
            <w:tcW w:type="dxa" w:w="1757"/>
          </w:tcPr>
          <w:p>
            <w:r>
              <w:t>RRS-GEN-002</w:t>
            </w:r>
          </w:p>
        </w:tc>
        <w:tc>
          <w:tcPr>
            <w:tcW w:type="dxa" w:w="1757"/>
          </w:tcPr>
          <w:p>
            <w:r>
              <w:t>Records Destruction Certificates</w:t>
            </w:r>
          </w:p>
        </w:tc>
        <w:tc>
          <w:tcPr>
            <w:tcW w:type="dxa" w:w="1757"/>
          </w:tcPr>
          <w:p>
            <w:r>
              <w:t>10 years</w:t>
            </w:r>
          </w:p>
        </w:tc>
        <w:tc>
          <w:tcPr>
            <w:tcW w:type="dxa" w:w="1757"/>
          </w:tcPr>
          <w:p>
            <w:r>
              <w:t>company practice</w:t>
            </w:r>
          </w:p>
        </w:tc>
      </w:tr>
      <w:tr>
        <w:tc>
          <w:tcPr>
            <w:tcW w:type="dxa" w:w="1757"/>
          </w:tcPr>
          <w:p>
            <w:r>
              <w:t>23</w:t>
            </w:r>
          </w:p>
        </w:tc>
        <w:tc>
          <w:tcPr>
            <w:tcW w:type="dxa" w:w="1757"/>
          </w:tcPr>
          <w:p>
            <w:r>
              <w:t>RRS-DO-002</w:t>
            </w:r>
          </w:p>
        </w:tc>
        <w:tc>
          <w:tcPr>
            <w:tcW w:type="dxa" w:w="1757"/>
          </w:tcPr>
          <w:p>
            <w:r>
              <w:t>Major Event / Catastrophic Outage Records</w:t>
            </w:r>
          </w:p>
        </w:tc>
        <w:tc>
          <w:tcPr>
            <w:tcW w:type="dxa" w:w="1757"/>
          </w:tcPr>
          <w:p>
            <w:r>
              <w:t>10 years</w:t>
            </w:r>
          </w:p>
        </w:tc>
        <w:tc>
          <w:tcPr>
            <w:tcW w:type="dxa" w:w="1757"/>
          </w:tcPr>
          <w:p>
            <w:r>
              <w:t>170 IAC 4-1-23; company practice</w:t>
            </w:r>
          </w:p>
        </w:tc>
      </w:tr>
      <w:tr>
        <w:tc>
          <w:tcPr>
            <w:tcW w:type="dxa" w:w="1757"/>
          </w:tcPr>
          <w:p>
            <w:r>
              <w:t>24</w:t>
            </w:r>
          </w:p>
        </w:tc>
        <w:tc>
          <w:tcPr>
            <w:tcW w:type="dxa" w:w="1757"/>
          </w:tcPr>
          <w:p>
            <w:r>
              <w:t>RRS-DO-009</w:t>
            </w:r>
          </w:p>
        </w:tc>
        <w:tc>
          <w:tcPr>
            <w:tcW w:type="dxa" w:w="1757"/>
          </w:tcPr>
          <w:p>
            <w:r>
              <w:t>Substation Maintenance Records</w:t>
            </w:r>
          </w:p>
        </w:tc>
        <w:tc>
          <w:tcPr>
            <w:tcW w:type="dxa" w:w="1757"/>
          </w:tcPr>
          <w:p>
            <w:r>
              <w:t>10 years</w:t>
            </w:r>
          </w:p>
        </w:tc>
        <w:tc>
          <w:tcPr>
            <w:tcW w:type="dxa" w:w="1757"/>
          </w:tcPr>
          <w:p>
            <w:r>
              <w:t>company practice</w:t>
            </w:r>
          </w:p>
        </w:tc>
      </w:tr>
      <w:tr>
        <w:tc>
          <w:tcPr>
            <w:tcW w:type="dxa" w:w="1757"/>
          </w:tcPr>
          <w:p>
            <w:r>
              <w:t>25</w:t>
            </w:r>
          </w:p>
        </w:tc>
        <w:tc>
          <w:tcPr>
            <w:tcW w:type="dxa" w:w="1757"/>
          </w:tcPr>
          <w:p>
            <w:r>
              <w:t>RRS-ENV-008</w:t>
            </w:r>
          </w:p>
        </w:tc>
        <w:tc>
          <w:tcPr>
            <w:tcW w:type="dxa" w:w="1757"/>
          </w:tcPr>
          <w:p>
            <w:r>
              <w:t>Underground/Aboveground Storage Tank Records</w:t>
            </w:r>
          </w:p>
        </w:tc>
        <w:tc>
          <w:tcPr>
            <w:tcW w:type="dxa" w:w="1757"/>
          </w:tcPr>
          <w:p>
            <w:r>
              <w:t>Life of tank + 10 years</w:t>
            </w:r>
          </w:p>
        </w:tc>
        <w:tc>
          <w:tcPr>
            <w:tcW w:type="dxa" w:w="1757"/>
          </w:tcPr>
          <w:p>
            <w:r>
              <w:t>329 IAC 9; 40 CFR 280</w:t>
            </w:r>
          </w:p>
        </w:tc>
      </w:tr>
      <w:tr>
        <w:tc>
          <w:tcPr>
            <w:tcW w:type="dxa" w:w="1757"/>
          </w:tcPr>
          <w:p>
            <w:r>
              <w:t>26</w:t>
            </w:r>
          </w:p>
        </w:tc>
        <w:tc>
          <w:tcPr>
            <w:tcW w:type="dxa" w:w="1757"/>
          </w:tcPr>
          <w:p>
            <w:r>
              <w:t>RRS-FIN-007</w:t>
            </w:r>
          </w:p>
        </w:tc>
        <w:tc>
          <w:tcPr>
            <w:tcW w:type="dxa" w:w="1757"/>
          </w:tcPr>
          <w:p>
            <w:r>
              <w:t>Depreciation Studies and Reserve Analyses</w:t>
            </w:r>
          </w:p>
        </w:tc>
        <w:tc>
          <w:tcPr>
            <w:tcW w:type="dxa" w:w="1757"/>
          </w:tcPr>
          <w:p>
            <w:r>
              <w:t>10 years after superseded</w:t>
            </w:r>
          </w:p>
        </w:tc>
        <w:tc>
          <w:tcPr>
            <w:tcW w:type="dxa" w:w="1757"/>
          </w:tcPr>
          <w:p>
            <w:r>
              <w:t>170 IAC 1-5-11</w:t>
            </w:r>
          </w:p>
        </w:tc>
      </w:tr>
      <w:tr>
        <w:tc>
          <w:tcPr>
            <w:tcW w:type="dxa" w:w="1757"/>
          </w:tcPr>
          <w:p>
            <w:r>
              <w:t>27</w:t>
            </w:r>
          </w:p>
        </w:tc>
        <w:tc>
          <w:tcPr>
            <w:tcW w:type="dxa" w:w="1757"/>
          </w:tcPr>
          <w:p>
            <w:r>
              <w:t>RRS-FIN-011</w:t>
            </w:r>
          </w:p>
        </w:tc>
        <w:tc>
          <w:tcPr>
            <w:tcW w:type="dxa" w:w="1757"/>
          </w:tcPr>
          <w:p>
            <w:r>
              <w:t>Rider and Adjustment Clause Records</w:t>
            </w:r>
          </w:p>
        </w:tc>
        <w:tc>
          <w:tcPr>
            <w:tcW w:type="dxa" w:w="1757"/>
          </w:tcPr>
          <w:p>
            <w:r>
              <w:t>7 years after final order</w:t>
            </w:r>
          </w:p>
        </w:tc>
        <w:tc>
          <w:tcPr>
            <w:tcW w:type="dxa" w:w="1757"/>
          </w:tcPr>
          <w:p>
            <w:r>
              <w:t>170 IAC 1-6-5</w:t>
            </w:r>
          </w:p>
        </w:tc>
      </w:tr>
      <w:tr>
        <w:tc>
          <w:tcPr>
            <w:tcW w:type="dxa" w:w="1757"/>
          </w:tcPr>
          <w:p>
            <w:r>
              <w:t>28</w:t>
            </w:r>
          </w:p>
        </w:tc>
        <w:tc>
          <w:tcPr>
            <w:tcW w:type="dxa" w:w="1757"/>
          </w:tcPr>
          <w:p>
            <w:r>
              <w:t>RRS-FIN-005</w:t>
            </w:r>
          </w:p>
        </w:tc>
        <w:tc>
          <w:tcPr>
            <w:tcW w:type="dxa" w:w="1757"/>
          </w:tcPr>
          <w:p>
            <w:r>
              <w:t>Tax Returns and Supporting Documents</w:t>
            </w:r>
          </w:p>
        </w:tc>
        <w:tc>
          <w:tcPr>
            <w:tcW w:type="dxa" w:w="1757"/>
          </w:tcPr>
          <w:p>
            <w:r>
              <w:t>7 years</w:t>
            </w:r>
          </w:p>
        </w:tc>
        <w:tc>
          <w:tcPr>
            <w:tcW w:type="dxa" w:w="1757"/>
          </w:tcPr>
          <w:p>
            <w:r>
              <w:t>26 USC 6501</w:t>
            </w:r>
          </w:p>
        </w:tc>
      </w:tr>
      <w:tr>
        <w:tc>
          <w:tcPr>
            <w:tcW w:type="dxa" w:w="1757"/>
          </w:tcPr>
          <w:p>
            <w:r>
              <w:t>29</w:t>
            </w:r>
          </w:p>
        </w:tc>
        <w:tc>
          <w:tcPr>
            <w:tcW w:type="dxa" w:w="1757"/>
          </w:tcPr>
          <w:p>
            <w:r>
              <w:t>RRS-FIN-002</w:t>
            </w:r>
          </w:p>
        </w:tc>
        <w:tc>
          <w:tcPr>
            <w:tcW w:type="dxa" w:w="1757"/>
          </w:tcPr>
          <w:p>
            <w:r>
              <w:t>Accounts Receivable Records</w:t>
            </w:r>
          </w:p>
        </w:tc>
        <w:tc>
          <w:tcPr>
            <w:tcW w:type="dxa" w:w="1757"/>
          </w:tcPr>
          <w:p>
            <w:r>
              <w:t>7 years</w:t>
            </w:r>
          </w:p>
        </w:tc>
        <w:tc>
          <w:tcPr>
            <w:tcW w:type="dxa" w:w="1757"/>
          </w:tcPr>
          <w:p>
            <w:r>
              <w:t>company practice; IC 34-11-2-7</w:t>
            </w:r>
          </w:p>
        </w:tc>
      </w:tr>
      <w:tr>
        <w:tc>
          <w:tcPr>
            <w:tcW w:type="dxa" w:w="1757"/>
          </w:tcPr>
          <w:p>
            <w:r>
              <w:t>30</w:t>
            </w:r>
          </w:p>
        </w:tc>
        <w:tc>
          <w:tcPr>
            <w:tcW w:type="dxa" w:w="1757"/>
          </w:tcPr>
          <w:p>
            <w:r>
              <w:t>RRS-HR-003</w:t>
            </w:r>
          </w:p>
        </w:tc>
        <w:tc>
          <w:tcPr>
            <w:tcW w:type="dxa" w:w="1757"/>
          </w:tcPr>
          <w:p>
            <w:r>
              <w:t>Payroll Records</w:t>
            </w:r>
          </w:p>
        </w:tc>
        <w:tc>
          <w:tcPr>
            <w:tcW w:type="dxa" w:w="1757"/>
          </w:tcPr>
          <w:p>
            <w:r>
              <w:t>7 years</w:t>
            </w:r>
          </w:p>
        </w:tc>
        <w:tc>
          <w:tcPr>
            <w:tcW w:type="dxa" w:w="1757"/>
          </w:tcPr>
          <w:p>
            <w:r>
              <w:t>26 USC 6501; IC 6-3-4-8</w:t>
            </w:r>
          </w:p>
        </w:tc>
      </w:tr>
    </w:tbl>
    <w:p/>
    <w:p>
      <w:pPr>
        <w:pStyle w:val="Heading1"/>
      </w:pPr>
      <w:r>
        <w:t>Appendix B — Disposition Log Template</w:t>
      </w:r>
    </w:p>
    <w:p>
      <w:r>
        <w:rPr>
          <w:b/>
        </w:rPr>
        <w:t>ROCKRIDGE POWER &amp; LIGHT COMPANY</w:t>
      </w:r>
    </w:p>
    <w:p>
      <w:r>
        <w:rPr>
          <w:b/>
        </w:rPr>
        <w:t>RECORDS DISPOSITION / DESTRUCTION AUTHORIZATION AND LOG</w:t>
      </w:r>
    </w:p>
    <w:p>
      <w:r>
        <w:rPr>
          <w:b/>
        </w:rPr>
        <w:t>Authorization Number:</w:t>
      </w:r>
      <w:r>
        <w:t xml:space="preserve"> _________________ </w:t>
      </w:r>
      <w:r>
        <w:rPr>
          <w:b/>
        </w:rPr>
        <w:t>Date of Authorization:</w:t>
      </w:r>
      <w:r>
        <w:t xml:space="preserve"> _________________</w:t>
      </w:r>
    </w:p>
    <w:p>
      <w:r>
        <w:rPr>
          <w:b/>
        </w:rPr>
        <w:t>Matter type (check one):</w:t>
      </w:r>
    </w:p>
    <w:p>
      <w:r>
        <w:t>☐ Scheduled Destruction &amp;nbsp;&amp;nbsp; ☐ Transfer to Archive &amp;nbsp;&amp;nbsp; ☐ Emergency Destruction (legal hold release required)</w:t>
      </w:r>
    </w:p>
    <w:tbl>
      <w:tblPr>
        <w:tblStyle w:val="TableGrid"/>
        <w:tblW w:type="auto" w:w="0"/>
        <w:tblLook w:firstColumn="1" w:firstRow="1" w:lastColumn="0" w:lastRow="0" w:noHBand="0" w:noVBand="1" w:val="04A0"/>
      </w:tblPr>
      <w:tblGrid>
        <w:gridCol w:w="4392"/>
        <w:gridCol w:w="4392"/>
      </w:tblGrid>
      <w:tr>
        <w:tc>
          <w:tcPr>
            <w:tcW w:type="dxa" w:w="4392"/>
          </w:tcPr>
          <w:p>
            <w:r>
              <w:rPr>
                <w:b/>
              </w:rPr>
              <w:t>Field</w:t>
            </w:r>
          </w:p>
        </w:tc>
        <w:tc>
          <w:tcPr>
            <w:tcW w:type="dxa" w:w="4392"/>
          </w:tcPr>
          <w:p>
            <w:r>
              <w:rPr>
                <w:b/>
              </w:rPr>
              <w:t>Value</w:t>
            </w:r>
          </w:p>
        </w:tc>
      </w:tr>
      <w:tr>
        <w:tc>
          <w:tcPr>
            <w:tcW w:type="dxa" w:w="4392"/>
          </w:tcPr>
          <w:p>
            <w:r>
              <w:t>Record Series ID(s)</w:t>
            </w:r>
          </w:p>
        </w:tc>
        <w:tc>
          <w:tcPr>
            <w:tcW w:type="dxa" w:w="4392"/>
          </w:tcPr>
          <w:p>
            <w:r/>
          </w:p>
        </w:tc>
      </w:tr>
      <w:tr>
        <w:tc>
          <w:tcPr>
            <w:tcW w:type="dxa" w:w="4392"/>
          </w:tcPr>
          <w:p>
            <w:r>
              <w:t>Record Series Name(s)</w:t>
            </w:r>
          </w:p>
        </w:tc>
        <w:tc>
          <w:tcPr>
            <w:tcW w:type="dxa" w:w="4392"/>
          </w:tcPr>
          <w:p>
            <w:r/>
          </w:p>
        </w:tc>
      </w:tr>
      <w:tr>
        <w:tc>
          <w:tcPr>
            <w:tcW w:type="dxa" w:w="4392"/>
          </w:tcPr>
          <w:p>
            <w:r>
              <w:t>Date Range of Records</w:t>
            </w:r>
          </w:p>
        </w:tc>
        <w:tc>
          <w:tcPr>
            <w:tcW w:type="dxa" w:w="4392"/>
          </w:tcPr>
          <w:p>
            <w:r>
              <w:t>From: _________________ To: _________________</w:t>
            </w:r>
          </w:p>
        </w:tc>
      </w:tr>
      <w:tr>
        <w:tc>
          <w:tcPr>
            <w:tcW w:type="dxa" w:w="4392"/>
          </w:tcPr>
          <w:p>
            <w:r>
              <w:t>Volume / Quantity</w:t>
            </w:r>
          </w:p>
        </w:tc>
        <w:tc>
          <w:tcPr>
            <w:tcW w:type="dxa" w:w="4392"/>
          </w:tcPr>
          <w:p>
            <w:r>
              <w:t>______ boxes (paper) / ______ GB (electronic)</w:t>
            </w:r>
          </w:p>
        </w:tc>
      </w:tr>
      <w:tr>
        <w:tc>
          <w:tcPr>
            <w:tcW w:type="dxa" w:w="4392"/>
          </w:tcPr>
          <w:p>
            <w:r>
              <w:t>Storage Location</w:t>
            </w:r>
          </w:p>
        </w:tc>
        <w:tc>
          <w:tcPr>
            <w:tcW w:type="dxa" w:w="4392"/>
          </w:tcPr>
          <w:p>
            <w:r/>
          </w:p>
        </w:tc>
      </w:tr>
      <w:tr>
        <w:tc>
          <w:tcPr>
            <w:tcW w:type="dxa" w:w="4392"/>
          </w:tcPr>
          <w:p>
            <w:r>
              <w:t>Disposition Method</w:t>
            </w:r>
          </w:p>
        </w:tc>
        <w:tc>
          <w:tcPr>
            <w:tcW w:type="dxa" w:w="4392"/>
          </w:tcPr>
          <w:p>
            <w:r>
              <w:t>☐ Cross-cut shred &amp;nbsp; ☐ Secure delete &amp;nbsp; ☐ Degauss + destroy &amp;nbsp; ☐ Archive transfer</w:t>
            </w:r>
          </w:p>
        </w:tc>
      </w:tr>
      <w:tr>
        <w:tc>
          <w:tcPr>
            <w:tcW w:type="dxa" w:w="4392"/>
          </w:tcPr>
          <w:p>
            <w:r>
              <w:t>Vendor (if applicable)</w:t>
            </w:r>
          </w:p>
        </w:tc>
        <w:tc>
          <w:tcPr>
            <w:tcW w:type="dxa" w:w="4392"/>
          </w:tcPr>
          <w:p>
            <w:r/>
          </w:p>
        </w:tc>
      </w:tr>
      <w:tr>
        <w:tc>
          <w:tcPr>
            <w:tcW w:type="dxa" w:w="4392"/>
          </w:tcPr>
          <w:p>
            <w:r>
              <w:t>Retention Period Confirmed</w:t>
            </w:r>
          </w:p>
        </w:tc>
        <w:tc>
          <w:tcPr>
            <w:tcW w:type="dxa" w:w="4392"/>
          </w:tcPr>
          <w:p>
            <w:r>
              <w:t>☐ Yes — period expired _________________</w:t>
            </w:r>
          </w:p>
        </w:tc>
      </w:tr>
      <w:tr>
        <w:tc>
          <w:tcPr>
            <w:tcW w:type="dxa" w:w="4392"/>
          </w:tcPr>
          <w:p>
            <w:r>
              <w:t>Legal Hold Check</w:t>
            </w:r>
          </w:p>
        </w:tc>
        <w:tc>
          <w:tcPr>
            <w:tcW w:type="dxa" w:w="4392"/>
          </w:tcPr>
          <w:p>
            <w:r>
              <w:t>☐ Confirmed no active legal hold applies</w:t>
            </w:r>
          </w:p>
        </w:tc>
      </w:tr>
      <w:tr>
        <w:tc>
          <w:tcPr>
            <w:tcW w:type="dxa" w:w="4392"/>
          </w:tcPr>
          <w:p>
            <w:r>
              <w:t>IURC Approval Required</w:t>
            </w:r>
          </w:p>
        </w:tc>
        <w:tc>
          <w:tcPr>
            <w:tcW w:type="dxa" w:w="4392"/>
          </w:tcPr>
          <w:p>
            <w:r>
              <w:t>☐ N/A &amp;nbsp; ☐ Yes — IURC Order No. _____________ attached</w:t>
            </w:r>
          </w:p>
        </w:tc>
      </w:tr>
      <w:tr>
        <w:tc>
          <w:tcPr>
            <w:tcW w:type="dxa" w:w="4392"/>
          </w:tcPr>
          <w:p>
            <w:r>
              <w:t>Destruction / Transfer Date</w:t>
            </w:r>
          </w:p>
        </w:tc>
        <w:tc>
          <w:tcPr>
            <w:tcW w:type="dxa" w:w="4392"/>
          </w:tcPr>
          <w:p>
            <w:r/>
          </w:p>
        </w:tc>
      </w:tr>
      <w:tr>
        <w:tc>
          <w:tcPr>
            <w:tcW w:type="dxa" w:w="4392"/>
          </w:tcPr>
          <w:p>
            <w:r>
              <w:t>Performed By</w:t>
            </w:r>
          </w:p>
        </w:tc>
        <w:tc>
          <w:tcPr>
            <w:tcW w:type="dxa" w:w="4392"/>
          </w:tcPr>
          <w:p>
            <w:r/>
          </w:p>
        </w:tc>
      </w:tr>
    </w:tbl>
    <w:p/>
    <w:p>
      <w:r>
        <w:rPr>
          <w:b/>
        </w:rPr>
        <w:t>Authorizations:</w:t>
      </w:r>
    </w:p>
    <w:p>
      <w:r>
        <w:t>Records and Information Manager: _________________________ Date: __________</w:t>
      </w:r>
    </w:p>
    <w:p>
      <w:r>
        <w:t>Department Director: _________________________ Date: __________</w:t>
      </w:r>
    </w:p>
    <w:p>
      <w:r>
        <w:rPr>
          <w:b/>
        </w:rPr>
        <w:t>Certificate of Destruction (complete after disposition):</w:t>
      </w:r>
    </w:p>
    <w:p>
      <w:r>
        <w:t>I certify that the records identified above were destroyed / transferred to archive on the date indicated using the approved method. No records subject to an active legal hold were included.</w:t>
      </w:r>
    </w:p>
    <w:p>
      <w:r>
        <w:t>Signature: _________________________ Printed Name: _________________________ Date: __________</w:t>
      </w:r>
    </w:p>
    <w:p>
      <w:r>
        <w:t>*This completed form shall be filed under RRS-GEN-002 and retained for 10 years.*</w:t>
      </w:r>
    </w:p>
    <w:p>
      <w:pPr>
        <w:pStyle w:val="Heading1"/>
      </w:pPr>
      <w:r>
        <w:t>Appendix C — Legal Hold Notice Template</w:t>
      </w:r>
    </w:p>
    <w:p>
      <w:r>
        <w:rPr>
          <w:b/>
        </w:rPr>
        <w:t>ROCKRIDGE POWER &amp; LIGHT COMPANY — LEGAL HOLD NOTICE</w:t>
      </w:r>
    </w:p>
    <w:p>
      <w:r>
        <w:rPr>
          <w:b/>
        </w:rPr>
        <w:t>CONFIDENTIAL — ATTORNEY-CLIENT COMMUNICATION</w:t>
      </w:r>
    </w:p>
    <w:p>
      <w:r>
        <w:rPr>
          <w:b/>
        </w:rPr>
        <w:t>Hold Reference Number:</w:t>
      </w:r>
      <w:r>
        <w:t xml:space="preserve"> _________________ </w:t>
      </w:r>
      <w:r>
        <w:rPr>
          <w:b/>
        </w:rPr>
        <w:t>Issue Date:</w:t>
      </w:r>
      <w:r>
        <w:t xml:space="preserve"> _________________</w:t>
      </w:r>
    </w:p>
    <w:p>
      <w:r>
        <w:rPr>
          <w:b/>
        </w:rPr>
        <w:t>TO:</w:t>
      </w:r>
      <w:r>
        <w:t xml:space="preserve"> [Custodian Name(s)]</w:t>
      </w:r>
    </w:p>
    <w:p>
      <w:r>
        <w:rPr>
          <w:b/>
        </w:rPr>
        <w:t>FROM:</w:t>
      </w:r>
      <w:r>
        <w:t xml:space="preserve"> Jonathan Pierce, Senior Counsel Regulatory / Legal Department</w:t>
      </w:r>
    </w:p>
    <w:p>
      <w:r>
        <w:rPr>
          <w:b/>
        </w:rPr>
        <w:t>RE:</w:t>
      </w:r>
      <w:r>
        <w:t xml:space="preserve"> Legal Hold — [Matter Description]</w:t>
      </w:r>
    </w:p>
    <w:p>
      <w:r>
        <w:rPr>
          <w:b/>
        </w:rPr>
        <w:t>IMPORTANT: You are required to preserve and not destroy any records described below. This obligation applies regardless of whether a records retention schedule would otherwise authorize destruction.</w:t>
      </w:r>
    </w:p>
    <w:p>
      <w:r>
        <w:rPr>
          <w:b/>
        </w:rPr>
        <w:t>1. Nature of Matter:</w:t>
      </w:r>
    </w:p>
    <w:p>
      <w:r>
        <w:t>[Brief description of the litigation, regulatory proceeding, or investigation that triggers this hold]</w:t>
      </w:r>
    </w:p>
    <w:p>
      <w:r>
        <w:rPr>
          <w:b/>
        </w:rPr>
        <w:t>2. Categories of Records to Preserve:</w:t>
      </w:r>
    </w:p>
    <w:p>
      <w:r>
        <w:t>The following types of records, regardless of format or storage location, must be preserved:</w:t>
      </w:r>
    </w:p>
    <w:p>
      <w:pPr>
        <w:pStyle w:val="ListBullet"/>
      </w:pPr>
      <w:r>
        <w:t>[Record category 1 — describe with sufficient specificity]</w:t>
      </w:r>
    </w:p>
    <w:p>
      <w:pPr>
        <w:pStyle w:val="ListBullet"/>
      </w:pPr>
      <w:r>
        <w:t>[Record category 2]</w:t>
      </w:r>
    </w:p>
    <w:p>
      <w:pPr>
        <w:pStyle w:val="ListBullet"/>
      </w:pPr>
      <w:r>
        <w:t>[Relevant record series IDs from this Schedule]</w:t>
      </w:r>
    </w:p>
    <w:p>
      <w:r>
        <w:rPr>
          <w:b/>
        </w:rPr>
        <w:t>3. Time Period:</w:t>
      </w:r>
    </w:p>
    <w:p>
      <w:r>
        <w:t>Records created, received, or modified from _________________ to _________________ (or until further notice) must be preserved.</w:t>
      </w:r>
    </w:p>
    <w:p>
      <w:r>
        <w:rPr>
          <w:b/>
        </w:rPr>
        <w:t>4. Your Obligations:</w:t>
      </w:r>
    </w:p>
    <w:p>
      <w:pPr>
        <w:pStyle w:val="ListBullet"/>
      </w:pPr>
      <w:r>
        <w:t>Immediately stop any scheduled destruction of records covered by this hold.</w:t>
      </w:r>
    </w:p>
    <w:p>
      <w:pPr>
        <w:pStyle w:val="ListBullet"/>
      </w:pPr>
      <w:r>
        <w:t>Do not delete, alter, overwrite, or migrate covered records.</w:t>
      </w:r>
    </w:p>
    <w:p>
      <w:pPr>
        <w:pStyle w:val="ListBullet"/>
      </w:pPr>
      <w:r>
        <w:t>Notify IT to suspend any automated deletion rules that may affect covered data.</w:t>
      </w:r>
    </w:p>
    <w:p>
      <w:pPr>
        <w:pStyle w:val="ListBullet"/>
      </w:pPr>
      <w:r>
        <w:t>Identify all locations where covered records are stored (including personal drives, email, mobile devices, off-site storage).</w:t>
      </w:r>
    </w:p>
    <w:p>
      <w:pPr>
        <w:pStyle w:val="ListBullet"/>
      </w:pPr>
      <w:r>
        <w:t>Return this form signed to confirm receipt.</w:t>
      </w:r>
    </w:p>
    <w:p>
      <w:r>
        <w:rPr>
          <w:b/>
        </w:rPr>
        <w:t>5. Questions:</w:t>
      </w:r>
    </w:p>
    <w:p>
      <w:r>
        <w:t>Contact Jonathan Pierce at jonathan.pierce@rockridge-pl.example or ext. 4003.</w:t>
      </w:r>
    </w:p>
    <w:p>
      <w:r>
        <w:rPr>
          <w:b/>
        </w:rPr>
        <w:t>ACKNOWLEDGMENT OF RECEIPT:</w:t>
      </w:r>
    </w:p>
    <w:p>
      <w:r>
        <w:t>I have received and read this Legal Hold Notice. I understand my obligations and will preserve the records described above.</w:t>
      </w:r>
    </w:p>
    <w:p>
      <w:r>
        <w:t>Signature: _________________________ Printed Name: _________________________ Date: __________</w:t>
      </w:r>
    </w:p>
    <w:p>
      <w:r>
        <w:t>Department: _________________________ Role: _________________________</w:t>
      </w:r>
    </w:p>
    <w:p>
      <w:r>
        <w:t>*Return signed copy to Legal Department within 5 business days. Retain this notice until a written release is issued.*</w:t>
      </w:r>
    </w:p>
    <w:p>
      <w:pPr>
        <w:pStyle w:val="Heading1"/>
      </w:pPr>
      <w:r>
        <w:t>Appendix D — Cross-Reference: Wave 2 Procedures and Generated Record Series</w:t>
      </w:r>
    </w:p>
    <w:p>
      <w:r>
        <w:rPr>
          <w:b/>
        </w:rPr>
        <w:t>Overview.</w:t>
      </w:r>
      <w:r>
        <w:t xml:space="preserve"> The following table maps RPL's Wave 2 operating procedures (as frozen in `/corpus/qa/clause_id_freeze.json`) to the record series in this Schedule. Records generated by a Wave 2 procedure must be retained per the applicable series in this Schedule. The `wave2_clause_ref` column in the master Schedule data file contains clause-level references; this appendix provides a procedure-level summary.</w:t>
      </w:r>
    </w:p>
    <w:tbl>
      <w:tblPr>
        <w:tblStyle w:val="TableGrid"/>
        <w:tblW w:type="auto" w:w="0"/>
        <w:tblLook w:firstColumn="1" w:firstRow="1" w:lastColumn="0" w:lastRow="0" w:noHBand="0" w:noVBand="1" w:val="04A0"/>
      </w:tblPr>
      <w:tblGrid>
        <w:gridCol w:w="2196"/>
        <w:gridCol w:w="2196"/>
        <w:gridCol w:w="2196"/>
        <w:gridCol w:w="2196"/>
      </w:tblGrid>
      <w:tr>
        <w:tc>
          <w:tcPr>
            <w:tcW w:type="dxa" w:w="2196"/>
          </w:tcPr>
          <w:p>
            <w:r>
              <w:rPr>
                <w:b/>
              </w:rPr>
              <w:t>Wave 2 Document</w:t>
            </w:r>
          </w:p>
        </w:tc>
        <w:tc>
          <w:tcPr>
            <w:tcW w:type="dxa" w:w="2196"/>
          </w:tcPr>
          <w:p>
            <w:r>
              <w:rPr>
                <w:b/>
              </w:rPr>
              <w:t>Title</w:t>
            </w:r>
          </w:p>
        </w:tc>
        <w:tc>
          <w:tcPr>
            <w:tcW w:type="dxa" w:w="2196"/>
          </w:tcPr>
          <w:p>
            <w:r>
              <w:rPr>
                <w:b/>
              </w:rPr>
              <w:t>Generated Record Series</w:t>
            </w:r>
          </w:p>
        </w:tc>
        <w:tc>
          <w:tcPr>
            <w:tcW w:type="dxa" w:w="2196"/>
          </w:tcPr>
          <w:p>
            <w:r>
              <w:rPr>
                <w:b/>
              </w:rPr>
              <w:t>Notes</w:t>
            </w:r>
          </w:p>
        </w:tc>
      </w:tr>
      <w:tr>
        <w:tc>
          <w:tcPr>
            <w:tcW w:type="dxa" w:w="2196"/>
          </w:tcPr>
          <w:p>
            <w:r>
              <w:t>RPL-TAR-GRR-012</w:t>
            </w:r>
          </w:p>
        </w:tc>
        <w:tc>
          <w:tcPr>
            <w:tcW w:type="dxa" w:w="2196"/>
          </w:tcPr>
          <w:p>
            <w:r>
              <w:t>General Rules and Regulations Tariff</w:t>
            </w:r>
          </w:p>
        </w:tc>
        <w:tc>
          <w:tcPr>
            <w:tcW w:type="dxa" w:w="2196"/>
          </w:tcPr>
          <w:p>
            <w:r>
              <w:t>RRS-CS-001, RRS-CS-002, RRS-CS-005, RRS-CS-006, RRS-CS-009, RRS-CS-010, RRS-FIN-001, RRS-FIN-002, RRS-FIN-003, RRS-FIN-004, RRS-FIN-011, RRS-LEG-006</w:t>
            </w:r>
          </w:p>
        </w:tc>
        <w:tc>
          <w:tcPr>
            <w:tcW w:type="dxa" w:w="2196"/>
          </w:tcPr>
          <w:p>
            <w:r>
              <w:t>Billing records, tariff filings, and rate case documentation. Records generated under RPL-TAR-GRR-012:R01 through R16 and S01/S47 clauses retained per applicable series.</w:t>
            </w:r>
          </w:p>
        </w:tc>
      </w:tr>
      <w:tr>
        <w:tc>
          <w:tcPr>
            <w:tcW w:type="dxa" w:w="2196"/>
          </w:tcPr>
          <w:p>
            <w:r>
              <w:t>RPL-CS-PRO-004</w:t>
            </w:r>
          </w:p>
        </w:tc>
        <w:tc>
          <w:tcPr>
            <w:tcW w:type="dxa" w:w="2196"/>
          </w:tcPr>
          <w:p>
            <w:r>
              <w:t>Customer Service Procedure (Credit, Collections, Disconnection)</w:t>
            </w:r>
          </w:p>
        </w:tc>
        <w:tc>
          <w:tcPr>
            <w:tcW w:type="dxa" w:w="2196"/>
          </w:tcPr>
          <w:p>
            <w:r>
              <w:t>RRS-CS-001, RRS-CS-002, RRS-CS-003, RRS-CS-005, RRS-CS-006, RRS-CS-007, RRS-CS-008</w:t>
            </w:r>
          </w:p>
        </w:tc>
        <w:tc>
          <w:tcPr>
            <w:tcW w:type="dxa" w:w="2196"/>
          </w:tcPr>
          <w:p>
            <w:r>
              <w:t>Customer dispute records per RPL-CS-PRO-004:13.x; disconnection records per 11.x; deposit records per 10.x</w:t>
            </w:r>
          </w:p>
        </w:tc>
      </w:tr>
      <w:tr>
        <w:tc>
          <w:tcPr>
            <w:tcW w:type="dxa" w:w="2196"/>
          </w:tcPr>
          <w:p>
            <w:r>
              <w:t>RPL-CS-PRO-007</w:t>
            </w:r>
          </w:p>
        </w:tc>
        <w:tc>
          <w:tcPr>
            <w:tcW w:type="dxa" w:w="2196"/>
          </w:tcPr>
          <w:p>
            <w:r>
              <w:t>Customer Operations – Special Programs</w:t>
            </w:r>
          </w:p>
        </w:tc>
        <w:tc>
          <w:tcPr>
            <w:tcW w:type="dxa" w:w="2196"/>
          </w:tcPr>
          <w:p>
            <w:r>
              <w:t>RRS-CS-008</w:t>
            </w:r>
          </w:p>
        </w:tc>
        <w:tc>
          <w:tcPr>
            <w:tcW w:type="dxa" w:w="2196"/>
          </w:tcPr>
          <w:p>
            <w:r>
              <w:t>Medical baseline and life support enrollment records per RPL-CS-PRO-007:4.x</w:t>
            </w:r>
          </w:p>
        </w:tc>
      </w:tr>
      <w:tr>
        <w:tc>
          <w:tcPr>
            <w:tcW w:type="dxa" w:w="2196"/>
          </w:tcPr>
          <w:p>
            <w:r>
              <w:t>RPL-CS-PRO-011</w:t>
            </w:r>
          </w:p>
        </w:tc>
        <w:tc>
          <w:tcPr>
            <w:tcW w:type="dxa" w:w="2196"/>
          </w:tcPr>
          <w:p>
            <w:r>
              <w:t>Customer Complaint Resolution</w:t>
            </w:r>
          </w:p>
        </w:tc>
        <w:tc>
          <w:tcPr>
            <w:tcW w:type="dxa" w:w="2196"/>
          </w:tcPr>
          <w:p>
            <w:r>
              <w:t>RRS-CS-003, RRS-CS-004</w:t>
            </w:r>
          </w:p>
        </w:tc>
        <w:tc>
          <w:tcPr>
            <w:tcW w:type="dxa" w:w="2196"/>
          </w:tcPr>
          <w:p>
            <w:r>
              <w:t>IURC-escalated complaint records per RPL-CS-PRO-011:5.x and 6.x</w:t>
            </w:r>
          </w:p>
        </w:tc>
      </w:tr>
      <w:tr>
        <w:tc>
          <w:tcPr>
            <w:tcW w:type="dxa" w:w="2196"/>
          </w:tcPr>
          <w:p>
            <w:r>
              <w:t>RPL-MTR-PGM-001</w:t>
            </w:r>
          </w:p>
        </w:tc>
        <w:tc>
          <w:tcPr>
            <w:tcW w:type="dxa" w:w="2196"/>
          </w:tcPr>
          <w:p>
            <w:r>
              <w:t>Metering Program</w:t>
            </w:r>
          </w:p>
        </w:tc>
        <w:tc>
          <w:tcPr>
            <w:tcW w:type="dxa" w:w="2196"/>
          </w:tcPr>
          <w:p>
            <w:r>
              <w:t>RRS-MTR-001, RRS-MTR-002, RRS-MTR-003, RRS-MTR-004, RRS-MTR-005, RRS-MTR-006, RRS-MTR-007, RRS-MTR-008</w:t>
            </w:r>
          </w:p>
        </w:tc>
        <w:tc>
          <w:tcPr>
            <w:tcW w:type="dxa" w:w="2196"/>
          </w:tcPr>
          <w:p>
            <w:r>
              <w:t>All meter test and meter asset records. Permanent individual records per RPL-MTR-PGM-001:4.x; periodic test program per 5.x</w:t>
            </w:r>
          </w:p>
        </w:tc>
      </w:tr>
      <w:tr>
        <w:tc>
          <w:tcPr>
            <w:tcW w:type="dxa" w:w="2196"/>
          </w:tcPr>
          <w:p>
            <w:r>
              <w:t>RPL-DO-PLN-002</w:t>
            </w:r>
          </w:p>
        </w:tc>
        <w:tc>
          <w:tcPr>
            <w:tcW w:type="dxa" w:w="2196"/>
          </w:tcPr>
          <w:p>
            <w:r>
              <w:t>Distribution Operations Plan</w:t>
            </w:r>
          </w:p>
        </w:tc>
        <w:tc>
          <w:tcPr>
            <w:tcW w:type="dxa" w:w="2196"/>
          </w:tcPr>
          <w:p>
            <w:r>
              <w:t>RRS-DO-003, RRS-DO-004, RRS-DO-005, RRS-DO-006, RRS-DO-008, RRS-DO-009, RRS-FIN-006, RRS-LEG-003, RRS-GEN-009</w:t>
            </w:r>
          </w:p>
        </w:tc>
        <w:tc>
          <w:tcPr>
            <w:tcW w:type="dxa" w:w="2196"/>
          </w:tcPr>
          <w:p>
            <w:r>
              <w:t>GIS and system maps per RPL-DO-PLN-002:3.x; vegetation management records per 7.x and 8.x; fixed asset records per 5.x</w:t>
            </w:r>
          </w:p>
        </w:tc>
      </w:tr>
      <w:tr>
        <w:tc>
          <w:tcPr>
            <w:tcW w:type="dxa" w:w="2196"/>
          </w:tcPr>
          <w:p>
            <w:r>
              <w:t>RPL-DCC-PRO-003</w:t>
            </w:r>
          </w:p>
        </w:tc>
        <w:tc>
          <w:tcPr>
            <w:tcW w:type="dxa" w:w="2196"/>
          </w:tcPr>
          <w:p>
            <w:r>
              <w:t>Distribution Control Center Procedures</w:t>
            </w:r>
          </w:p>
        </w:tc>
        <w:tc>
          <w:tcPr>
            <w:tcW w:type="dxa" w:w="2196"/>
          </w:tcPr>
          <w:p>
            <w:r>
              <w:t>RRS-DO-001, RRS-DO-002, RRS-DO-010, RRS-MTR-007, RRS-SAF-006, RRS-GEN-005</w:t>
            </w:r>
          </w:p>
        </w:tc>
        <w:tc>
          <w:tcPr>
            <w:tcW w:type="dxa" w:w="2196"/>
          </w:tcPr>
          <w:p>
            <w:r>
              <w:t>Outage records per RPL-DCC-PRO-003:6.x; DCC logs per 3.x; BCP per 10.x</w:t>
            </w:r>
          </w:p>
        </w:tc>
      </w:tr>
      <w:tr>
        <w:tc>
          <w:tcPr>
            <w:tcW w:type="dxa" w:w="2196"/>
          </w:tcPr>
          <w:p>
            <w:r>
              <w:t>RPL-ENV-PRO-005</w:t>
            </w:r>
          </w:p>
        </w:tc>
        <w:tc>
          <w:tcPr>
            <w:tcW w:type="dxa" w:w="2196"/>
          </w:tcPr>
          <w:p>
            <w:r>
              <w:t>Environmental Compliance Procedures</w:t>
            </w:r>
          </w:p>
        </w:tc>
        <w:tc>
          <w:tcPr>
            <w:tcW w:type="dxa" w:w="2196"/>
          </w:tcPr>
          <w:p>
            <w:r>
              <w:t>RRS-ENV-001, RRS-ENV-002, RRS-ENV-003, RRS-ENV-004, RRS-ENV-005, RRS-ENV-006, RRS-ENV-007, RRS-ENV-008, RRS-GEN-010</w:t>
            </w:r>
          </w:p>
        </w:tc>
        <w:tc>
          <w:tcPr>
            <w:tcW w:type="dxa" w:w="2196"/>
          </w:tcPr>
          <w:p>
            <w:r>
              <w:t>SPCC records per RPL-ENV-PRO-005:3.x; PCB records per 6.x; hazardous waste per 7.x; operating permits per 2.x</w:t>
            </w:r>
          </w:p>
        </w:tc>
      </w:tr>
      <w:tr>
        <w:tc>
          <w:tcPr>
            <w:tcW w:type="dxa" w:w="2196"/>
          </w:tcPr>
          <w:p>
            <w:r>
              <w:t>RPL-SAF-PRO-009</w:t>
            </w:r>
          </w:p>
        </w:tc>
        <w:tc>
          <w:tcPr>
            <w:tcW w:type="dxa" w:w="2196"/>
          </w:tcPr>
          <w:p>
            <w:r>
              <w:t>Safety Program Procedures</w:t>
            </w:r>
          </w:p>
        </w:tc>
        <w:tc>
          <w:tcPr>
            <w:tcW w:type="dxa" w:w="2196"/>
          </w:tcPr>
          <w:p>
            <w:r>
              <w:t>RRS-SAF-001, RRS-SAF-002, RRS-SAF-003, RRS-SAF-004, RRS-SAF-005, RRS-SAF-006, RRS-SAF-007, RRS-SAF-008, RRS-SAF-009, RRS-SAF-010, RRS-DO-007</w:t>
            </w:r>
          </w:p>
        </w:tc>
        <w:tc>
          <w:tcPr>
            <w:tcW w:type="dxa" w:w="2196"/>
          </w:tcPr>
          <w:p>
            <w:r>
              <w:t>All safety records. OSHA 300 logs per RPL-SAF-PRO-009:3.x; medical records per 9.x; LOTO per 6.x; confined space per 7.x</w:t>
            </w:r>
          </w:p>
        </w:tc>
      </w:tr>
    </w:tbl>
    <w:p/>
    <w:p>
      <w:r>
        <w:t>*Note: References to Wave 2 clause IDs are to the frozen clause IDs as recorded in `/corpus/qa/clause_id_freeze.json` (freeze date 2026-10-07, Wave 2).*</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