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RPL-REG-CAL-2025: 2025 Regulatory Compliance Calendar</w:t>
      </w:r>
    </w:p>
    <w:p>
      <w:pPr>
        <w:jc w:val="center"/>
      </w:pPr>
      <w:r>
        <w:rPr>
          <w:sz w:val="24"/>
        </w:rPr>
        <w:t>Rockridge Power &amp; Light Company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RPL-REG-CAL-2025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2025-03-14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Effective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2025-03-17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Law as-of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2024-12-31 (Snapshot S1)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lagging_at_approval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TRUE — see lagging note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Marcus Lee (P09)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Elena Vasquez (P08)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Jonathan Pierce (P03)</w:t>
            </w:r>
          </w:p>
        </w:tc>
      </w:tr>
    </w:tbl>
    <w:p/>
    <w:p>
      <w:r>
        <w:rPr>
          <w:b/>
          <w:sz w:val="18"/>
        </w:rPr>
        <w:t>LAGGING-AT-APPROVAL NOTICE: 170 IAC 1-6-3, 1-6-4, and 1-6-5 were amended effective 2025-01-24, prior to this document's approval date of 2025-03-14. This calendar was prepared using law as-of 2024-12-31 (Snapshot 1) and does not reflect those amendments. A v1.3 update is scheduled for Q2 2025 to incorporate the revised sections.</w:t>
      </w:r>
    </w:p>
    <w:p/>
    <w:p>
      <w:pPr>
        <w:pStyle w:val="Heading1"/>
        <w:jc w:val="left"/>
      </w:pPr>
      <w:r>
        <w:t>Section 1 — Purpose</w:t>
      </w:r>
    </w:p>
    <w:p>
      <w:r>
        <w:rPr>
          <w:b w:val="0"/>
          <w:i w:val="0"/>
          <w:sz w:val="18"/>
        </w:rPr>
        <w:t>This document establishes Rockridge Power &amp; Light Company's (RPL) 2025 Regulatory Compliance Calendar, providing a structured schedule of all regulatory filing deadlines, reporting milestones, compliance review cycles, internal audit checkpoints, and notice obligations arising from RPL's status as an Indiana investor-owned electric distribution utility subject to jurisdiction of the Indiana Utility Regulatory Commission (IURC) under IC 8-1-2, and subject to the rules promulgated thereunder in 170 IAC Articles 1 and 4.</w:t>
      </w:r>
    </w:p>
    <w:p>
      <w:pPr>
        <w:pStyle w:val="Heading1"/>
        <w:jc w:val="left"/>
      </w:pPr>
      <w:r>
        <w:t>Section 2 — Scope</w:t>
      </w:r>
    </w:p>
    <w:p>
      <w:r>
        <w:rPr>
          <w:b w:val="0"/>
          <w:i w:val="0"/>
          <w:sz w:val="18"/>
        </w:rPr>
        <w:t>This calendar covers all compliance obligations applicable to RPL as an Indiana investor-owned electric distribution utility. RPL holds IURC Utility ID 99012 and serves approximately 407,491 customers across 14 west-central Indiana counties. Regulatory instruments covered include: 170 IAC 1-2 (Tariff Schedule Filing); 170 IAC 1-5 (Rate Case Procedures); 170 IAC 1-6 (30-Day Administrative Filing); 170 IAC 4-1 (Standards of Service for Electrical Utilities); and applicable IC 8-1-2 and IC 8-1-37 requirements.</w:t>
      </w:r>
    </w:p>
    <w:p>
      <w:pPr>
        <w:pStyle w:val="Heading1"/>
        <w:jc w:val="left"/>
      </w:pPr>
      <w:r>
        <w:t>Section 5 — Q1 Events (January–March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6"/>
              </w:rPr>
              <w:t>Event ID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Citation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Due Date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Annual tariff schedule comprehensive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1-2-1; 170 IAC 1-2-2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2025-01-31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Q1 customer service billing compliance audit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2025-01-31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P. Raman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Meter testing program — annual lot draw Phase 1 (M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4-1-10(c)(3)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2025-01-31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G. Walsh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Customer deposit interest rate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4-1-15(f)(1)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2025-01-31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Administrative filing procedures annual training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2025-02-14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Q1 compliance review — disconnection and reconnect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4-1-16; 170 IAC 4-1-17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2025-02-28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P. Raman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 xml:space="preserve">Annual compliance program self-assessment — scope 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1-6-1; IC 8-1-2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2025-02-28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D. Okafor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Tariff schedule accuracy verification — IURC No. 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1-2-2; 170 IAC 1-5-16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2025-03-14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A. Thompson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EVT-2025-0009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Q1 complaint resolution rate 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4-1-13; IC 8-1-2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2025-03-31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B. Kowalski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Reference standards certification check — biennial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4-1-7(C)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2025-03-31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G. Walsh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completed</w:t>
            </w:r>
          </w:p>
        </w:tc>
      </w:tr>
    </w:tbl>
    <w:p>
      <w:pPr>
        <w:pStyle w:val="Heading1"/>
        <w:jc w:val="left"/>
      </w:pPr>
      <w:r>
        <w:t>Section 6 — Q2 Events (April–June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6"/>
              </w:rPr>
              <w:t>Event ID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Citation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Due Date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v1.3 calendar update — incorporate S2 amendments 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1-6-3; 170 IAC 1-6-4; 170 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2025-04-30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Q2 customer service billing compliance audit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2025-04-30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P. Raman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Administrative filing window review — Q2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1-6-1; 170 IAC 1-6-3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2025-04-30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Meter testing program — Method B lot results revie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4-1-10(c)(6)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2025-05-31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G. Walsh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Mid-year tariff schedule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1-2-1; 170 IAC 1-2-2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2025-05-31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A. Thompson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Rate case readiness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1-5-2; 170 IAC 1-5-2.1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2025-05-31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R. Haskins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IURC electronic portal access verification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1-6-5(c)(1)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2025-05-31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Customer deposit records annual audit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4-1-15(g)(4)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2025-06-30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J. Carter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EVT-2025-0019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Q2 complaint resolution rate 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4-1-13; IC 8-1-2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2025-06-30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B. Kowalski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Alternative billing method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4-1-13(f)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2025-06-30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</w:tbl>
    <w:p>
      <w:pPr>
        <w:pStyle w:val="Heading1"/>
        <w:jc w:val="left"/>
      </w:pPr>
      <w:r>
        <w:t>Section 7 — Q3 Events (July–September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6"/>
              </w:rPr>
              <w:t>Event ID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Citation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Due Date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Q3 customer service billing compliance audit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2025-07-31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P. Raman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Administrative filing window review — Q3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1-6-1; 170 IAC 1-6-3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2025-07-31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Meter testing program — Phase 2 lot draw (if requi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4-1-10(c)(3)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2025-07-31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G. Walsh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Rate case data review — rate base cutoff preparati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1-5-9; 170 IAC 1-5-10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2025-08-29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R. Haskins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Tariff schedule — new service rates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1-6-3(1)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2025-08-29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A. Thompson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Customer creditworthiness standards annual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4-1-15(a); 170 IAC 4-1-15(b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2025-08-29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P. Raman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Records retention compliance check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2025-09-30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L. Nguyen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Q3 complaint resolution rate 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4-1-13; IC 8-1-2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2025-09-30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B. Kowalski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EVT-2025-0029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OUCC communication log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1-5-4(e)(1); 170 IAC 1-6-5(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2025-09-30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Vegetation management program compliance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4-1-2; IC 8-1-2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2025-09-30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R. Stein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</w:tbl>
    <w:p>
      <w:pPr>
        <w:pStyle w:val="Heading1"/>
        <w:jc w:val="left"/>
      </w:pPr>
      <w:r>
        <w:t>Section 8 — Q4 Events (October–December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6"/>
              </w:rPr>
              <w:t>Event ID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Citation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Due Date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Annual regulatory compliance self-assessment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IC 8-1-2; 170 IAC 1-6; 170 IAC 4-1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2025-10-31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D. Okafor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Q4 customer service billing compliance audit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2025-10-31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P. Raman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Annual meter testing program summary report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4-1-10(c)(9); 170 IAC 4-1-4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2025-10-31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G. Walsh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Rate case — annual feasibility review and board br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1-5-2; 170 IAC 1-5-6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2025-10-31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R. Haskins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Year-end tariff schedule comprehensive 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1-2-1; 170 IAC 1-2-2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2025-11-28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A. Thompson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Administrative filing — pre-2026 nonrecurring char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1-6-3(4); 170 IAC 1-6-2(11)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2025-11-28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Customer complaint annual summary — regulatory aff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4-1-13; IC 8-1-2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2025-12-31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B. Kowalski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Annual compliance summary — transmit to CCO and Se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IC 8-1-2; 170 IAC 1-6; 170 IAC 4-1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2025-12-31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D. Okafor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EVT-2025-0039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2026 regulatory compliance calendar — draft prepar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1-2; 170 IAC 1-5; 170 IAC 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internal_review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2025-12-31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EVT-2025-0040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Year-end records location notification to IURC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notice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2025-12-31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</w:tbl>
    <w:p>
      <w:pPr>
        <w:pStyle w:val="Heading1"/>
        <w:jc w:val="left"/>
      </w:pPr>
      <w:r>
        <w:t>Section 9 — Rolling Events (Throughout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6"/>
              </w:rPr>
              <w:t>Event ID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Citation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Due Date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EVT-2025-0041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Disconnection and reconnection compliance monitori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4-1-16; 170 IAC 4-1-17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J. Carter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Meter test report delivery — customer requests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4-1-11(d)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G. Walsh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EVT-2025-0043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Customer meter test — IURC-supervised testing coor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4-1-12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inspection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G. Walsh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EVT-2025-0044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30-day administrative filing monitoring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1-6-1(d)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filing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EVT-2025-0045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OUCC same-day service — administrative filings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1-6-5(b)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filing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EVT-2025-0046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Billing adjustment processing — meter errors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4-1-14(A)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L. Hernandez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EVT-2025-0047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Deposit interest accrual monitoring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4-1-15(f)(1)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reporting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J. Carter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  <w:tr>
        <w:tc>
          <w:tcPr>
            <w:tcW w:type="dxa" w:w="1337"/>
          </w:tcPr>
          <w:p>
            <w:r>
              <w:rPr>
                <w:sz w:val="14"/>
              </w:rPr>
              <w:t>EVT-2025-0048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 filing receipt acknowledgment tracking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170 IAC 1-2-9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filing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ongoing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M. Lee</w:t>
            </w:r>
          </w:p>
        </w:tc>
        <w:tc>
          <w:tcPr>
            <w:tcW w:type="dxa" w:w="1337"/>
          </w:tcPr>
          <w:p>
            <w:r>
              <w:rPr>
                <w:sz w:val="14"/>
              </w:rPr>
              <w:t>scheduled</w:t>
            </w:r>
          </w:p>
        </w:tc>
      </w:tr>
    </w:tbl>
    <w:p>
      <w:pPr>
        <w:pStyle w:val="Heading1"/>
        <w:jc w:val="left"/>
      </w:pPr>
      <w:r>
        <w:t>Section 11 —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120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  <w:sz w:val="16"/>
              </w:rPr>
              <w:t>Summary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2023-03-01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Initial issuance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2024-02-28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Updated to 2025 calendar year; added meter testing events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2025-03-14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Added lagging remediation event; expanded Q2-Q4 coverage; added cross-references</w:t>
            </w:r>
          </w:p>
        </w:tc>
      </w:tr>
    </w:tbl>
    <w:p/>
    <w:p>
      <w:r>
        <w:rPr>
          <w:b/>
          <w:i w:val="0"/>
          <w:sz w:val="18"/>
        </w:rPr>
        <w:t>Lagging-at-Approval Note (v1.2): 170 IAC 1-6-3, 1-6-4, and 1-6-5 were amended effective 2025-01-24, prior to this document's approval date of 2025-03-14. This calendar was prepared using law as-of 2024-12-31 (Snapshot 1) and does not reflect those amendments. A v1.3 update is scheduled for Q2 2025.</w:t>
      </w:r>
    </w:p>
    <w:p>
      <w:pPr>
        <w:pStyle w:val="Heading1"/>
        <w:jc w:val="left"/>
      </w:pPr>
      <w:r>
        <w:t>Section 12 — Approval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Person ID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Marcus Lee, Regulatory Affairs Analyst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Elena Vasquez, Manager Regulatory Affairs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P08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Jonathan Pierce, Senior Counsel Regulatory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