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Transcription</w:t>
      </w:r>
    </w:p>
    <w:p>
      <w:pPr>
        <w:pStyle w:val="Heading2"/>
      </w:pPr>
      <w:r>
        <w:t>document info</w:t>
      </w:r>
    </w:p>
    <w:p>
      <w:r>
        <w:t xml:space="preserve">date: 05-02-2026 </w:t>
        <w:br/>
        <w:t>type of document: Notes</w:t>
      </w:r>
    </w:p>
    <w:p>
      <w:pPr>
        <w:pStyle w:val="Heading2"/>
      </w:pPr>
      <w:r>
        <w:t>Transcribed Text</w:t>
      </w:r>
    </w:p>
    <w:p>
      <w:r>
        <w:t xml:space="preserve"> The mute muffled the high tones of the horn. The gold ring fits only a pierced ear. The old pan was covered with hard fudge. Watch the log float in the wide river. The node on the stock of wheat grew daily. The heap of fallen leaves was set on fire. Right fast, if you want to finish early. His shirt was clean, but one button was gone. The barrel of beer was a brew of malt and hops. Tin cans are absent from store shelves.</w:t>
      </w:r>
    </w:p>
    <w:p>
      <w:pPr>
        <w:pStyle w:val="Heading1"/>
      </w:pPr>
      <w:r>
        <w:t>Summary</w:t>
      </w:r>
    </w:p>
    <w:p>
      <w:r>
        <w:t>This collection of sentences presents a series of simple observations about everyday objects and actions. They depict instances of containment ("mute muffled the horn"), specific fit ("ring fits only a pierced ear"), alteration ("pan covered with fudge"), natural processes ("log floats," "node grew"), and change through action ("leaves set on fire"). The phrases also include practical advice ("Right fast, if you want to finish early") and details about condition ("shirt clean, button gone") and composition ("barrel of beer"). Overall, the text is a fragmented snapshot of the mundane world, focusing on concrete details rather than a cohesive narrative.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