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Merriweather" w:cs="Merriweather" w:eastAsia="Merriweather" w:hAnsi="Merriweather"/>
          <w:b w:val="1"/>
          <w:sz w:val="46"/>
          <w:szCs w:val="46"/>
        </w:rPr>
      </w:pPr>
      <w:bookmarkStart w:colFirst="0" w:colLast="0" w:name="_tf3hh717v424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46"/>
          <w:szCs w:val="46"/>
          <w:rtl w:val="0"/>
        </w:rPr>
        <w:t xml:space="preserve">Documentation Technique pour EnregDetailsTest.php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t4sc8hm94esv" w:id="1"/>
      <w:bookmarkEnd w:id="1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Aperçu Général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Ce fichier contient une classe de test unitaire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EnregDetailsTest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qui utilise PHPUnit pour tester la fonctionnalité du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EnregDetails.php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 La classe teste principalement les validations d'entrée, les erreurs de base de données et les comportements attendus lors de l'enregistrement des détails d'un utilisateur (probablement dans un contexte sportif).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3qou534rwydc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Structure de la Classe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Classe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EnregDetailsTest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(extension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PHPUnit\Framework\TestCase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Attributs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$mockPDO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Mock de la classe PDO</w:t>
      </w:r>
    </w:p>
    <w:p w:rsidR="00000000" w:rsidDel="00000000" w:rsidP="00000000" w:rsidRDefault="00000000" w:rsidRPr="00000000" w14:paraId="00000008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$mockStatement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Mock de la classe PDOStatement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87m6hb5rhch0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Configuration des Tests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La méthode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setUp()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est exécutée avant chaque test et: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Définit la constante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PHPUNIT_TEST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Réinitialise le tableau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$_SESSION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Crée des mocks pour PDO et PDOStatement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Configure les comportements par défaut des mocks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Assigne le mock PDO à la variable globale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$bdd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22"/>
          <w:szCs w:val="22"/>
        </w:rPr>
      </w:pPr>
      <w:bookmarkStart w:colFirst="0" w:colLast="0" w:name="_qmd9i9ccnhsy" w:id="4"/>
      <w:bookmarkEnd w:id="4"/>
      <w:r w:rsidDel="00000000" w:rsidR="00000000" w:rsidRPr="00000000">
        <w:rPr>
          <w:rFonts w:ascii="Merriweather" w:cs="Merriweather" w:eastAsia="Merriweather" w:hAnsi="Merriweather"/>
          <w:b w:val="1"/>
          <w:sz w:val="22"/>
          <w:szCs w:val="22"/>
          <w:rtl w:val="0"/>
        </w:rPr>
        <w:t xml:space="preserve">Méthodes Utilitaires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24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setPostData(array $overrides = [])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Initialise le tableau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$_POST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avec des valeurs par défaut et permet de les surcharger via un tableau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wy6dwj5x7jkz" w:id="5"/>
      <w:bookmarkEnd w:id="5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Cas de Tests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xukog8dztkbr" w:id="6"/>
      <w:bookmarkEnd w:id="6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testFormatNumeroLicenceInvalide()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Vérifier la validation du format du numéro de licence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Scénario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Soumet un numéro de licence trop court (moins de 6 caractères)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Assertion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 que le message d'erreur contient "Erreur : Le numéro de licence"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3j7ocws70g8d" w:id="7"/>
      <w:bookmarkEnd w:id="7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testFormatCodePostalInvalide()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Vérifier la validation du code postal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Scénario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Soumet un code postal de seulement 3 chiffres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Assertion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 que le message d'erreur contient "Erreur : Le code postal"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2nem8p5hpqc4" w:id="8"/>
      <w:bookmarkEnd w:id="8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testNumeroTelephoneInvalide()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Vérifier la validation du numéro de téléphone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Scénario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Soumet un numéro de téléphone qui ne commence pas par 0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Assertion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 que le message d'erreur contient "Erreur : Le numéro de téléphone"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frwoe2x5a1k" w:id="9"/>
      <w:bookmarkEnd w:id="9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testErreurPDOPrepare()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Tester le comportement en cas d'erreur PDO lors de la préparation d'une requête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Scénario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Configure le mock PDO pour lancer une exception PDOException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Assertion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 que le message d'erreur contient "Erreur"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ipet2tdcz1s" w:id="10"/>
      <w:bookmarkEnd w:id="10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testDoubleInsertionMemeNumeroLicence()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Vérifier le comportement lors de l'insertion d'un numéro de licence déjà existant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Scénario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Configure le mock pour indiquer qu'un numéro de licence existe déjà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Assertion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 que le message d'erreur contient "existe déjà"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wsukrthnhb9c" w:id="11"/>
      <w:bookmarkEnd w:id="11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testValidationDesDonnees()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Tester la validation des champs obligatoires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Scénario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Soumet un formulaire avec un numéro de licence vide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Assertion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 que le message d'erreur contient "Erreur : Tous les champs obligatoires"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bbkvb3ax4knd" w:id="12"/>
      <w:bookmarkEnd w:id="12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7.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testRedirectionApresInsertion()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Vérifier qu'une redirection se produit après une insertion réussie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Scénario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Soumet un formulaire valide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Assertion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 que la sortie contient "REDIRECT:"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vy62m7z7qzc" w:id="13"/>
      <w:bookmarkEnd w:id="13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8.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testReglesMetier()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Tester le comportement en cas d'échec d'insertion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Scénario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Configure le mock PDO pour que la méthode exec retourne false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Assertion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Vérifie que le message d'erreur contient "Erreur"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s6plglld6drd" w:id="14"/>
      <w:bookmarkEnd w:id="14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Dépendances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PHPUnit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PDO et PDOStatement pour les mock d'accès à la base de données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Le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EnregDetails.php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situé dans le répertoire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../HTML/</w:t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4hs14rtw02o" w:id="15"/>
      <w:bookmarkEnd w:id="15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Notes Techniques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Utilise les mocks pour simuler l'interaction avec la base de données sans connexion réelle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Capture la sortie du script via les fonctions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ob_start()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ob_get_clean()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Les tests sont centrés sur la validation des entrées et la gestion des erreurs</w:t>
      </w:r>
    </w:p>
    <w:p w:rsidR="00000000" w:rsidDel="00000000" w:rsidP="00000000" w:rsidRDefault="00000000" w:rsidRPr="00000000" w14:paraId="0000003B">
      <w:pPr>
        <w:jc w:val="left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B">
          <w:pPr>
            <w:widowControl w:val="0"/>
            <w:rPr>
              <w:rFonts w:ascii="Merriweather" w:cs="Merriweather" w:eastAsia="Merriweather" w:hAnsi="Merriweather"/>
              <w:sz w:val="30"/>
              <w:szCs w:val="3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sz w:val="30"/>
              <w:szCs w:val="30"/>
              <w:rtl w:val="0"/>
            </w:rPr>
            <w:t xml:space="preserve">Vous pouvez ajouter des titres (Format &gt; Styles de paragraphe) qui apparaîtront dans votre table des matières.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C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sz w:val="30"/>
          <w:szCs w:val="30"/>
          <w:rtl w:val="0"/>
        </w:rPr>
        <w:t xml:space="preserve">Présentation des diagrammes</w:t>
      </w:r>
      <w:r w:rsidDel="00000000" w:rsidR="00000000" w:rsidRPr="00000000">
        <w:rPr>
          <w:rFonts w:ascii="Merriweather" w:cs="Merriweather" w:eastAsia="Merriweather" w:hAnsi="Merriweather"/>
          <w:sz w:val="30"/>
          <w:szCs w:val="30"/>
        </w:rPr>
        <w:drawing>
          <wp:inline distB="19050" distT="19050" distL="19050" distR="19050">
            <wp:extent cx="304800" cy="304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sz w:val="30"/>
          <w:szCs w:val="30"/>
        </w:rPr>
        <w:drawing>
          <wp:inline distB="114300" distT="114300" distL="114300" distR="114300">
            <wp:extent cx="5731200" cy="36449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sz w:val="30"/>
          <w:szCs w:val="30"/>
        </w:rPr>
        <w:drawing>
          <wp:inline distB="114300" distT="114300" distL="114300" distR="114300">
            <wp:extent cx="5731200" cy="20320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sz w:val="30"/>
          <w:szCs w:val="30"/>
          <w:rtl w:val="0"/>
        </w:rPr>
        <w:t xml:space="preserve">Présentation de la maquette de la base donnée : </w:t>
      </w:r>
    </w:p>
    <w:p w:rsidR="00000000" w:rsidDel="00000000" w:rsidP="00000000" w:rsidRDefault="00000000" w:rsidRPr="00000000" w14:paraId="0000007A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sz w:val="30"/>
          <w:szCs w:val="30"/>
        </w:rPr>
        <w:drawing>
          <wp:inline distB="114300" distT="114300" distL="114300" distR="114300">
            <wp:extent cx="5731200" cy="427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